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814EA" w14:textId="1D569772" w:rsidR="00A81F74" w:rsidRDefault="006D66BD" w:rsidP="00265643">
      <w:pPr>
        <w:pStyle w:val="Heading1"/>
        <w:rPr>
          <w:lang w:bidi="he-IL"/>
        </w:rPr>
      </w:pPr>
      <w:r>
        <w:rPr>
          <w:lang w:bidi="he-IL"/>
        </w:rPr>
        <w:t>Genes</w:t>
      </w:r>
      <w:r w:rsidR="00036C6A" w:rsidRPr="00962349">
        <w:rPr>
          <w:lang w:bidi="he-IL"/>
        </w:rPr>
        <w:t>is Part</w:t>
      </w:r>
      <w:r w:rsidR="00A81F74" w:rsidRPr="00962349">
        <w:rPr>
          <w:lang w:bidi="he-IL"/>
        </w:rPr>
        <w:t xml:space="preserve"> Two: Terah’s Lines of Descent</w:t>
      </w:r>
      <w:r w:rsidR="00D041DC" w:rsidRPr="00962349">
        <w:rPr>
          <w:lang w:bidi="he-IL"/>
        </w:rPr>
        <w:t xml:space="preserve">, </w:t>
      </w:r>
      <w:r w:rsidR="009471C7" w:rsidRPr="00962349">
        <w:rPr>
          <w:lang w:bidi="he-IL"/>
        </w:rPr>
        <w:t>through Abraham</w:t>
      </w:r>
      <w:r w:rsidR="00A81F74" w:rsidRPr="00962349">
        <w:rPr>
          <w:lang w:bidi="he-IL"/>
        </w:rPr>
        <w:t xml:space="preserve"> (</w:t>
      </w:r>
      <w:r w:rsidR="00F12E91" w:rsidRPr="00962349">
        <w:rPr>
          <w:lang w:bidi="he-IL"/>
        </w:rPr>
        <w:t>11:27—25:11</w:t>
      </w:r>
      <w:r w:rsidR="00A81F74" w:rsidRPr="00962349">
        <w:rPr>
          <w:lang w:bidi="he-IL"/>
        </w:rPr>
        <w:t xml:space="preserve">) </w:t>
      </w:r>
    </w:p>
    <w:p w14:paraId="00E132B7" w14:textId="77777777" w:rsidR="00265643" w:rsidRPr="00265643" w:rsidRDefault="00265643" w:rsidP="00265643">
      <w:pPr>
        <w:rPr>
          <w:lang w:bidi="he-IL"/>
        </w:rPr>
      </w:pPr>
    </w:p>
    <w:p w14:paraId="5C7723FB" w14:textId="77777777" w:rsidR="005F0FA2" w:rsidRDefault="003D56BA" w:rsidP="0037287A">
      <w:pPr>
        <w:rPr>
          <w:lang w:val="en-GB" w:bidi="he-IL"/>
        </w:rPr>
      </w:pPr>
      <w:r>
        <w:rPr>
          <w:lang w:bidi="he-IL"/>
        </w:rPr>
        <w:t>“</w:t>
      </w:r>
      <w:r w:rsidR="00BA29BE">
        <w:rPr>
          <w:lang w:bidi="he-IL"/>
        </w:rPr>
        <w:t>Thus far, the creation project has turned out quite against the dreams of the creator,</w:t>
      </w:r>
      <w:r>
        <w:rPr>
          <w:lang w:bidi="he-IL"/>
        </w:rPr>
        <w:t>”</w:t>
      </w:r>
      <w:r w:rsidR="00BA29BE">
        <w:rPr>
          <w:lang w:bidi="he-IL"/>
        </w:rPr>
        <w:t xml:space="preserve"> but </w:t>
      </w:r>
      <w:r>
        <w:rPr>
          <w:lang w:bidi="he-IL"/>
        </w:rPr>
        <w:t>“</w:t>
      </w:r>
      <w:r w:rsidR="00BA29BE">
        <w:rPr>
          <w:lang w:bidi="he-IL"/>
        </w:rPr>
        <w:t>the one</w:t>
      </w:r>
      <w:r w:rsidR="009471C7">
        <w:rPr>
          <w:lang w:bidi="he-IL"/>
        </w:rPr>
        <w:t xml:space="preserve"> who </w:t>
      </w:r>
      <w:r w:rsidR="00BA29BE">
        <w:rPr>
          <w:lang w:bidi="he-IL"/>
        </w:rPr>
        <w:t>calls the worlds into being now makes a second call.</w:t>
      </w:r>
      <w:r>
        <w:rPr>
          <w:lang w:bidi="he-IL"/>
        </w:rPr>
        <w:t>”</w:t>
      </w:r>
      <w:r w:rsidR="00BA29BE">
        <w:rPr>
          <w:rStyle w:val="FootnoteReference"/>
          <w:lang w:bidi="he-IL"/>
        </w:rPr>
        <w:footnoteReference w:id="1"/>
      </w:r>
      <w:r w:rsidR="00BA29BE">
        <w:rPr>
          <w:lang w:bidi="he-IL"/>
        </w:rPr>
        <w:t xml:space="preserve"> Once again he reboots the project. W</w:t>
      </w:r>
      <w:r w:rsidR="00FF06D6">
        <w:rPr>
          <w:lang w:bidi="he-IL"/>
        </w:rPr>
        <w:t xml:space="preserve">ith 11:27 </w:t>
      </w:r>
      <w:r>
        <w:rPr>
          <w:lang w:bidi="he-IL"/>
        </w:rPr>
        <w:t>“</w:t>
      </w:r>
      <w:r w:rsidR="00FF06D6">
        <w:rPr>
          <w:lang w:bidi="he-IL"/>
        </w:rPr>
        <w:t>an epochal juncture in the history of humankind has been reached.</w:t>
      </w:r>
      <w:r>
        <w:rPr>
          <w:lang w:bidi="he-IL"/>
        </w:rPr>
        <w:t>”</w:t>
      </w:r>
      <w:r w:rsidR="00FF06D6">
        <w:rPr>
          <w:rStyle w:val="FootnoteReference"/>
          <w:lang w:bidi="he-IL"/>
        </w:rPr>
        <w:footnoteReference w:id="2"/>
      </w:r>
      <w:r w:rsidR="00FF06D6">
        <w:rPr>
          <w:lang w:bidi="he-IL"/>
        </w:rPr>
        <w:t xml:space="preserve"> </w:t>
      </w:r>
      <w:r w:rsidR="0037287A">
        <w:rPr>
          <w:lang w:val="en-GB" w:bidi="he-IL"/>
        </w:rPr>
        <w:t>But</w:t>
      </w:r>
      <w:r w:rsidR="0037287A" w:rsidRPr="00151A03">
        <w:rPr>
          <w:lang w:val="en-GB" w:bidi="he-IL"/>
        </w:rPr>
        <w:t xml:space="preserve"> “God is no longer engaging in damage control, as he was in the first eleven chapters of the Torah.</w:t>
      </w:r>
      <w:r w:rsidR="0037287A">
        <w:rPr>
          <w:lang w:val="en-GB" w:bidi="he-IL"/>
        </w:rPr>
        <w:t>”</w:t>
      </w:r>
      <w:r w:rsidR="0037287A" w:rsidRPr="00151A03">
        <w:rPr>
          <w:vertAlign w:val="superscript"/>
          <w:lang w:val="en-GB" w:bidi="he-IL"/>
        </w:rPr>
        <w:footnoteReference w:id="3"/>
      </w:r>
      <w:r w:rsidR="0037287A" w:rsidRPr="00151A03">
        <w:rPr>
          <w:lang w:val="en-GB" w:bidi="he-IL"/>
        </w:rPr>
        <w:t xml:space="preserve"> </w:t>
      </w:r>
    </w:p>
    <w:p w14:paraId="61AC3F41" w14:textId="5480C9C1" w:rsidR="00151A03" w:rsidRDefault="0037287A" w:rsidP="00151A03">
      <w:pPr>
        <w:rPr>
          <w:lang w:val="en-GB" w:bidi="he-IL"/>
        </w:rPr>
      </w:pPr>
      <w:r w:rsidRPr="0037287A">
        <w:rPr>
          <w:lang w:bidi="he-IL"/>
        </w:rPr>
        <w:t xml:space="preserve">In this connection, Part Two of Genesis focuses on Yahweh’s dealings with Abraham and Sarah. </w:t>
      </w:r>
      <w:r w:rsidRPr="0037287A">
        <w:rPr>
          <w:lang w:val="en-GB" w:bidi="he-IL"/>
        </w:rPr>
        <w:t>The story of creation and of things</w:t>
      </w:r>
      <w:r w:rsidRPr="0037287A">
        <w:rPr>
          <w:lang w:bidi="he-IL"/>
        </w:rPr>
        <w:t xml:space="preserve"> unraveling</w:t>
      </w:r>
      <w:r w:rsidRPr="0037287A">
        <w:rPr>
          <w:lang w:val="en-GB" w:bidi="he-IL"/>
        </w:rPr>
        <w:t xml:space="preserve"> was a “primordial” and “universal” story, and one would have expected the story of God’s putting things right to have the same ch</w:t>
      </w:r>
      <w:r w:rsidR="005F0FA2">
        <w:rPr>
          <w:lang w:val="en-GB" w:bidi="he-IL"/>
        </w:rPr>
        <w:t>aracteristics. But n</w:t>
      </w:r>
      <w:r w:rsidRPr="0037287A">
        <w:rPr>
          <w:lang w:val="en-GB" w:bidi="he-IL"/>
        </w:rPr>
        <w:t xml:space="preserve">ot for the last time, God changes his way of effecting his purpose. “God’s plan is universal </w:t>
      </w:r>
      <w:r w:rsidRPr="0037287A">
        <w:rPr>
          <w:i/>
          <w:lang w:val="en-GB" w:bidi="he-IL"/>
        </w:rPr>
        <w:t>in scope</w:t>
      </w:r>
      <w:r w:rsidRPr="0037287A">
        <w:rPr>
          <w:lang w:val="en-GB" w:bidi="he-IL"/>
        </w:rPr>
        <w:t xml:space="preserve">” but </w:t>
      </w:r>
      <w:r w:rsidR="005F0FA2">
        <w:rPr>
          <w:lang w:val="en-GB" w:bidi="he-IL"/>
        </w:rPr>
        <w:t xml:space="preserve">now </w:t>
      </w:r>
      <w:r w:rsidRPr="0037287A">
        <w:rPr>
          <w:lang w:val="en-GB" w:bidi="he-IL"/>
        </w:rPr>
        <w:t>“not in method or means.”</w:t>
      </w:r>
      <w:r w:rsidRPr="0037287A">
        <w:rPr>
          <w:vertAlign w:val="superscript"/>
          <w:lang w:val="en-GB" w:bidi="he-IL"/>
        </w:rPr>
        <w:footnoteReference w:id="4"/>
      </w:r>
      <w:r w:rsidR="005F0FA2">
        <w:rPr>
          <w:lang w:val="en-GB" w:bidi="he-IL"/>
        </w:rPr>
        <w:t xml:space="preserve"> It’s now effected through particular people</w:t>
      </w:r>
      <w:r w:rsidRPr="0037287A">
        <w:rPr>
          <w:lang w:val="en-GB" w:bidi="he-IL"/>
        </w:rPr>
        <w:t xml:space="preserve"> in a particular place. </w:t>
      </w:r>
      <w:r>
        <w:rPr>
          <w:lang w:val="en-GB" w:bidi="he-IL"/>
        </w:rPr>
        <w:t xml:space="preserve">The transition from 1:1—11:26 to </w:t>
      </w:r>
      <w:r w:rsidR="00A56A8B">
        <w:rPr>
          <w:lang w:val="en-GB" w:bidi="he-IL"/>
        </w:rPr>
        <w:t>what follows</w:t>
      </w:r>
      <w:r w:rsidR="005F0FA2">
        <w:rPr>
          <w:lang w:val="en-GB" w:bidi="he-IL"/>
        </w:rPr>
        <w:t xml:space="preserve"> marks a</w:t>
      </w:r>
      <w:r w:rsidR="00151A03" w:rsidRPr="00151A03">
        <w:rPr>
          <w:lang w:val="en-GB" w:bidi="he-IL"/>
        </w:rPr>
        <w:t xml:space="preserve"> transition</w:t>
      </w:r>
      <w:r w:rsidR="005F0FA2">
        <w:rPr>
          <w:lang w:val="en-GB" w:bidi="he-IL"/>
        </w:rPr>
        <w:t xml:space="preserve"> from God’s act of creation to </w:t>
      </w:r>
      <w:r w:rsidR="00151A03" w:rsidRPr="00151A03">
        <w:rPr>
          <w:lang w:val="en-GB" w:bidi="he-IL"/>
        </w:rPr>
        <w:t xml:space="preserve">God’s entering into </w:t>
      </w:r>
      <w:r w:rsidR="005F0FA2">
        <w:rPr>
          <w:lang w:val="en-GB" w:bidi="he-IL"/>
        </w:rPr>
        <w:t xml:space="preserve">a covenant relationship with a </w:t>
      </w:r>
      <w:r w:rsidR="00A56A8B">
        <w:rPr>
          <w:lang w:val="en-GB" w:bidi="he-IL"/>
        </w:rPr>
        <w:t xml:space="preserve">particular </w:t>
      </w:r>
      <w:r w:rsidR="005F0FA2">
        <w:rPr>
          <w:lang w:val="en-GB" w:bidi="he-IL"/>
        </w:rPr>
        <w:t>people;</w:t>
      </w:r>
      <w:r w:rsidR="00151A03" w:rsidRPr="00151A03">
        <w:rPr>
          <w:lang w:val="en-GB" w:bidi="he-IL"/>
        </w:rPr>
        <w:t xml:space="preserve"> the linking of these two stories </w:t>
      </w:r>
      <w:r w:rsidR="00A56A8B">
        <w:rPr>
          <w:lang w:val="en-GB" w:bidi="he-IL"/>
        </w:rPr>
        <w:t>in one scroll</w:t>
      </w:r>
      <w:r w:rsidR="005F0FA2">
        <w:rPr>
          <w:lang w:val="en-GB" w:bidi="he-IL"/>
        </w:rPr>
        <w:t xml:space="preserve"> </w:t>
      </w:r>
      <w:r w:rsidR="00151A03" w:rsidRPr="00151A03">
        <w:rPr>
          <w:lang w:val="en-GB" w:bidi="he-IL"/>
        </w:rPr>
        <w:t>marks the “indissoluble” nature of the connection between the two.</w:t>
      </w:r>
      <w:r w:rsidR="00151A03" w:rsidRPr="00151A03">
        <w:rPr>
          <w:vertAlign w:val="superscript"/>
          <w:lang w:val="en-GB" w:bidi="he-IL"/>
        </w:rPr>
        <w:footnoteReference w:id="5"/>
      </w:r>
      <w:r w:rsidR="00151A03" w:rsidRPr="00151A03">
        <w:rPr>
          <w:lang w:val="en-GB" w:bidi="he-IL"/>
        </w:rPr>
        <w:t xml:space="preserve"> No creation without covenant; no covenant without creation. </w:t>
      </w:r>
    </w:p>
    <w:p w14:paraId="17C9E238" w14:textId="3DDC1990" w:rsidR="006330EF" w:rsidRDefault="007466BE" w:rsidP="00F8413F">
      <w:pPr>
        <w:rPr>
          <w:lang w:bidi="he-IL"/>
        </w:rPr>
      </w:pPr>
      <w:r>
        <w:rPr>
          <w:lang w:val="en-GB" w:bidi="he-IL"/>
        </w:rPr>
        <w:t>Gen 11:27—50:26 then divides into a three-</w:t>
      </w:r>
      <w:r w:rsidR="00F8413F">
        <w:rPr>
          <w:lang w:val="en-GB" w:bidi="he-IL"/>
        </w:rPr>
        <w:t>part drama,</w:t>
      </w:r>
      <w:r w:rsidR="00A56A8B">
        <w:rPr>
          <w:lang w:val="en-GB" w:bidi="he-IL"/>
        </w:rPr>
        <w:t xml:space="preserve"> </w:t>
      </w:r>
      <w:r w:rsidR="00492529">
        <w:rPr>
          <w:lang w:val="en-GB" w:bidi="he-IL"/>
        </w:rPr>
        <w:t xml:space="preserve">the story of </w:t>
      </w:r>
      <w:r>
        <w:rPr>
          <w:lang w:val="en-GB" w:bidi="he-IL"/>
        </w:rPr>
        <w:t xml:space="preserve">three generations of </w:t>
      </w:r>
      <w:r w:rsidR="00492529">
        <w:rPr>
          <w:lang w:val="en-GB" w:bidi="he-IL"/>
        </w:rPr>
        <w:t>a</w:t>
      </w:r>
      <w:r>
        <w:rPr>
          <w:lang w:val="en-GB" w:bidi="he-IL"/>
        </w:rPr>
        <w:t xml:space="preserve"> family</w:t>
      </w:r>
      <w:r w:rsidR="00A56A8B">
        <w:rPr>
          <w:lang w:val="en-GB" w:bidi="he-IL"/>
        </w:rPr>
        <w:t>, Abraham and Sarah (11:27—25:11), Isaac and Rebekah (25:12—35:29), and Jacob and his sons (36:1—50:26)</w:t>
      </w:r>
      <w:r w:rsidR="00F8413F">
        <w:rPr>
          <w:lang w:val="en-GB" w:bidi="he-IL"/>
        </w:rPr>
        <w:t>. A heading announcing “lines of descent” that are to follow introduces each part</w:t>
      </w:r>
      <w:r w:rsidR="00A56A8B">
        <w:rPr>
          <w:lang w:val="en-GB" w:bidi="he-IL"/>
        </w:rPr>
        <w:t>.</w:t>
      </w:r>
      <w:r w:rsidR="00F8413F">
        <w:rPr>
          <w:lang w:val="en-GB" w:bidi="he-IL"/>
        </w:rPr>
        <w:t xml:space="preserve"> </w:t>
      </w:r>
      <w:r>
        <w:rPr>
          <w:lang w:val="en-GB" w:bidi="he-IL"/>
        </w:rPr>
        <w:t xml:space="preserve">Within </w:t>
      </w:r>
      <w:r w:rsidR="00F8413F">
        <w:rPr>
          <w:lang w:val="en-GB" w:bidi="he-IL"/>
        </w:rPr>
        <w:t>11:27—25:11</w:t>
      </w:r>
      <w:r w:rsidR="00853E98">
        <w:rPr>
          <w:lang w:bidi="he-IL"/>
        </w:rPr>
        <w:t>,</w:t>
      </w:r>
      <w:r w:rsidR="00492529">
        <w:rPr>
          <w:lang w:bidi="he-IL"/>
        </w:rPr>
        <w:t xml:space="preserve"> the opening</w:t>
      </w:r>
      <w:r w:rsidR="00850711">
        <w:rPr>
          <w:lang w:bidi="he-IL"/>
        </w:rPr>
        <w:t xml:space="preserve"> unit</w:t>
      </w:r>
      <w:r w:rsidR="00151A03">
        <w:rPr>
          <w:lang w:bidi="he-IL"/>
        </w:rPr>
        <w:t xml:space="preserve"> </w:t>
      </w:r>
      <w:r w:rsidR="009471C7">
        <w:rPr>
          <w:lang w:bidi="he-IL"/>
        </w:rPr>
        <w:t>tells</w:t>
      </w:r>
      <w:r w:rsidR="00853E98">
        <w:rPr>
          <w:lang w:bidi="he-IL"/>
        </w:rPr>
        <w:t xml:space="preserve"> of the background and of how things begin</w:t>
      </w:r>
      <w:r w:rsidR="00492529">
        <w:rPr>
          <w:lang w:bidi="he-IL"/>
        </w:rPr>
        <w:t>. What follows</w:t>
      </w:r>
      <w:r w:rsidR="00A81F74">
        <w:rPr>
          <w:lang w:bidi="he-IL"/>
        </w:rPr>
        <w:t xml:space="preserve"> </w:t>
      </w:r>
      <w:r w:rsidR="00492529">
        <w:rPr>
          <w:lang w:bidi="he-IL"/>
        </w:rPr>
        <w:t xml:space="preserve">then </w:t>
      </w:r>
      <w:r w:rsidR="00A81F74">
        <w:rPr>
          <w:lang w:bidi="he-IL"/>
        </w:rPr>
        <w:t>comprises a series of sto</w:t>
      </w:r>
      <w:r w:rsidR="00492529">
        <w:rPr>
          <w:lang w:bidi="he-IL"/>
        </w:rPr>
        <w:t>ries concerning how Yahweh’s purpose is</w:t>
      </w:r>
      <w:r w:rsidR="00A81F74">
        <w:rPr>
          <w:lang w:bidi="he-IL"/>
        </w:rPr>
        <w:t xml:space="preserve"> repeatedly imperiled but </w:t>
      </w:r>
      <w:r w:rsidR="00492529">
        <w:rPr>
          <w:lang w:bidi="he-IL"/>
        </w:rPr>
        <w:t xml:space="preserve">is </w:t>
      </w:r>
      <w:r w:rsidR="006E15C2">
        <w:rPr>
          <w:lang w:bidi="he-IL"/>
        </w:rPr>
        <w:t xml:space="preserve">safeguarded and </w:t>
      </w:r>
      <w:r w:rsidR="00A81F74">
        <w:rPr>
          <w:lang w:bidi="he-IL"/>
        </w:rPr>
        <w:t>partially fulfilled.</w:t>
      </w:r>
      <w:r w:rsidR="005F2BF0">
        <w:rPr>
          <w:lang w:bidi="he-IL"/>
        </w:rPr>
        <w:t xml:space="preserve"> </w:t>
      </w:r>
      <w:r w:rsidR="00853E98">
        <w:rPr>
          <w:lang w:bidi="he-IL"/>
        </w:rPr>
        <w:t xml:space="preserve">Gen </w:t>
      </w:r>
      <w:r w:rsidR="00A56A8B">
        <w:rPr>
          <w:lang w:bidi="he-IL"/>
        </w:rPr>
        <w:t>11:27—25:11</w:t>
      </w:r>
      <w:r w:rsidR="00794246">
        <w:rPr>
          <w:lang w:bidi="he-IL"/>
        </w:rPr>
        <w:t xml:space="preserve"> </w:t>
      </w:r>
      <w:r w:rsidR="00853E98">
        <w:rPr>
          <w:lang w:bidi="he-IL"/>
        </w:rPr>
        <w:t xml:space="preserve">relates the story of a God </w:t>
      </w:r>
      <w:r w:rsidR="00794246">
        <w:rPr>
          <w:lang w:bidi="he-IL"/>
        </w:rPr>
        <w:t>wh</w:t>
      </w:r>
      <w:r w:rsidR="00AE3EE4">
        <w:rPr>
          <w:lang w:bidi="he-IL"/>
        </w:rPr>
        <w:t xml:space="preserve">o makes outrageous demands, </w:t>
      </w:r>
      <w:r w:rsidR="00853E98">
        <w:rPr>
          <w:lang w:bidi="he-IL"/>
        </w:rPr>
        <w:t>issues</w:t>
      </w:r>
      <w:r w:rsidR="00AE3EE4">
        <w:rPr>
          <w:lang w:bidi="he-IL"/>
        </w:rPr>
        <w:t xml:space="preserve"> extraordinary promises, and intervenes </w:t>
      </w:r>
      <w:r w:rsidR="00794246">
        <w:rPr>
          <w:lang w:bidi="he-IL"/>
        </w:rPr>
        <w:t>to see that his purpose gets fulfilled. People such as Abraham and Sarah are sometimes people who trust God and som</w:t>
      </w:r>
      <w:r w:rsidR="00AE3EE4">
        <w:rPr>
          <w:lang w:bidi="he-IL"/>
        </w:rPr>
        <w:t>e</w:t>
      </w:r>
      <w:r w:rsidR="00492529">
        <w:rPr>
          <w:lang w:bidi="he-IL"/>
        </w:rPr>
        <w:t xml:space="preserve">times people whose trust fails: </w:t>
      </w:r>
      <w:r w:rsidR="00AE3EE4">
        <w:rPr>
          <w:lang w:bidi="he-IL"/>
        </w:rPr>
        <w:t>t</w:t>
      </w:r>
      <w:r w:rsidR="0057558A" w:rsidRPr="0057558A">
        <w:rPr>
          <w:lang w:bidi="he-IL"/>
        </w:rPr>
        <w:t>here are two stories about passi</w:t>
      </w:r>
      <w:r w:rsidR="00492529">
        <w:rPr>
          <w:lang w:bidi="he-IL"/>
        </w:rPr>
        <w:t>ng off your wife as you</w:t>
      </w:r>
      <w:r w:rsidR="007E1807">
        <w:rPr>
          <w:lang w:bidi="he-IL"/>
        </w:rPr>
        <w:t>r</w:t>
      </w:r>
      <w:r w:rsidR="00492529">
        <w:rPr>
          <w:lang w:bidi="he-IL"/>
        </w:rPr>
        <w:t xml:space="preserve"> sister</w:t>
      </w:r>
      <w:r w:rsidR="00AE3EE4">
        <w:rPr>
          <w:lang w:bidi="he-IL"/>
        </w:rPr>
        <w:t xml:space="preserve"> </w:t>
      </w:r>
      <w:r w:rsidR="00492529">
        <w:rPr>
          <w:lang w:bidi="he-IL"/>
        </w:rPr>
        <w:t>(</w:t>
      </w:r>
      <w:r w:rsidR="00AE3EE4">
        <w:rPr>
          <w:lang w:bidi="he-IL"/>
        </w:rPr>
        <w:t>with</w:t>
      </w:r>
      <w:r w:rsidR="0057558A" w:rsidRPr="0057558A">
        <w:rPr>
          <w:lang w:bidi="he-IL"/>
        </w:rPr>
        <w:t xml:space="preserve"> another </w:t>
      </w:r>
      <w:r w:rsidR="00492529">
        <w:rPr>
          <w:lang w:bidi="he-IL"/>
        </w:rPr>
        <w:t>to follow in Gen 26)</w:t>
      </w:r>
      <w:r w:rsidR="0057558A" w:rsidRPr="0057558A">
        <w:rPr>
          <w:lang w:bidi="he-IL"/>
        </w:rPr>
        <w:t xml:space="preserve"> and three st</w:t>
      </w:r>
      <w:r w:rsidR="00492529">
        <w:rPr>
          <w:lang w:bidi="he-IL"/>
        </w:rPr>
        <w:t>ories about quarrels over land</w:t>
      </w:r>
      <w:r w:rsidR="00AE3EE4">
        <w:rPr>
          <w:lang w:bidi="he-IL"/>
        </w:rPr>
        <w:t xml:space="preserve"> </w:t>
      </w:r>
      <w:r w:rsidR="00492529">
        <w:rPr>
          <w:lang w:bidi="he-IL"/>
        </w:rPr>
        <w:t>(</w:t>
      </w:r>
      <w:r w:rsidR="00AE3EE4">
        <w:rPr>
          <w:lang w:bidi="he-IL"/>
        </w:rPr>
        <w:t xml:space="preserve">with </w:t>
      </w:r>
      <w:r w:rsidR="0057558A" w:rsidRPr="0057558A">
        <w:rPr>
          <w:lang w:bidi="he-IL"/>
        </w:rPr>
        <w:t xml:space="preserve">another </w:t>
      </w:r>
      <w:r w:rsidR="00AE3EE4">
        <w:rPr>
          <w:lang w:bidi="he-IL"/>
        </w:rPr>
        <w:t xml:space="preserve">to follow </w:t>
      </w:r>
      <w:r w:rsidR="0057558A" w:rsidRPr="0057558A">
        <w:rPr>
          <w:lang w:bidi="he-IL"/>
        </w:rPr>
        <w:t>in Gen 26).</w:t>
      </w:r>
      <w:r w:rsidR="00AE3EE4">
        <w:rPr>
          <w:lang w:bidi="he-IL"/>
        </w:rPr>
        <w:t xml:space="preserve"> </w:t>
      </w:r>
      <w:r w:rsidR="0057558A" w:rsidRPr="0057558A">
        <w:rPr>
          <w:lang w:bidi="he-IL"/>
        </w:rPr>
        <w:t>Gen 11:27—12:</w:t>
      </w:r>
      <w:r w:rsidR="0057558A">
        <w:rPr>
          <w:lang w:bidi="he-IL"/>
        </w:rPr>
        <w:t>8</w:t>
      </w:r>
      <w:r w:rsidR="0057558A" w:rsidRPr="0057558A">
        <w:rPr>
          <w:lang w:bidi="he-IL"/>
        </w:rPr>
        <w:t xml:space="preserve"> </w:t>
      </w:r>
      <w:r w:rsidR="0057558A">
        <w:rPr>
          <w:lang w:bidi="he-IL"/>
        </w:rPr>
        <w:t>and 12:9</w:t>
      </w:r>
      <w:r w:rsidR="0057558A" w:rsidRPr="0057558A">
        <w:rPr>
          <w:lang w:bidi="he-IL"/>
        </w:rPr>
        <w:t>—13:4 form a</w:t>
      </w:r>
      <w:r w:rsidR="00AE3EE4">
        <w:rPr>
          <w:lang w:bidi="he-IL"/>
        </w:rPr>
        <w:t>n opening</w:t>
      </w:r>
      <w:r w:rsidR="0057558A" w:rsidRPr="0057558A">
        <w:rPr>
          <w:lang w:bidi="he-IL"/>
        </w:rPr>
        <w:t xml:space="preserve"> pair </w:t>
      </w:r>
      <w:r w:rsidR="00850711">
        <w:rPr>
          <w:lang w:bidi="he-IL"/>
        </w:rPr>
        <w:t>of unit</w:t>
      </w:r>
      <w:r w:rsidR="0057558A">
        <w:rPr>
          <w:lang w:bidi="he-IL"/>
        </w:rPr>
        <w:t xml:space="preserve">s </w:t>
      </w:r>
      <w:r w:rsidR="00AE3EE4">
        <w:rPr>
          <w:lang w:bidi="he-IL"/>
        </w:rPr>
        <w:t xml:space="preserve">that lay out </w:t>
      </w:r>
      <w:r w:rsidR="0057558A" w:rsidRPr="0057558A">
        <w:rPr>
          <w:lang w:bidi="he-IL"/>
        </w:rPr>
        <w:t xml:space="preserve">two sides to Yahweh </w:t>
      </w:r>
      <w:r w:rsidR="00AE3EE4">
        <w:rPr>
          <w:lang w:bidi="he-IL"/>
        </w:rPr>
        <w:t xml:space="preserve">(he commands and </w:t>
      </w:r>
      <w:r w:rsidR="0057558A">
        <w:rPr>
          <w:lang w:bidi="he-IL"/>
        </w:rPr>
        <w:t xml:space="preserve">promises) </w:t>
      </w:r>
      <w:r w:rsidR="00AE3EE4">
        <w:rPr>
          <w:lang w:bidi="he-IL"/>
        </w:rPr>
        <w:t xml:space="preserve">and </w:t>
      </w:r>
      <w:r w:rsidR="0057558A" w:rsidRPr="0057558A">
        <w:rPr>
          <w:lang w:bidi="he-IL"/>
        </w:rPr>
        <w:t xml:space="preserve">two sides to Abraham </w:t>
      </w:r>
      <w:r w:rsidR="00AE3EE4">
        <w:rPr>
          <w:lang w:bidi="he-IL"/>
        </w:rPr>
        <w:t>(he</w:t>
      </w:r>
      <w:r w:rsidR="0057558A">
        <w:rPr>
          <w:lang w:bidi="he-IL"/>
        </w:rPr>
        <w:t xml:space="preserve"> obe</w:t>
      </w:r>
      <w:r w:rsidR="00AE3EE4">
        <w:rPr>
          <w:lang w:bidi="he-IL"/>
        </w:rPr>
        <w:t>ys and trusts</w:t>
      </w:r>
      <w:r w:rsidR="00850711">
        <w:rPr>
          <w:lang w:bidi="he-IL"/>
        </w:rPr>
        <w:t>,</w:t>
      </w:r>
      <w:r w:rsidR="00AE3EE4">
        <w:rPr>
          <w:lang w:bidi="he-IL"/>
        </w:rPr>
        <w:t xml:space="preserve"> and his </w:t>
      </w:r>
      <w:r w:rsidR="0057558A">
        <w:rPr>
          <w:lang w:bidi="he-IL"/>
        </w:rPr>
        <w:t xml:space="preserve">faith and commitment waver) </w:t>
      </w:r>
      <w:r w:rsidR="00AE3EE4">
        <w:rPr>
          <w:lang w:bidi="he-IL"/>
        </w:rPr>
        <w:t>which the subsequent</w:t>
      </w:r>
      <w:r w:rsidR="0057558A" w:rsidRPr="0057558A">
        <w:rPr>
          <w:lang w:bidi="he-IL"/>
        </w:rPr>
        <w:t xml:space="preserve"> stories then </w:t>
      </w:r>
      <w:r w:rsidR="00AE3EE4">
        <w:rPr>
          <w:lang w:bidi="he-IL"/>
        </w:rPr>
        <w:t xml:space="preserve">further </w:t>
      </w:r>
      <w:r w:rsidR="0057558A" w:rsidRPr="0057558A">
        <w:rPr>
          <w:lang w:bidi="he-IL"/>
        </w:rPr>
        <w:t>illustrate</w:t>
      </w:r>
      <w:r w:rsidR="0057558A">
        <w:rPr>
          <w:lang w:bidi="he-IL"/>
        </w:rPr>
        <w:t xml:space="preserve">. </w:t>
      </w:r>
      <w:r w:rsidR="005F2BF0">
        <w:rPr>
          <w:lang w:bidi="he-IL"/>
        </w:rPr>
        <w:t>The</w:t>
      </w:r>
      <w:r w:rsidR="00744F29">
        <w:rPr>
          <w:lang w:bidi="he-IL"/>
        </w:rPr>
        <w:t xml:space="preserve"> first five</w:t>
      </w:r>
      <w:r w:rsidR="006330EF">
        <w:rPr>
          <w:lang w:bidi="he-IL"/>
        </w:rPr>
        <w:t xml:space="preserve"> </w:t>
      </w:r>
      <w:r w:rsidR="00850711">
        <w:rPr>
          <w:lang w:bidi="he-IL"/>
        </w:rPr>
        <w:t>units</w:t>
      </w:r>
      <w:r w:rsidR="00146A7E">
        <w:rPr>
          <w:lang w:bidi="he-IL"/>
        </w:rPr>
        <w:t xml:space="preserve"> lead into one another:</w:t>
      </w:r>
    </w:p>
    <w:p w14:paraId="36F82E26" w14:textId="77777777" w:rsidR="005F2BF0" w:rsidRDefault="005F2BF0" w:rsidP="00A81F74">
      <w:pPr>
        <w:rPr>
          <w:lang w:bidi="he-IL"/>
        </w:rPr>
      </w:pPr>
    </w:p>
    <w:p w14:paraId="6A0F3D4C" w14:textId="77777777" w:rsidR="006330EF" w:rsidRDefault="005F2BF0" w:rsidP="00A81F74">
      <w:pPr>
        <w:rPr>
          <w:lang w:bidi="he-IL"/>
        </w:rPr>
      </w:pPr>
      <w:r>
        <w:rPr>
          <w:lang w:bidi="he-IL"/>
        </w:rPr>
        <w:t>11:27—12:8</w:t>
      </w:r>
      <w:r w:rsidR="006330EF">
        <w:rPr>
          <w:lang w:bidi="he-IL"/>
        </w:rPr>
        <w:t xml:space="preserve"> </w:t>
      </w:r>
      <w:r>
        <w:rPr>
          <w:lang w:bidi="he-IL"/>
        </w:rPr>
        <w:tab/>
        <w:t xml:space="preserve">Terah moves, </w:t>
      </w:r>
      <w:r w:rsidR="006330EF">
        <w:rPr>
          <w:lang w:bidi="he-IL"/>
        </w:rPr>
        <w:t xml:space="preserve">Yahweh </w:t>
      </w:r>
      <w:r>
        <w:rPr>
          <w:lang w:bidi="he-IL"/>
        </w:rPr>
        <w:t>issues a summons and</w:t>
      </w:r>
      <w:r w:rsidR="006330EF">
        <w:rPr>
          <w:lang w:bidi="he-IL"/>
        </w:rPr>
        <w:t xml:space="preserve"> promises</w:t>
      </w:r>
      <w:r>
        <w:rPr>
          <w:lang w:bidi="he-IL"/>
        </w:rPr>
        <w:t>,</w:t>
      </w:r>
      <w:r w:rsidR="006330EF">
        <w:rPr>
          <w:lang w:bidi="he-IL"/>
        </w:rPr>
        <w:t xml:space="preserve"> Abraham obeys</w:t>
      </w:r>
    </w:p>
    <w:p w14:paraId="65AF701D" w14:textId="77777777" w:rsidR="006330EF" w:rsidRDefault="005F2BF0" w:rsidP="00A81F74">
      <w:pPr>
        <w:rPr>
          <w:lang w:bidi="he-IL"/>
        </w:rPr>
      </w:pPr>
      <w:r>
        <w:rPr>
          <w:lang w:bidi="he-IL"/>
        </w:rPr>
        <w:t>12:9</w:t>
      </w:r>
      <w:r w:rsidR="006330EF">
        <w:rPr>
          <w:lang w:bidi="he-IL"/>
        </w:rPr>
        <w:t xml:space="preserve">—13:4 </w:t>
      </w:r>
      <w:r>
        <w:rPr>
          <w:lang w:bidi="he-IL"/>
        </w:rPr>
        <w:tab/>
      </w:r>
      <w:r w:rsidR="006330EF">
        <w:rPr>
          <w:lang w:bidi="he-IL"/>
        </w:rPr>
        <w:t xml:space="preserve">Yahweh’s promises </w:t>
      </w:r>
      <w:r w:rsidR="00744F29">
        <w:rPr>
          <w:lang w:bidi="he-IL"/>
        </w:rPr>
        <w:t>aren’t working out,</w:t>
      </w:r>
      <w:r w:rsidR="006330EF">
        <w:rPr>
          <w:lang w:bidi="he-IL"/>
        </w:rPr>
        <w:t xml:space="preserve"> Abraham panics</w:t>
      </w:r>
    </w:p>
    <w:p w14:paraId="166CEAC5" w14:textId="77777777" w:rsidR="006330EF" w:rsidRDefault="006330EF" w:rsidP="00A81F74">
      <w:pPr>
        <w:rPr>
          <w:lang w:bidi="he-IL"/>
        </w:rPr>
      </w:pPr>
      <w:r>
        <w:rPr>
          <w:lang w:bidi="he-IL"/>
        </w:rPr>
        <w:t xml:space="preserve">13:5-18 </w:t>
      </w:r>
      <w:r w:rsidR="005F2BF0">
        <w:rPr>
          <w:lang w:bidi="he-IL"/>
        </w:rPr>
        <w:tab/>
      </w:r>
      <w:r>
        <w:rPr>
          <w:lang w:bidi="he-IL"/>
        </w:rPr>
        <w:t>Yahweh’s</w:t>
      </w:r>
      <w:r w:rsidR="00744F29">
        <w:rPr>
          <w:lang w:bidi="he-IL"/>
        </w:rPr>
        <w:t xml:space="preserve"> promises aren’t working out,</w:t>
      </w:r>
      <w:r>
        <w:rPr>
          <w:lang w:bidi="he-IL"/>
        </w:rPr>
        <w:t xml:space="preserve"> </w:t>
      </w:r>
      <w:r w:rsidR="00762352">
        <w:rPr>
          <w:lang w:bidi="he-IL"/>
        </w:rPr>
        <w:t>Abraham makes a sacrifice to Lot</w:t>
      </w:r>
    </w:p>
    <w:p w14:paraId="6B77400F" w14:textId="77777777" w:rsidR="00762352" w:rsidRDefault="00762352" w:rsidP="00A81F74">
      <w:pPr>
        <w:rPr>
          <w:lang w:bidi="he-IL"/>
        </w:rPr>
      </w:pPr>
      <w:r>
        <w:rPr>
          <w:lang w:bidi="he-IL"/>
        </w:rPr>
        <w:t xml:space="preserve">14:1-24 </w:t>
      </w:r>
      <w:r w:rsidR="005F2BF0">
        <w:rPr>
          <w:lang w:bidi="he-IL"/>
        </w:rPr>
        <w:tab/>
      </w:r>
      <w:proofErr w:type="gramStart"/>
      <w:r w:rsidR="005F2BF0">
        <w:rPr>
          <w:lang w:bidi="he-IL"/>
        </w:rPr>
        <w:t>The</w:t>
      </w:r>
      <w:proofErr w:type="gramEnd"/>
      <w:r w:rsidR="005F2BF0">
        <w:rPr>
          <w:lang w:bidi="he-IL"/>
        </w:rPr>
        <w:t xml:space="preserve"> sacrifice has </w:t>
      </w:r>
      <w:r>
        <w:rPr>
          <w:lang w:bidi="he-IL"/>
        </w:rPr>
        <w:t>repercussion</w:t>
      </w:r>
      <w:r w:rsidR="005F2BF0">
        <w:rPr>
          <w:lang w:bidi="he-IL"/>
        </w:rPr>
        <w:t>s</w:t>
      </w:r>
      <w:r w:rsidR="00850711">
        <w:rPr>
          <w:lang w:bidi="he-IL"/>
        </w:rPr>
        <w:t xml:space="preserve"> which require</w:t>
      </w:r>
      <w:r>
        <w:rPr>
          <w:lang w:bidi="he-IL"/>
        </w:rPr>
        <w:t xml:space="preserve"> another commitment</w:t>
      </w:r>
    </w:p>
    <w:p w14:paraId="58E17E00" w14:textId="77777777" w:rsidR="00D11D12" w:rsidRPr="00D11D12" w:rsidRDefault="00D11D12" w:rsidP="00D11D12">
      <w:pPr>
        <w:rPr>
          <w:lang w:bidi="he-IL"/>
        </w:rPr>
      </w:pPr>
      <w:r w:rsidRPr="00D11D12">
        <w:rPr>
          <w:lang w:bidi="he-IL"/>
        </w:rPr>
        <w:t>15:1-21</w:t>
      </w:r>
      <w:r>
        <w:rPr>
          <w:lang w:bidi="he-IL"/>
        </w:rPr>
        <w:tab/>
      </w:r>
      <w:r>
        <w:rPr>
          <w:lang w:bidi="he-IL"/>
        </w:rPr>
        <w:tab/>
        <w:t>Yahweh</w:t>
      </w:r>
      <w:r w:rsidRPr="00D11D12">
        <w:rPr>
          <w:lang w:bidi="he-IL"/>
        </w:rPr>
        <w:t xml:space="preserve"> </w:t>
      </w:r>
      <w:r>
        <w:rPr>
          <w:lang w:bidi="he-IL"/>
        </w:rPr>
        <w:t xml:space="preserve">gives a </w:t>
      </w:r>
      <w:r w:rsidRPr="00D11D12">
        <w:rPr>
          <w:lang w:bidi="he-IL"/>
        </w:rPr>
        <w:t>reassurance</w:t>
      </w:r>
      <w:r>
        <w:rPr>
          <w:lang w:bidi="he-IL"/>
        </w:rPr>
        <w:t xml:space="preserve"> about offspring and </w:t>
      </w:r>
      <w:r w:rsidRPr="00D11D12">
        <w:rPr>
          <w:lang w:bidi="he-IL"/>
        </w:rPr>
        <w:t>a pact relating to the land</w:t>
      </w:r>
      <w:r w:rsidR="00AE3EE4">
        <w:rPr>
          <w:lang w:bidi="he-IL"/>
        </w:rPr>
        <w:t>.</w:t>
      </w:r>
    </w:p>
    <w:p w14:paraId="5DABBE42" w14:textId="77777777" w:rsidR="008C142B" w:rsidRDefault="008C142B" w:rsidP="00A81F74">
      <w:pPr>
        <w:rPr>
          <w:lang w:bidi="he-IL"/>
        </w:rPr>
      </w:pPr>
    </w:p>
    <w:p w14:paraId="20AED846" w14:textId="77777777" w:rsidR="008C142B" w:rsidRDefault="00D11D12" w:rsidP="00146A7E">
      <w:pPr>
        <w:pStyle w:val="NoSpacing"/>
        <w:rPr>
          <w:lang w:bidi="he-IL"/>
        </w:rPr>
      </w:pPr>
      <w:r>
        <w:rPr>
          <w:lang w:bidi="he-IL"/>
        </w:rPr>
        <w:t>That last unit marks a transition to the</w:t>
      </w:r>
      <w:r w:rsidR="00146A7E">
        <w:rPr>
          <w:lang w:bidi="he-IL"/>
        </w:rPr>
        <w:t xml:space="preserve"> middle un</w:t>
      </w:r>
      <w:r w:rsidR="00794246">
        <w:rPr>
          <w:lang w:bidi="he-IL"/>
        </w:rPr>
        <w:t>its</w:t>
      </w:r>
      <w:r>
        <w:rPr>
          <w:rStyle w:val="FootnoteReference"/>
          <w:lang w:bidi="he-IL"/>
        </w:rPr>
        <w:footnoteReference w:id="6"/>
      </w:r>
      <w:r w:rsidR="00794246">
        <w:rPr>
          <w:lang w:bidi="he-IL"/>
        </w:rPr>
        <w:t xml:space="preserve"> </w:t>
      </w:r>
      <w:r>
        <w:rPr>
          <w:lang w:bidi="he-IL"/>
        </w:rPr>
        <w:t xml:space="preserve">which </w:t>
      </w:r>
      <w:r w:rsidR="00794246">
        <w:rPr>
          <w:lang w:bidi="he-IL"/>
        </w:rPr>
        <w:t xml:space="preserve">center on the </w:t>
      </w:r>
      <w:r w:rsidR="00146A7E">
        <w:rPr>
          <w:lang w:bidi="he-IL"/>
        </w:rPr>
        <w:t>promise of o</w:t>
      </w:r>
      <w:r w:rsidR="00794246">
        <w:rPr>
          <w:lang w:bidi="he-IL"/>
        </w:rPr>
        <w:t>ffspring:</w:t>
      </w:r>
    </w:p>
    <w:p w14:paraId="6EABB74A" w14:textId="77777777" w:rsidR="006330EF" w:rsidRDefault="006330EF" w:rsidP="00A81F74">
      <w:pPr>
        <w:rPr>
          <w:lang w:bidi="he-IL"/>
        </w:rPr>
      </w:pPr>
    </w:p>
    <w:p w14:paraId="4CA3851F" w14:textId="77777777" w:rsidR="006E15C2" w:rsidRDefault="006E15C2" w:rsidP="00A81F74">
      <w:pPr>
        <w:rPr>
          <w:lang w:bidi="he-IL"/>
        </w:rPr>
      </w:pPr>
      <w:r>
        <w:rPr>
          <w:lang w:bidi="he-IL"/>
        </w:rPr>
        <w:lastRenderedPageBreak/>
        <w:t>16:1-16</w:t>
      </w:r>
      <w:r w:rsidR="00794246">
        <w:rPr>
          <w:lang w:bidi="he-IL"/>
        </w:rPr>
        <w:tab/>
      </w:r>
      <w:r w:rsidR="00794246">
        <w:rPr>
          <w:lang w:bidi="he-IL"/>
        </w:rPr>
        <w:tab/>
        <w:t>A false start, with conflict and resolution</w:t>
      </w:r>
    </w:p>
    <w:p w14:paraId="3836DE30" w14:textId="77777777" w:rsidR="006E15C2" w:rsidRDefault="006E15C2" w:rsidP="00A81F74">
      <w:pPr>
        <w:rPr>
          <w:lang w:bidi="he-IL"/>
        </w:rPr>
      </w:pPr>
      <w:r>
        <w:rPr>
          <w:lang w:bidi="he-IL"/>
        </w:rPr>
        <w:t>17:1-27</w:t>
      </w:r>
      <w:r w:rsidR="00794246">
        <w:rPr>
          <w:lang w:bidi="he-IL"/>
        </w:rPr>
        <w:tab/>
      </w:r>
      <w:r w:rsidR="00794246">
        <w:rPr>
          <w:lang w:bidi="he-IL"/>
        </w:rPr>
        <w:tab/>
        <w:t>A pact relating to the promise, with a sign</w:t>
      </w:r>
    </w:p>
    <w:p w14:paraId="2BF6AECE" w14:textId="77777777" w:rsidR="006E15C2" w:rsidRDefault="006E15C2" w:rsidP="00A81F74">
      <w:pPr>
        <w:rPr>
          <w:lang w:bidi="he-IL"/>
        </w:rPr>
      </w:pPr>
      <w:r>
        <w:rPr>
          <w:lang w:bidi="he-IL"/>
        </w:rPr>
        <w:t>18:1—19:38</w:t>
      </w:r>
      <w:r w:rsidR="00794246">
        <w:rPr>
          <w:lang w:bidi="he-IL"/>
        </w:rPr>
        <w:tab/>
      </w:r>
      <w:proofErr w:type="gramStart"/>
      <w:r w:rsidR="00794246">
        <w:rPr>
          <w:lang w:bidi="he-IL"/>
        </w:rPr>
        <w:t>A</w:t>
      </w:r>
      <w:proofErr w:type="gramEnd"/>
      <w:r w:rsidR="00794246">
        <w:rPr>
          <w:lang w:bidi="he-IL"/>
        </w:rPr>
        <w:t xml:space="preserve"> reiteration of the promise, with a contrasting story about Abraham’s nephew</w:t>
      </w:r>
    </w:p>
    <w:p w14:paraId="319CE6BC" w14:textId="77777777" w:rsidR="006E15C2" w:rsidRDefault="006E15C2" w:rsidP="00A81F74">
      <w:pPr>
        <w:rPr>
          <w:lang w:bidi="he-IL"/>
        </w:rPr>
      </w:pPr>
      <w:r>
        <w:rPr>
          <w:lang w:bidi="he-IL"/>
        </w:rPr>
        <w:t>20:1-18</w:t>
      </w:r>
      <w:r w:rsidR="00794246">
        <w:rPr>
          <w:lang w:bidi="he-IL"/>
        </w:rPr>
        <w:tab/>
      </w:r>
      <w:r w:rsidR="00794246">
        <w:rPr>
          <w:lang w:bidi="he-IL"/>
        </w:rPr>
        <w:tab/>
      </w:r>
      <w:proofErr w:type="gramStart"/>
      <w:r w:rsidR="00794246">
        <w:rPr>
          <w:lang w:bidi="he-IL"/>
        </w:rPr>
        <w:t>Another</w:t>
      </w:r>
      <w:proofErr w:type="gramEnd"/>
      <w:r w:rsidR="00794246">
        <w:rPr>
          <w:lang w:bidi="he-IL"/>
        </w:rPr>
        <w:t xml:space="preserve"> endangering of the potential mother of the offspring</w:t>
      </w:r>
    </w:p>
    <w:p w14:paraId="6B4C823A" w14:textId="77777777" w:rsidR="006E15C2" w:rsidRDefault="006E15C2" w:rsidP="00A81F74">
      <w:pPr>
        <w:rPr>
          <w:lang w:bidi="he-IL"/>
        </w:rPr>
      </w:pPr>
      <w:r>
        <w:rPr>
          <w:lang w:bidi="he-IL"/>
        </w:rPr>
        <w:t>21:1-34</w:t>
      </w:r>
      <w:r w:rsidR="00794246">
        <w:rPr>
          <w:lang w:bidi="he-IL"/>
        </w:rPr>
        <w:tab/>
      </w:r>
      <w:r w:rsidR="00794246">
        <w:rPr>
          <w:lang w:bidi="he-IL"/>
        </w:rPr>
        <w:tab/>
      </w:r>
      <w:proofErr w:type="gramStart"/>
      <w:r w:rsidR="00794246">
        <w:rPr>
          <w:lang w:bidi="he-IL"/>
        </w:rPr>
        <w:t>The</w:t>
      </w:r>
      <w:proofErr w:type="gramEnd"/>
      <w:r w:rsidR="00794246">
        <w:rPr>
          <w:lang w:bidi="he-IL"/>
        </w:rPr>
        <w:t xml:space="preserve"> birth of a son to Sarah, with conflicts and resolutions</w:t>
      </w:r>
    </w:p>
    <w:p w14:paraId="712CD34B" w14:textId="77777777" w:rsidR="00D11D12" w:rsidRDefault="00744F29" w:rsidP="00D11D12">
      <w:pPr>
        <w:rPr>
          <w:lang w:bidi="he-IL"/>
        </w:rPr>
      </w:pPr>
      <w:r>
        <w:rPr>
          <w:lang w:bidi="he-IL"/>
        </w:rPr>
        <w:t>22:1-19</w:t>
      </w:r>
      <w:r>
        <w:rPr>
          <w:lang w:bidi="he-IL"/>
        </w:rPr>
        <w:tab/>
      </w:r>
      <w:r>
        <w:rPr>
          <w:lang w:bidi="he-IL"/>
        </w:rPr>
        <w:tab/>
      </w:r>
      <w:proofErr w:type="gramStart"/>
      <w:r>
        <w:rPr>
          <w:lang w:bidi="he-IL"/>
        </w:rPr>
        <w:t>The</w:t>
      </w:r>
      <w:proofErr w:type="gramEnd"/>
      <w:r w:rsidR="00D11D12">
        <w:rPr>
          <w:lang w:bidi="he-IL"/>
        </w:rPr>
        <w:t xml:space="preserve"> testing of Abraham regarding Isaac</w:t>
      </w:r>
    </w:p>
    <w:p w14:paraId="5FB2D78F" w14:textId="77777777" w:rsidR="005F2BF0" w:rsidRDefault="005F2BF0" w:rsidP="00A81F74">
      <w:pPr>
        <w:rPr>
          <w:lang w:bidi="he-IL"/>
        </w:rPr>
      </w:pPr>
    </w:p>
    <w:p w14:paraId="6B0477C4" w14:textId="77777777" w:rsidR="005F2BF0" w:rsidRDefault="005F2BF0" w:rsidP="005F2BF0">
      <w:pPr>
        <w:pStyle w:val="NoSpacing"/>
        <w:rPr>
          <w:lang w:bidi="he-IL"/>
        </w:rPr>
      </w:pPr>
      <w:r>
        <w:rPr>
          <w:lang w:bidi="he-IL"/>
        </w:rPr>
        <w:t>The third section takes the story to is close</w:t>
      </w:r>
    </w:p>
    <w:p w14:paraId="25738CD8" w14:textId="77777777" w:rsidR="005F2BF0" w:rsidRDefault="005F2BF0" w:rsidP="00A81F74">
      <w:pPr>
        <w:rPr>
          <w:lang w:bidi="he-IL"/>
        </w:rPr>
      </w:pPr>
    </w:p>
    <w:p w14:paraId="5CEF1102" w14:textId="77777777" w:rsidR="006E15C2" w:rsidRDefault="006E15C2" w:rsidP="00A81F74">
      <w:pPr>
        <w:rPr>
          <w:lang w:bidi="he-IL"/>
        </w:rPr>
      </w:pPr>
      <w:r>
        <w:rPr>
          <w:lang w:bidi="he-IL"/>
        </w:rPr>
        <w:t>2</w:t>
      </w:r>
      <w:r w:rsidR="00744F29">
        <w:rPr>
          <w:lang w:bidi="he-IL"/>
        </w:rPr>
        <w:t>2:20—2</w:t>
      </w:r>
      <w:r>
        <w:rPr>
          <w:lang w:bidi="he-IL"/>
        </w:rPr>
        <w:t>3</w:t>
      </w:r>
      <w:r w:rsidR="00744F29">
        <w:rPr>
          <w:lang w:bidi="he-IL"/>
        </w:rPr>
        <w:t>:</w:t>
      </w:r>
      <w:r>
        <w:rPr>
          <w:lang w:bidi="he-IL"/>
        </w:rPr>
        <w:t>20</w:t>
      </w:r>
      <w:r w:rsidR="00744F29">
        <w:rPr>
          <w:lang w:bidi="he-IL"/>
        </w:rPr>
        <w:tab/>
        <w:t>A family report, Sarah’s death, and the acquiring of</w:t>
      </w:r>
      <w:r w:rsidR="005F2BF0">
        <w:rPr>
          <w:lang w:bidi="he-IL"/>
        </w:rPr>
        <w:t xml:space="preserve"> a </w:t>
      </w:r>
      <w:r w:rsidR="00744F29">
        <w:rPr>
          <w:lang w:bidi="he-IL"/>
        </w:rPr>
        <w:t>family burial place</w:t>
      </w:r>
    </w:p>
    <w:p w14:paraId="5A6C720F" w14:textId="77777777" w:rsidR="006E15C2" w:rsidRDefault="006E15C2" w:rsidP="00A81F74">
      <w:pPr>
        <w:rPr>
          <w:lang w:bidi="he-IL"/>
        </w:rPr>
      </w:pPr>
      <w:r>
        <w:rPr>
          <w:lang w:bidi="he-IL"/>
        </w:rPr>
        <w:t>24:1-67</w:t>
      </w:r>
      <w:r w:rsidR="00AE3EE4">
        <w:rPr>
          <w:lang w:bidi="he-IL"/>
        </w:rPr>
        <w:tab/>
      </w:r>
      <w:r w:rsidR="00AE3EE4">
        <w:rPr>
          <w:lang w:bidi="he-IL"/>
        </w:rPr>
        <w:tab/>
      </w:r>
      <w:proofErr w:type="gramStart"/>
      <w:r w:rsidR="00AE3EE4">
        <w:rPr>
          <w:lang w:bidi="he-IL"/>
        </w:rPr>
        <w:t>The</w:t>
      </w:r>
      <w:proofErr w:type="gramEnd"/>
      <w:r w:rsidR="00AE3EE4">
        <w:rPr>
          <w:lang w:bidi="he-IL"/>
        </w:rPr>
        <w:t xml:space="preserve"> acquisition</w:t>
      </w:r>
      <w:r w:rsidR="00744F29">
        <w:rPr>
          <w:lang w:bidi="he-IL"/>
        </w:rPr>
        <w:t xml:space="preserve"> of</w:t>
      </w:r>
      <w:r w:rsidR="005F2BF0">
        <w:rPr>
          <w:lang w:bidi="he-IL"/>
        </w:rPr>
        <w:t xml:space="preserve"> a wife for Isaac</w:t>
      </w:r>
    </w:p>
    <w:p w14:paraId="0D609EB7" w14:textId="60067BF7" w:rsidR="006E15C2" w:rsidRPr="00A81F74" w:rsidRDefault="00A56A8B" w:rsidP="00A81F74">
      <w:pPr>
        <w:rPr>
          <w:lang w:bidi="he-IL"/>
        </w:rPr>
      </w:pPr>
      <w:r>
        <w:rPr>
          <w:lang w:bidi="he-IL"/>
        </w:rPr>
        <w:t>25:1-11</w:t>
      </w:r>
      <w:r w:rsidR="005F2BF0">
        <w:rPr>
          <w:lang w:bidi="he-IL"/>
        </w:rPr>
        <w:tab/>
      </w:r>
      <w:r w:rsidR="005F2BF0">
        <w:rPr>
          <w:lang w:bidi="he-IL"/>
        </w:rPr>
        <w:tab/>
        <w:t>Abraham</w:t>
      </w:r>
      <w:r w:rsidR="00744F29">
        <w:rPr>
          <w:lang w:bidi="he-IL"/>
        </w:rPr>
        <w:t>’s preparation for dying and his death</w:t>
      </w:r>
    </w:p>
    <w:p w14:paraId="4EB59039" w14:textId="77777777" w:rsidR="00CF1D5E" w:rsidRDefault="00CF1D5E" w:rsidP="00CF1D5E">
      <w:pPr>
        <w:rPr>
          <w:lang w:bidi="he-IL"/>
        </w:rPr>
      </w:pPr>
    </w:p>
    <w:p w14:paraId="135E5E71" w14:textId="1953A0E0" w:rsidR="00F8413F" w:rsidRDefault="00F8413F" w:rsidP="00CF1D5E">
      <w:pPr>
        <w:rPr>
          <w:lang w:bidi="he-IL"/>
        </w:rPr>
      </w:pPr>
      <w:r>
        <w:rPr>
          <w:lang w:bidi="he-IL"/>
        </w:rPr>
        <w:t>Compared with the succeeding two parts of the drama, 11:27—25:11 comprises a series of stories that are in themselves relatively self-contained</w:t>
      </w:r>
      <w:r w:rsidR="00595C12">
        <w:rPr>
          <w:lang w:bidi="he-IL"/>
        </w:rPr>
        <w:t>, though part of their significance emerges from their place in the sequence to which they belong.</w:t>
      </w:r>
    </w:p>
    <w:p w14:paraId="0C5F943F" w14:textId="04FDB03A" w:rsidR="00A81F74" w:rsidRDefault="00A81F74" w:rsidP="00CF1D5E">
      <w:pPr>
        <w:rPr>
          <w:rFonts w:asciiTheme="majorHAnsi" w:eastAsiaTheme="majorEastAsia" w:hAnsiTheme="majorHAnsi" w:cstheme="majorBidi"/>
          <w:b/>
          <w:bCs/>
          <w:sz w:val="28"/>
          <w:szCs w:val="28"/>
          <w:lang w:bidi="he-IL"/>
        </w:rPr>
      </w:pPr>
      <w:r>
        <w:rPr>
          <w:lang w:bidi="he-IL"/>
        </w:rPr>
        <w:br w:type="page"/>
      </w:r>
    </w:p>
    <w:p w14:paraId="49C6F8C5" w14:textId="77777777" w:rsidR="00DA695A" w:rsidRDefault="00DA695A" w:rsidP="00DA695A">
      <w:pPr>
        <w:pStyle w:val="Heading1"/>
        <w:rPr>
          <w:lang w:bidi="he-IL"/>
        </w:rPr>
      </w:pPr>
      <w:r w:rsidRPr="00DA695A">
        <w:rPr>
          <w:lang w:bidi="he-IL"/>
        </w:rPr>
        <w:lastRenderedPageBreak/>
        <w:t>Genesis 11</w:t>
      </w:r>
      <w:r w:rsidR="0045325D">
        <w:rPr>
          <w:lang w:bidi="he-IL"/>
        </w:rPr>
        <w:t>:27—12:8</w:t>
      </w:r>
      <w:r w:rsidR="008E7D9E">
        <w:rPr>
          <w:lang w:bidi="he-IL"/>
        </w:rPr>
        <w:t>—</w:t>
      </w:r>
      <w:proofErr w:type="gramStart"/>
      <w:r w:rsidR="008E7D9E">
        <w:rPr>
          <w:lang w:bidi="he-IL"/>
        </w:rPr>
        <w:t>The</w:t>
      </w:r>
      <w:proofErr w:type="gramEnd"/>
      <w:r w:rsidR="008E7D9E">
        <w:rPr>
          <w:lang w:bidi="he-IL"/>
        </w:rPr>
        <w:t xml:space="preserve"> Background, the Summons, and the Promises</w:t>
      </w:r>
    </w:p>
    <w:p w14:paraId="71428D22" w14:textId="77777777" w:rsidR="004E6DFB" w:rsidRDefault="004E6DFB" w:rsidP="004E6DFB">
      <w:pPr>
        <w:rPr>
          <w:lang w:bidi="he-IL"/>
        </w:rPr>
      </w:pPr>
    </w:p>
    <w:p w14:paraId="212D3CF3" w14:textId="77777777" w:rsidR="00141055" w:rsidRPr="00DA695A" w:rsidRDefault="00141055" w:rsidP="00141055">
      <w:pPr>
        <w:pStyle w:val="Heading2"/>
        <w:rPr>
          <w:lang w:bidi="he-IL"/>
        </w:rPr>
      </w:pPr>
      <w:r>
        <w:rPr>
          <w:lang w:bidi="he-IL"/>
        </w:rPr>
        <w:t>Overview</w:t>
      </w:r>
    </w:p>
    <w:p w14:paraId="5F8809D2" w14:textId="77777777" w:rsidR="00B32DE0" w:rsidRDefault="004E6DFB" w:rsidP="00D56B85">
      <w:pPr>
        <w:rPr>
          <w:lang w:val="en-GB" w:bidi="he-IL"/>
        </w:rPr>
      </w:pPr>
      <w:r>
        <w:rPr>
          <w:lang w:bidi="he-IL"/>
        </w:rPr>
        <w:t>The</w:t>
      </w:r>
      <w:r>
        <w:rPr>
          <w:lang w:val="en-GB" w:bidi="he-IL"/>
        </w:rPr>
        <w:t xml:space="preserve"> </w:t>
      </w:r>
      <w:r w:rsidR="006E15C2">
        <w:rPr>
          <w:lang w:val="en-GB" w:bidi="he-IL"/>
        </w:rPr>
        <w:t xml:space="preserve">initial </w:t>
      </w:r>
      <w:r>
        <w:rPr>
          <w:lang w:val="en-GB" w:bidi="he-IL"/>
        </w:rPr>
        <w:t xml:space="preserve">question </w:t>
      </w:r>
      <w:r w:rsidR="006E15C2">
        <w:rPr>
          <w:lang w:val="en-GB" w:bidi="he-IL"/>
        </w:rPr>
        <w:t xml:space="preserve">which </w:t>
      </w:r>
      <w:r w:rsidRPr="004E6DFB">
        <w:rPr>
          <w:lang w:val="en-GB" w:bidi="he-IL"/>
        </w:rPr>
        <w:t>11:</w:t>
      </w:r>
      <w:r w:rsidR="0045325D">
        <w:rPr>
          <w:lang w:val="en-GB" w:bidi="he-IL"/>
        </w:rPr>
        <w:t>27—12:8</w:t>
      </w:r>
      <w:r w:rsidR="006E15C2">
        <w:rPr>
          <w:lang w:val="en-GB" w:bidi="he-IL"/>
        </w:rPr>
        <w:t xml:space="preserve"> answers</w:t>
      </w:r>
      <w:r w:rsidRPr="004E6DFB">
        <w:rPr>
          <w:lang w:val="en-GB" w:bidi="he-IL"/>
        </w:rPr>
        <w:t xml:space="preserve"> is, </w:t>
      </w:r>
      <w:r w:rsidR="003D56BA">
        <w:rPr>
          <w:lang w:val="en-GB" w:bidi="he-IL"/>
        </w:rPr>
        <w:t>“</w:t>
      </w:r>
      <w:r w:rsidRPr="004E6DFB">
        <w:rPr>
          <w:lang w:val="en-GB" w:bidi="he-IL"/>
        </w:rPr>
        <w:t>How did Abraham and Sarah come to be in Canaan?</w:t>
      </w:r>
      <w:r w:rsidR="003D56BA">
        <w:rPr>
          <w:lang w:val="en-GB" w:bidi="he-IL"/>
        </w:rPr>
        <w:t>”</w:t>
      </w:r>
      <w:r w:rsidR="00B32DE0">
        <w:rPr>
          <w:lang w:val="en-GB" w:bidi="he-IL"/>
        </w:rPr>
        <w:t xml:space="preserve"> </w:t>
      </w:r>
      <w:r w:rsidR="005E03C6">
        <w:rPr>
          <w:lang w:val="en-GB" w:bidi="he-IL"/>
        </w:rPr>
        <w:t>The story offers</w:t>
      </w:r>
      <w:r w:rsidR="00B32DE0">
        <w:rPr>
          <w:lang w:val="en-GB" w:bidi="he-IL"/>
        </w:rPr>
        <w:t xml:space="preserve"> three sorts of answer.</w:t>
      </w:r>
    </w:p>
    <w:p w14:paraId="00EDAB70" w14:textId="77777777" w:rsidR="00B32DE0" w:rsidRDefault="00B32DE0" w:rsidP="00D56B85">
      <w:pPr>
        <w:rPr>
          <w:lang w:val="en-GB" w:bidi="he-IL"/>
        </w:rPr>
      </w:pPr>
    </w:p>
    <w:p w14:paraId="38D69B9D" w14:textId="77777777" w:rsidR="00B32DE0" w:rsidRDefault="00B32DE0" w:rsidP="00B32DE0">
      <w:pPr>
        <w:pStyle w:val="ListParagraph"/>
        <w:numPr>
          <w:ilvl w:val="0"/>
          <w:numId w:val="2"/>
        </w:numPr>
        <w:ind w:left="720"/>
        <w:rPr>
          <w:lang w:val="en-GB" w:bidi="he-IL"/>
        </w:rPr>
      </w:pPr>
      <w:r>
        <w:rPr>
          <w:lang w:val="en-GB" w:bidi="he-IL"/>
        </w:rPr>
        <w:t>I</w:t>
      </w:r>
      <w:r w:rsidR="00850711">
        <w:rPr>
          <w:lang w:val="en-GB" w:bidi="he-IL"/>
        </w:rPr>
        <w:t>t happened</w:t>
      </w:r>
      <w:r w:rsidR="004E6DFB" w:rsidRPr="00B32DE0">
        <w:rPr>
          <w:lang w:val="en-GB" w:bidi="he-IL"/>
        </w:rPr>
        <w:t xml:space="preserve"> because Terah dec</w:t>
      </w:r>
      <w:r w:rsidR="00850711">
        <w:rPr>
          <w:lang w:val="en-GB" w:bidi="he-IL"/>
        </w:rPr>
        <w:t>ided</w:t>
      </w:r>
      <w:r w:rsidR="004E6DFB" w:rsidRPr="00B32DE0">
        <w:rPr>
          <w:lang w:val="en-GB" w:bidi="he-IL"/>
        </w:rPr>
        <w:t xml:space="preserve"> to move his family from Ur</w:t>
      </w:r>
    </w:p>
    <w:p w14:paraId="1C1CAB28" w14:textId="77777777" w:rsidR="00B32DE0" w:rsidRDefault="00B32DE0" w:rsidP="00B32DE0">
      <w:pPr>
        <w:pStyle w:val="ListParagraph"/>
        <w:numPr>
          <w:ilvl w:val="0"/>
          <w:numId w:val="2"/>
        </w:numPr>
        <w:ind w:left="720"/>
        <w:rPr>
          <w:lang w:val="en-GB" w:bidi="he-IL"/>
        </w:rPr>
      </w:pPr>
      <w:r>
        <w:rPr>
          <w:lang w:val="en-GB" w:bidi="he-IL"/>
        </w:rPr>
        <w:t xml:space="preserve">It </w:t>
      </w:r>
      <w:r w:rsidR="00850711">
        <w:rPr>
          <w:lang w:val="en-GB" w:bidi="he-IL"/>
        </w:rPr>
        <w:t>happened</w:t>
      </w:r>
      <w:r>
        <w:rPr>
          <w:lang w:val="en-GB" w:bidi="he-IL"/>
        </w:rPr>
        <w:t xml:space="preserve"> </w:t>
      </w:r>
      <w:r w:rsidR="004E6DFB" w:rsidRPr="00B32DE0">
        <w:rPr>
          <w:lang w:val="en-GB" w:bidi="he-IL"/>
        </w:rPr>
        <w:t>becau</w:t>
      </w:r>
      <w:r w:rsidR="00850711">
        <w:rPr>
          <w:lang w:val="en-GB" w:bidi="he-IL"/>
        </w:rPr>
        <w:t>se Yahweh bade</w:t>
      </w:r>
      <w:r w:rsidR="00096964">
        <w:rPr>
          <w:lang w:val="en-GB" w:bidi="he-IL"/>
        </w:rPr>
        <w:t xml:space="preserve"> Abraham go to Canaan</w:t>
      </w:r>
    </w:p>
    <w:p w14:paraId="12DEE9A9" w14:textId="77777777" w:rsidR="00B32DE0" w:rsidRDefault="00B32DE0" w:rsidP="00D56B85">
      <w:pPr>
        <w:pStyle w:val="ListParagraph"/>
        <w:numPr>
          <w:ilvl w:val="0"/>
          <w:numId w:val="2"/>
        </w:numPr>
        <w:ind w:left="720"/>
        <w:rPr>
          <w:lang w:val="en-GB" w:bidi="he-IL"/>
        </w:rPr>
      </w:pPr>
      <w:r w:rsidRPr="00703DF1">
        <w:rPr>
          <w:lang w:val="en-GB" w:bidi="he-IL"/>
        </w:rPr>
        <w:t>It</w:t>
      </w:r>
      <w:r w:rsidR="00D56B85" w:rsidRPr="00703DF1">
        <w:rPr>
          <w:lang w:val="en-GB" w:bidi="he-IL"/>
        </w:rPr>
        <w:t xml:space="preserve"> </w:t>
      </w:r>
      <w:r w:rsidR="00850711">
        <w:rPr>
          <w:lang w:val="en-GB" w:bidi="he-IL"/>
        </w:rPr>
        <w:t>happened</w:t>
      </w:r>
      <w:r w:rsidR="00703DF1" w:rsidRPr="00703DF1">
        <w:rPr>
          <w:lang w:val="en-GB" w:bidi="he-IL"/>
        </w:rPr>
        <w:t xml:space="preserve"> </w:t>
      </w:r>
      <w:r w:rsidR="00850711">
        <w:rPr>
          <w:lang w:val="en-GB" w:bidi="he-IL"/>
        </w:rPr>
        <w:t>because Abraham did as Yahweh said</w:t>
      </w:r>
      <w:r w:rsidR="00703DF1">
        <w:rPr>
          <w:lang w:val="en-GB" w:bidi="he-IL"/>
        </w:rPr>
        <w:t>.</w:t>
      </w:r>
    </w:p>
    <w:p w14:paraId="0CB6C0DB" w14:textId="77777777" w:rsidR="00703DF1" w:rsidRPr="00703DF1" w:rsidRDefault="00703DF1" w:rsidP="00101990">
      <w:pPr>
        <w:pStyle w:val="ListParagraph"/>
        <w:ind w:left="720" w:firstLine="0"/>
        <w:rPr>
          <w:lang w:val="en-GB" w:bidi="he-IL"/>
        </w:rPr>
      </w:pPr>
    </w:p>
    <w:p w14:paraId="5A113779" w14:textId="77777777" w:rsidR="006E15C2" w:rsidRDefault="00D044F3" w:rsidP="00D044F3">
      <w:pPr>
        <w:ind w:firstLine="0"/>
        <w:rPr>
          <w:lang w:val="en-GB" w:bidi="he-IL"/>
        </w:rPr>
      </w:pPr>
      <w:r>
        <w:rPr>
          <w:lang w:val="en-GB" w:bidi="he-IL"/>
        </w:rPr>
        <w:t>W</w:t>
      </w:r>
      <w:r w:rsidR="006E15C2">
        <w:rPr>
          <w:lang w:val="en-GB" w:bidi="he-IL"/>
        </w:rPr>
        <w:t>ith his bidding to</w:t>
      </w:r>
      <w:r>
        <w:rPr>
          <w:lang w:val="en-GB" w:bidi="he-IL"/>
        </w:rPr>
        <w:t xml:space="preserve"> Abraham Yahweh associates a series of</w:t>
      </w:r>
      <w:r w:rsidR="006E15C2">
        <w:rPr>
          <w:lang w:val="en-GB" w:bidi="he-IL"/>
        </w:rPr>
        <w:t xml:space="preserve"> promises:</w:t>
      </w:r>
    </w:p>
    <w:p w14:paraId="6189F359" w14:textId="77777777" w:rsidR="00D044F3" w:rsidRDefault="00D044F3" w:rsidP="006E15C2">
      <w:pPr>
        <w:rPr>
          <w:lang w:val="en-GB" w:bidi="he-IL"/>
        </w:rPr>
      </w:pPr>
    </w:p>
    <w:p w14:paraId="044987BC" w14:textId="77777777" w:rsidR="00D044F3" w:rsidRDefault="00D044F3" w:rsidP="006E15C2">
      <w:pPr>
        <w:pStyle w:val="ListParagraph"/>
        <w:numPr>
          <w:ilvl w:val="0"/>
          <w:numId w:val="6"/>
        </w:numPr>
        <w:ind w:left="720"/>
        <w:rPr>
          <w:lang w:val="en-GB" w:bidi="he-IL"/>
        </w:rPr>
      </w:pPr>
      <w:r>
        <w:rPr>
          <w:lang w:val="en-GB" w:bidi="he-IL"/>
        </w:rPr>
        <w:t>He will live in the country to which Yahweh directs him</w:t>
      </w:r>
    </w:p>
    <w:p w14:paraId="13E8E814" w14:textId="48AADE5E" w:rsidR="006E15C2" w:rsidRDefault="00D044F3" w:rsidP="006E15C2">
      <w:pPr>
        <w:pStyle w:val="ListParagraph"/>
        <w:numPr>
          <w:ilvl w:val="0"/>
          <w:numId w:val="6"/>
        </w:numPr>
        <w:ind w:left="720"/>
        <w:rPr>
          <w:lang w:val="en-GB" w:bidi="he-IL"/>
        </w:rPr>
      </w:pPr>
      <w:r>
        <w:rPr>
          <w:lang w:val="en-GB" w:bidi="he-IL"/>
        </w:rPr>
        <w:t xml:space="preserve">He will </w:t>
      </w:r>
      <w:r w:rsidR="00096964">
        <w:rPr>
          <w:lang w:val="en-GB" w:bidi="he-IL"/>
        </w:rPr>
        <w:t xml:space="preserve">be blessed and thus fruitful and will thus </w:t>
      </w:r>
      <w:r w:rsidR="00DF6E04">
        <w:rPr>
          <w:lang w:val="en-GB" w:bidi="he-IL"/>
        </w:rPr>
        <w:t>become a big</w:t>
      </w:r>
      <w:r>
        <w:rPr>
          <w:lang w:val="en-GB" w:bidi="he-IL"/>
        </w:rPr>
        <w:t xml:space="preserve"> nation</w:t>
      </w:r>
    </w:p>
    <w:p w14:paraId="691C0441" w14:textId="77777777" w:rsidR="00D044F3" w:rsidRDefault="00D044F3" w:rsidP="006E15C2">
      <w:pPr>
        <w:pStyle w:val="ListParagraph"/>
        <w:numPr>
          <w:ilvl w:val="0"/>
          <w:numId w:val="6"/>
        </w:numPr>
        <w:ind w:left="720"/>
        <w:rPr>
          <w:lang w:val="en-GB" w:bidi="he-IL"/>
        </w:rPr>
      </w:pPr>
      <w:r>
        <w:rPr>
          <w:lang w:val="en-GB" w:bidi="he-IL"/>
        </w:rPr>
        <w:t>He will experience Yahweh’s protection</w:t>
      </w:r>
    </w:p>
    <w:p w14:paraId="72DC2C45" w14:textId="77777777" w:rsidR="00D044F3" w:rsidRPr="006E15C2" w:rsidRDefault="00D044F3" w:rsidP="006E15C2">
      <w:pPr>
        <w:pStyle w:val="ListParagraph"/>
        <w:numPr>
          <w:ilvl w:val="0"/>
          <w:numId w:val="6"/>
        </w:numPr>
        <w:ind w:left="720"/>
        <w:rPr>
          <w:lang w:val="en-GB" w:bidi="he-IL"/>
        </w:rPr>
      </w:pPr>
      <w:r>
        <w:rPr>
          <w:lang w:val="en-GB" w:bidi="he-IL"/>
        </w:rPr>
        <w:t xml:space="preserve">He will become a standard </w:t>
      </w:r>
      <w:r w:rsidR="00096964">
        <w:rPr>
          <w:lang w:val="en-GB" w:bidi="he-IL"/>
        </w:rPr>
        <w:t xml:space="preserve">and means </w:t>
      </w:r>
      <w:r>
        <w:rPr>
          <w:lang w:val="en-GB" w:bidi="he-IL"/>
        </w:rPr>
        <w:t>whereby other nations will seek blessing</w:t>
      </w:r>
      <w:r w:rsidR="00096964">
        <w:rPr>
          <w:lang w:val="en-GB" w:bidi="he-IL"/>
        </w:rPr>
        <w:t>.</w:t>
      </w:r>
    </w:p>
    <w:p w14:paraId="039B3A2C" w14:textId="77777777" w:rsidR="00B32DE0" w:rsidRDefault="00B32DE0" w:rsidP="00D044F3">
      <w:pPr>
        <w:pStyle w:val="ListParagraph"/>
        <w:ind w:left="720" w:firstLine="0"/>
        <w:rPr>
          <w:lang w:val="en-GB" w:bidi="he-IL"/>
        </w:rPr>
      </w:pPr>
    </w:p>
    <w:p w14:paraId="75135B0F" w14:textId="77777777" w:rsidR="00D044F3" w:rsidRPr="00D044F3" w:rsidRDefault="00D044F3" w:rsidP="00D044F3">
      <w:pPr>
        <w:pStyle w:val="ListParagraph"/>
        <w:ind w:left="90" w:firstLine="0"/>
        <w:rPr>
          <w:lang w:val="en-GB" w:bidi="he-IL"/>
        </w:rPr>
      </w:pPr>
      <w:r w:rsidRPr="00D044F3">
        <w:rPr>
          <w:lang w:val="en-GB" w:bidi="he-IL"/>
        </w:rPr>
        <w:t xml:space="preserve">But there are obstacles </w:t>
      </w:r>
      <w:r w:rsidR="00EE2B0A">
        <w:rPr>
          <w:lang w:val="en-GB" w:bidi="he-IL"/>
        </w:rPr>
        <w:t xml:space="preserve">and complications </w:t>
      </w:r>
      <w:r w:rsidRPr="00D044F3">
        <w:rPr>
          <w:lang w:val="en-GB" w:bidi="he-IL"/>
        </w:rPr>
        <w:t xml:space="preserve">on the way. </w:t>
      </w:r>
    </w:p>
    <w:p w14:paraId="02994DAE" w14:textId="77777777" w:rsidR="00D044F3" w:rsidRPr="00D044F3" w:rsidRDefault="00D044F3" w:rsidP="00D044F3">
      <w:pPr>
        <w:pStyle w:val="ListParagraph"/>
        <w:ind w:left="720" w:firstLine="0"/>
        <w:rPr>
          <w:lang w:val="en-GB" w:bidi="he-IL"/>
        </w:rPr>
      </w:pPr>
    </w:p>
    <w:p w14:paraId="4E45D02C" w14:textId="77777777" w:rsidR="00C50848" w:rsidRDefault="00D044F3" w:rsidP="00C50848">
      <w:pPr>
        <w:pStyle w:val="ListParagraph"/>
        <w:numPr>
          <w:ilvl w:val="0"/>
          <w:numId w:val="3"/>
        </w:numPr>
        <w:ind w:left="720"/>
        <w:rPr>
          <w:lang w:val="en-GB" w:bidi="he-IL"/>
        </w:rPr>
      </w:pPr>
      <w:r>
        <w:rPr>
          <w:lang w:val="en-GB" w:bidi="he-IL"/>
        </w:rPr>
        <w:t>Sarah can’t have children</w:t>
      </w:r>
    </w:p>
    <w:p w14:paraId="674FF828" w14:textId="77777777" w:rsidR="00D044F3" w:rsidRDefault="00D044F3" w:rsidP="00D044F3">
      <w:pPr>
        <w:pStyle w:val="ListParagraph"/>
        <w:numPr>
          <w:ilvl w:val="0"/>
          <w:numId w:val="3"/>
        </w:numPr>
        <w:ind w:left="720"/>
        <w:rPr>
          <w:lang w:val="en-GB" w:bidi="he-IL"/>
        </w:rPr>
      </w:pPr>
      <w:r w:rsidRPr="00D044F3">
        <w:rPr>
          <w:lang w:val="en-GB" w:bidi="he-IL"/>
        </w:rPr>
        <w:t>Terah gets</w:t>
      </w:r>
      <w:r w:rsidR="00D56B85" w:rsidRPr="00D044F3">
        <w:rPr>
          <w:lang w:val="en-GB" w:bidi="he-IL"/>
        </w:rPr>
        <w:t xml:space="preserve"> diver</w:t>
      </w:r>
      <w:r w:rsidR="00B32DE0" w:rsidRPr="00D044F3">
        <w:rPr>
          <w:lang w:val="en-GB" w:bidi="he-IL"/>
        </w:rPr>
        <w:t>ted from cont</w:t>
      </w:r>
      <w:r>
        <w:rPr>
          <w:lang w:val="en-GB" w:bidi="he-IL"/>
        </w:rPr>
        <w:t>inuing to Canaan</w:t>
      </w:r>
      <w:r w:rsidR="00096964">
        <w:rPr>
          <w:lang w:val="en-GB" w:bidi="he-IL"/>
        </w:rPr>
        <w:t xml:space="preserve"> and eventually dies in Harran</w:t>
      </w:r>
    </w:p>
    <w:p w14:paraId="01F01504" w14:textId="0472B5B2" w:rsidR="00C50848" w:rsidRPr="00C50848" w:rsidRDefault="00C50848" w:rsidP="00C50848">
      <w:pPr>
        <w:pStyle w:val="ListParagraph"/>
        <w:numPr>
          <w:ilvl w:val="0"/>
          <w:numId w:val="3"/>
        </w:numPr>
        <w:ind w:left="720"/>
        <w:rPr>
          <w:lang w:val="en-GB" w:bidi="he-IL"/>
        </w:rPr>
      </w:pPr>
      <w:r w:rsidRPr="00C50848">
        <w:rPr>
          <w:lang w:val="en-GB" w:bidi="he-IL"/>
        </w:rPr>
        <w:t>Abraham</w:t>
      </w:r>
      <w:r>
        <w:rPr>
          <w:lang w:val="en-GB" w:bidi="he-IL"/>
        </w:rPr>
        <w:t>’s brother dies and Abra</w:t>
      </w:r>
      <w:r w:rsidR="00BF4EE8">
        <w:rPr>
          <w:lang w:val="en-GB" w:bidi="he-IL"/>
        </w:rPr>
        <w:t>ha</w:t>
      </w:r>
      <w:r>
        <w:rPr>
          <w:lang w:val="en-GB" w:bidi="he-IL"/>
        </w:rPr>
        <w:t>m</w:t>
      </w:r>
      <w:r w:rsidR="00727890">
        <w:rPr>
          <w:lang w:val="en-GB" w:bidi="he-IL"/>
        </w:rPr>
        <w:t xml:space="preserve"> </w:t>
      </w:r>
      <w:r w:rsidRPr="00C50848">
        <w:rPr>
          <w:lang w:val="en-GB" w:bidi="he-IL"/>
        </w:rPr>
        <w:t>has to take his nephew Lot with him</w:t>
      </w:r>
    </w:p>
    <w:p w14:paraId="7262DEF1" w14:textId="77777777" w:rsidR="00D044F3" w:rsidRDefault="00D044F3" w:rsidP="00D044F3">
      <w:pPr>
        <w:pStyle w:val="ListParagraph"/>
        <w:numPr>
          <w:ilvl w:val="0"/>
          <w:numId w:val="3"/>
        </w:numPr>
        <w:ind w:left="720"/>
        <w:rPr>
          <w:lang w:val="en-GB" w:bidi="he-IL"/>
        </w:rPr>
      </w:pPr>
      <w:r w:rsidRPr="00D044F3">
        <w:rPr>
          <w:lang w:val="en-GB" w:bidi="he-IL"/>
        </w:rPr>
        <w:t>The Canaanites are in occupation of the country</w:t>
      </w:r>
      <w:r w:rsidR="00C50848">
        <w:rPr>
          <w:lang w:val="en-GB" w:bidi="he-IL"/>
        </w:rPr>
        <w:t>.</w:t>
      </w:r>
    </w:p>
    <w:p w14:paraId="560FAF00" w14:textId="77777777" w:rsidR="00703DF1" w:rsidRDefault="00703DF1" w:rsidP="00703DF1">
      <w:pPr>
        <w:ind w:left="1440" w:firstLine="0"/>
        <w:rPr>
          <w:rFonts w:ascii="Calibri" w:eastAsia="Times New Roman" w:hAnsi="Calibri" w:cs="Times New Roman"/>
          <w:szCs w:val="20"/>
          <w:lang w:val="en-GB" w:bidi="he-IL"/>
        </w:rPr>
      </w:pPr>
    </w:p>
    <w:p w14:paraId="32B96FB0" w14:textId="77777777" w:rsidR="00B32DE0" w:rsidRPr="00703DF1" w:rsidRDefault="00C50848" w:rsidP="00703DF1">
      <w:pPr>
        <w:ind w:firstLine="0"/>
        <w:rPr>
          <w:lang w:val="en-GB" w:bidi="he-IL"/>
        </w:rPr>
      </w:pPr>
      <w:r>
        <w:rPr>
          <w:lang w:val="en-GB" w:bidi="he-IL"/>
        </w:rPr>
        <w:t>W</w:t>
      </w:r>
      <w:r w:rsidR="00703DF1">
        <w:rPr>
          <w:lang w:val="en-GB" w:bidi="he-IL"/>
        </w:rPr>
        <w:t>e have not seen t</w:t>
      </w:r>
      <w:r w:rsidR="00EE2B0A">
        <w:rPr>
          <w:lang w:val="en-GB" w:bidi="he-IL"/>
        </w:rPr>
        <w:t xml:space="preserve">he last of some of </w:t>
      </w:r>
      <w:r w:rsidR="00703DF1">
        <w:rPr>
          <w:lang w:val="en-GB" w:bidi="he-IL"/>
        </w:rPr>
        <w:t xml:space="preserve">these obstacles </w:t>
      </w:r>
      <w:r w:rsidR="00096964">
        <w:rPr>
          <w:lang w:val="en-GB" w:bidi="he-IL"/>
        </w:rPr>
        <w:t>and complications.</w:t>
      </w:r>
    </w:p>
    <w:p w14:paraId="0EFE80DE" w14:textId="77777777" w:rsidR="00DA695A" w:rsidRPr="00DA695A" w:rsidRDefault="00DA695A" w:rsidP="00DA695A">
      <w:pPr>
        <w:pStyle w:val="Heading2"/>
        <w:rPr>
          <w:lang w:bidi="he-IL"/>
        </w:rPr>
      </w:pPr>
      <w:r w:rsidRPr="00DA695A">
        <w:rPr>
          <w:lang w:bidi="he-IL"/>
        </w:rPr>
        <w:t>Translation</w:t>
      </w:r>
    </w:p>
    <w:p w14:paraId="54A27487" w14:textId="77777777" w:rsidR="00B67B20" w:rsidRDefault="00DA695A" w:rsidP="00DA695A">
      <w:pPr>
        <w:rPr>
          <w:rFonts w:ascii="Calibri" w:eastAsia="Times New Roman" w:hAnsi="Calibri" w:cs="Times New Roman"/>
          <w:szCs w:val="20"/>
          <w:lang w:val="en-GB" w:bidi="he-IL"/>
        </w:rPr>
      </w:pPr>
      <w:r w:rsidRPr="00DA695A">
        <w:rPr>
          <w:rFonts w:ascii="Calibri" w:eastAsia="Times New Roman" w:hAnsi="Calibri" w:cs="Times New Roman"/>
          <w:szCs w:val="20"/>
          <w:vertAlign w:val="superscript"/>
          <w:lang w:val="en-GB" w:bidi="he-IL"/>
        </w:rPr>
        <w:t>11:27</w:t>
      </w:r>
      <w:r w:rsidRPr="00DA695A">
        <w:rPr>
          <w:rFonts w:ascii="Calibri" w:eastAsia="Times New Roman" w:hAnsi="Calibri" w:cs="Times New Roman"/>
          <w:szCs w:val="20"/>
          <w:lang w:val="en-GB" w:bidi="he-IL"/>
        </w:rPr>
        <w:t>So</w:t>
      </w:r>
      <w:r w:rsidR="005552C9">
        <w:rPr>
          <w:rStyle w:val="FootnoteReference"/>
          <w:rFonts w:ascii="Calibri" w:eastAsia="Times New Roman" w:hAnsi="Calibri" w:cs="Times New Roman"/>
          <w:szCs w:val="20"/>
          <w:lang w:val="en-GB" w:bidi="he-IL"/>
        </w:rPr>
        <w:footnoteReference w:id="7"/>
      </w:r>
      <w:r w:rsidRPr="00DA695A">
        <w:rPr>
          <w:rFonts w:ascii="Calibri" w:eastAsia="Times New Roman" w:hAnsi="Calibri" w:cs="Times New Roman"/>
          <w:szCs w:val="20"/>
          <w:lang w:val="en-GB" w:bidi="he-IL"/>
        </w:rPr>
        <w:t xml:space="preserve"> these are Teraḥ’s lines of desc</w:t>
      </w:r>
      <w:r w:rsidR="00BF4EE8">
        <w:rPr>
          <w:rFonts w:ascii="Calibri" w:eastAsia="Times New Roman" w:hAnsi="Calibri" w:cs="Times New Roman"/>
          <w:szCs w:val="20"/>
          <w:lang w:val="en-GB" w:bidi="he-IL"/>
        </w:rPr>
        <w:t xml:space="preserve">ent. </w:t>
      </w:r>
    </w:p>
    <w:p w14:paraId="775D3B80" w14:textId="7E739AFE" w:rsidR="00DA695A" w:rsidRPr="00DA695A" w:rsidRDefault="00BF4EE8" w:rsidP="00DA695A">
      <w:pPr>
        <w:rPr>
          <w:rFonts w:ascii="Calibri" w:eastAsia="Times New Roman" w:hAnsi="Calibri" w:cs="Times New Roman"/>
          <w:szCs w:val="20"/>
          <w:lang w:val="en-GB" w:bidi="he-IL"/>
        </w:rPr>
      </w:pPr>
      <w:r>
        <w:rPr>
          <w:rFonts w:ascii="Calibri" w:eastAsia="Times New Roman" w:hAnsi="Calibri" w:cs="Times New Roman"/>
          <w:szCs w:val="20"/>
          <w:lang w:val="en-GB" w:bidi="he-IL"/>
        </w:rPr>
        <w:t>Teraḥ fathered Abram</w:t>
      </w:r>
      <w:r w:rsidR="00DA695A" w:rsidRPr="00DA695A">
        <w:rPr>
          <w:rFonts w:ascii="Calibri" w:eastAsia="Times New Roman" w:hAnsi="Calibri" w:cs="Times New Roman"/>
          <w:szCs w:val="20"/>
          <w:lang w:val="en-GB" w:bidi="he-IL"/>
        </w:rPr>
        <w:t>,</w:t>
      </w:r>
      <w:r w:rsidR="00FA7064">
        <w:rPr>
          <w:rStyle w:val="FootnoteReference"/>
          <w:rFonts w:ascii="Calibri" w:eastAsia="Times New Roman" w:hAnsi="Calibri" w:cs="Times New Roman"/>
          <w:szCs w:val="20"/>
          <w:lang w:val="en-GB" w:bidi="he-IL"/>
        </w:rPr>
        <w:footnoteReference w:id="8"/>
      </w:r>
      <w:r w:rsidR="00DA695A" w:rsidRPr="00DA695A">
        <w:rPr>
          <w:rFonts w:ascii="Calibri" w:eastAsia="Times New Roman" w:hAnsi="Calibri" w:cs="Times New Roman"/>
          <w:szCs w:val="20"/>
          <w:lang w:val="en-GB" w:bidi="he-IL"/>
        </w:rPr>
        <w:t xml:space="preserve"> Naḥor, and Haran, and Haran fathered Lot. </w:t>
      </w:r>
      <w:r w:rsidR="00DA695A" w:rsidRPr="00DA695A">
        <w:rPr>
          <w:rFonts w:ascii="Calibri" w:eastAsia="Times New Roman" w:hAnsi="Calibri" w:cs="Times New Roman"/>
          <w:szCs w:val="20"/>
          <w:vertAlign w:val="superscript"/>
          <w:lang w:val="en-GB" w:bidi="he-IL"/>
        </w:rPr>
        <w:t>28</w:t>
      </w:r>
      <w:r w:rsidR="00E92133">
        <w:rPr>
          <w:rFonts w:ascii="Calibri" w:eastAsia="Times New Roman" w:hAnsi="Calibri" w:cs="Times New Roman"/>
          <w:szCs w:val="20"/>
          <w:lang w:val="en-GB" w:bidi="he-IL"/>
        </w:rPr>
        <w:t>Haran died in the presence of</w:t>
      </w:r>
      <w:r w:rsidR="00DA695A" w:rsidRPr="00DA695A">
        <w:rPr>
          <w:rFonts w:ascii="Calibri" w:eastAsia="Times New Roman" w:hAnsi="Calibri" w:cs="Times New Roman"/>
          <w:szCs w:val="20"/>
          <w:vertAlign w:val="superscript"/>
          <w:lang w:val="en-GB" w:bidi="he-IL"/>
        </w:rPr>
        <w:footnoteReference w:id="9"/>
      </w:r>
      <w:r w:rsidR="00DA695A" w:rsidRPr="00DA695A">
        <w:rPr>
          <w:rFonts w:ascii="Calibri" w:eastAsia="Times New Roman" w:hAnsi="Calibri" w:cs="Times New Roman"/>
          <w:szCs w:val="20"/>
          <w:lang w:val="en-GB" w:bidi="he-IL"/>
        </w:rPr>
        <w:t xml:space="preserve"> Teraḥ his father in the country that was his homeland, Ur</w:t>
      </w:r>
      <w:r w:rsidR="002C44F8">
        <w:rPr>
          <w:rStyle w:val="FootnoteReference"/>
          <w:rFonts w:ascii="Calibri" w:eastAsia="Times New Roman" w:hAnsi="Calibri" w:cs="Times New Roman"/>
          <w:szCs w:val="20"/>
          <w:lang w:val="en-GB" w:bidi="he-IL"/>
        </w:rPr>
        <w:footnoteReference w:id="10"/>
      </w:r>
      <w:r w:rsidR="005552C9">
        <w:rPr>
          <w:rFonts w:ascii="Calibri" w:eastAsia="Times New Roman" w:hAnsi="Calibri" w:cs="Times New Roman"/>
          <w:szCs w:val="20"/>
          <w:lang w:val="en-GB" w:bidi="he-IL"/>
        </w:rPr>
        <w:t xml:space="preserve"> of the Kaś</w:t>
      </w:r>
      <w:r w:rsidR="00DA695A" w:rsidRPr="00DA695A">
        <w:rPr>
          <w:rFonts w:ascii="Calibri" w:eastAsia="Times New Roman" w:hAnsi="Calibri" w:cs="Times New Roman"/>
          <w:szCs w:val="20"/>
          <w:lang w:val="en-GB" w:bidi="he-IL"/>
        </w:rPr>
        <w:t>dites.</w:t>
      </w:r>
      <w:r w:rsidR="00DA695A" w:rsidRPr="00DA695A">
        <w:rPr>
          <w:rFonts w:ascii="Calibri" w:eastAsia="Times New Roman" w:hAnsi="Calibri" w:cs="Times New Roman"/>
          <w:szCs w:val="20"/>
          <w:vertAlign w:val="superscript"/>
          <w:lang w:val="en-GB" w:bidi="he-IL"/>
        </w:rPr>
        <w:footnoteReference w:id="11"/>
      </w:r>
      <w:r w:rsidR="00DA695A" w:rsidRPr="00DA695A">
        <w:rPr>
          <w:rFonts w:ascii="Calibri" w:eastAsia="Times New Roman" w:hAnsi="Calibri" w:cs="Times New Roman"/>
          <w:szCs w:val="20"/>
          <w:lang w:val="en-GB" w:bidi="he-IL"/>
        </w:rPr>
        <w:t xml:space="preserve"> </w:t>
      </w:r>
      <w:r w:rsidR="00DA695A" w:rsidRPr="00DA695A">
        <w:rPr>
          <w:rFonts w:ascii="Calibri" w:eastAsia="Times New Roman" w:hAnsi="Calibri" w:cs="Times New Roman"/>
          <w:szCs w:val="20"/>
          <w:vertAlign w:val="superscript"/>
          <w:lang w:val="en-GB" w:bidi="he-IL"/>
        </w:rPr>
        <w:t>29</w:t>
      </w:r>
      <w:r>
        <w:rPr>
          <w:rFonts w:ascii="Calibri" w:eastAsia="Times New Roman" w:hAnsi="Calibri" w:cs="Times New Roman"/>
          <w:szCs w:val="20"/>
          <w:lang w:val="en-GB" w:bidi="he-IL"/>
        </w:rPr>
        <w:t>Abram</w:t>
      </w:r>
      <w:r w:rsidR="00DA695A" w:rsidRPr="00DA695A">
        <w:rPr>
          <w:rFonts w:ascii="Calibri" w:eastAsia="Times New Roman" w:hAnsi="Calibri" w:cs="Times New Roman"/>
          <w:szCs w:val="20"/>
          <w:lang w:val="en-GB" w:bidi="he-IL"/>
        </w:rPr>
        <w:t xml:space="preserve"> and Naḥor got th</w:t>
      </w:r>
      <w:r>
        <w:rPr>
          <w:rFonts w:ascii="Calibri" w:eastAsia="Times New Roman" w:hAnsi="Calibri" w:cs="Times New Roman"/>
          <w:szCs w:val="20"/>
          <w:lang w:val="en-GB" w:bidi="he-IL"/>
        </w:rPr>
        <w:t>emselves wives; the name of Abram</w:t>
      </w:r>
      <w:r w:rsidR="00DA695A" w:rsidRPr="00DA695A">
        <w:rPr>
          <w:rFonts w:ascii="Calibri" w:eastAsia="Times New Roman" w:hAnsi="Calibri" w:cs="Times New Roman"/>
          <w:szCs w:val="20"/>
          <w:lang w:val="en-GB" w:bidi="he-IL"/>
        </w:rPr>
        <w:t>’s wife was Śara</w:t>
      </w:r>
      <w:r w:rsidR="00755A39">
        <w:rPr>
          <w:rFonts w:ascii="Calibri" w:eastAsia="Times New Roman" w:hAnsi="Calibri" w:cs="Times New Roman"/>
          <w:szCs w:val="20"/>
          <w:lang w:val="en-GB" w:bidi="he-IL"/>
        </w:rPr>
        <w:t>y</w:t>
      </w:r>
      <w:r w:rsidR="00DA695A" w:rsidRPr="00DA695A">
        <w:rPr>
          <w:rFonts w:ascii="Calibri" w:eastAsia="Times New Roman" w:hAnsi="Calibri" w:cs="Times New Roman"/>
          <w:szCs w:val="20"/>
          <w:lang w:val="en-GB" w:bidi="he-IL"/>
        </w:rPr>
        <w:t xml:space="preserve"> and the name of Naḥ</w:t>
      </w:r>
      <w:r w:rsidR="0076456E">
        <w:rPr>
          <w:rFonts w:ascii="Calibri" w:eastAsia="Times New Roman" w:hAnsi="Calibri" w:cs="Times New Roman"/>
          <w:szCs w:val="20"/>
          <w:lang w:val="en-GB" w:bidi="he-IL"/>
        </w:rPr>
        <w:t>or’s wife was Milkah bat</w:t>
      </w:r>
      <w:r w:rsidR="00DA695A" w:rsidRPr="00DA695A">
        <w:rPr>
          <w:rFonts w:ascii="Calibri" w:eastAsia="Times New Roman" w:hAnsi="Calibri" w:cs="Times New Roman"/>
          <w:szCs w:val="20"/>
          <w:lang w:val="en-GB" w:bidi="he-IL"/>
        </w:rPr>
        <w:t xml:space="preserve"> Haran, the father of Milkah and of Yiskah. </w:t>
      </w:r>
      <w:r w:rsidR="00DA695A" w:rsidRPr="00DA695A">
        <w:rPr>
          <w:rFonts w:ascii="Calibri" w:eastAsia="Times New Roman" w:hAnsi="Calibri" w:cs="Times New Roman"/>
          <w:szCs w:val="20"/>
          <w:vertAlign w:val="superscript"/>
          <w:lang w:val="en-GB" w:bidi="he-IL"/>
        </w:rPr>
        <w:t>30</w:t>
      </w:r>
      <w:r w:rsidR="00DA695A" w:rsidRPr="00DA695A">
        <w:rPr>
          <w:rFonts w:ascii="Calibri" w:eastAsia="Times New Roman" w:hAnsi="Calibri" w:cs="Times New Roman"/>
          <w:szCs w:val="20"/>
          <w:lang w:val="en-GB" w:bidi="he-IL"/>
        </w:rPr>
        <w:t>But Śaray was infertile;</w:t>
      </w:r>
      <w:r w:rsidR="002C55E4">
        <w:rPr>
          <w:rStyle w:val="FootnoteReference"/>
          <w:rFonts w:ascii="Calibri" w:eastAsia="Times New Roman" w:hAnsi="Calibri" w:cs="Times New Roman"/>
          <w:szCs w:val="20"/>
          <w:lang w:val="en-GB" w:bidi="he-IL"/>
        </w:rPr>
        <w:footnoteReference w:id="12"/>
      </w:r>
      <w:r w:rsidR="00DA695A" w:rsidRPr="00DA695A">
        <w:rPr>
          <w:rFonts w:ascii="Calibri" w:eastAsia="Times New Roman" w:hAnsi="Calibri" w:cs="Times New Roman"/>
          <w:szCs w:val="20"/>
          <w:lang w:val="en-GB" w:bidi="he-IL"/>
        </w:rPr>
        <w:t xml:space="preserve"> she had no child.</w:t>
      </w:r>
      <w:r w:rsidR="00B56E72">
        <w:rPr>
          <w:rStyle w:val="FootnoteReference"/>
          <w:rFonts w:ascii="Calibri" w:eastAsia="Times New Roman" w:hAnsi="Calibri" w:cs="Times New Roman"/>
          <w:szCs w:val="20"/>
          <w:lang w:val="en-GB" w:bidi="he-IL"/>
        </w:rPr>
        <w:footnoteReference w:id="13"/>
      </w:r>
      <w:r w:rsidR="00DA695A" w:rsidRPr="00DA695A">
        <w:rPr>
          <w:rFonts w:ascii="Calibri" w:eastAsia="Times New Roman" w:hAnsi="Calibri" w:cs="Times New Roman"/>
          <w:szCs w:val="20"/>
          <w:lang w:val="en-GB" w:bidi="he-IL"/>
        </w:rPr>
        <w:t xml:space="preserve"> </w:t>
      </w:r>
    </w:p>
    <w:p w14:paraId="4EC0A33F" w14:textId="13731B1B" w:rsidR="00DA695A" w:rsidRDefault="00DA695A" w:rsidP="00DA695A">
      <w:pPr>
        <w:rPr>
          <w:rFonts w:ascii="Calibri" w:eastAsia="Times New Roman" w:hAnsi="Calibri" w:cs="Times New Roman"/>
          <w:szCs w:val="20"/>
          <w:lang w:val="en-GB" w:bidi="he-IL"/>
        </w:rPr>
      </w:pPr>
      <w:r w:rsidRPr="00DA695A">
        <w:rPr>
          <w:rFonts w:ascii="Calibri" w:eastAsia="Times New Roman" w:hAnsi="Calibri" w:cs="Times New Roman"/>
          <w:szCs w:val="20"/>
          <w:vertAlign w:val="superscript"/>
          <w:lang w:val="en-GB" w:bidi="he-IL"/>
        </w:rPr>
        <w:lastRenderedPageBreak/>
        <w:t>31</w:t>
      </w:r>
      <w:r w:rsidRPr="00DA695A">
        <w:rPr>
          <w:rFonts w:ascii="Calibri" w:eastAsia="Times New Roman" w:hAnsi="Calibri" w:cs="Times New Roman"/>
          <w:szCs w:val="20"/>
          <w:lang w:val="en-GB" w:bidi="he-IL"/>
        </w:rPr>
        <w:t xml:space="preserve">Teraḥ </w:t>
      </w:r>
      <w:r w:rsidR="004002A3">
        <w:rPr>
          <w:rFonts w:ascii="Calibri" w:eastAsia="Times New Roman" w:hAnsi="Calibri" w:cs="Times New Roman"/>
          <w:szCs w:val="20"/>
          <w:lang w:val="en-GB" w:bidi="he-IL"/>
        </w:rPr>
        <w:t>got</w:t>
      </w:r>
      <w:r w:rsidR="00BF4EE8">
        <w:rPr>
          <w:rFonts w:ascii="Calibri" w:eastAsia="Times New Roman" w:hAnsi="Calibri" w:cs="Times New Roman"/>
          <w:szCs w:val="20"/>
          <w:lang w:val="en-GB" w:bidi="he-IL"/>
        </w:rPr>
        <w:t xml:space="preserve"> Abram</w:t>
      </w:r>
      <w:r w:rsidR="00491ED1">
        <w:rPr>
          <w:rFonts w:ascii="Calibri" w:eastAsia="Times New Roman" w:hAnsi="Calibri" w:cs="Times New Roman"/>
          <w:szCs w:val="20"/>
          <w:lang w:val="en-GB" w:bidi="he-IL"/>
        </w:rPr>
        <w:t xml:space="preserve"> his son, Lot ben Haran</w:t>
      </w:r>
      <w:r w:rsidRPr="00DA695A">
        <w:rPr>
          <w:rFonts w:ascii="Calibri" w:eastAsia="Times New Roman" w:hAnsi="Calibri" w:cs="Times New Roman"/>
          <w:szCs w:val="20"/>
          <w:lang w:val="en-GB" w:bidi="he-IL"/>
        </w:rPr>
        <w:t xml:space="preserve"> his grandson, and Śaray his d</w:t>
      </w:r>
      <w:r w:rsidR="00595C12">
        <w:rPr>
          <w:rFonts w:ascii="Calibri" w:eastAsia="Times New Roman" w:hAnsi="Calibri" w:cs="Times New Roman"/>
          <w:szCs w:val="20"/>
          <w:lang w:val="en-GB" w:bidi="he-IL"/>
        </w:rPr>
        <w:t>aughter-in-law, Abram’s wife</w:t>
      </w:r>
      <w:r w:rsidRPr="00DA695A">
        <w:rPr>
          <w:rFonts w:ascii="Calibri" w:eastAsia="Times New Roman" w:hAnsi="Calibri" w:cs="Times New Roman"/>
          <w:szCs w:val="20"/>
          <w:lang w:val="en-GB" w:bidi="he-IL"/>
        </w:rPr>
        <w:t>,</w:t>
      </w:r>
      <w:r w:rsidR="006C2479">
        <w:rPr>
          <w:rStyle w:val="FootnoteReference"/>
          <w:rFonts w:ascii="Calibri" w:eastAsia="Times New Roman" w:hAnsi="Calibri" w:cs="Times New Roman"/>
          <w:szCs w:val="20"/>
          <w:lang w:val="en-GB" w:bidi="he-IL"/>
        </w:rPr>
        <w:footnoteReference w:id="14"/>
      </w:r>
      <w:r w:rsidRPr="00DA695A">
        <w:rPr>
          <w:rFonts w:ascii="Calibri" w:eastAsia="Times New Roman" w:hAnsi="Calibri" w:cs="Times New Roman"/>
          <w:szCs w:val="20"/>
          <w:lang w:val="en-GB" w:bidi="he-IL"/>
        </w:rPr>
        <w:t xml:space="preserve"> and they left Ur of the Kaśdites together</w:t>
      </w:r>
      <w:r w:rsidR="004960C0">
        <w:rPr>
          <w:rStyle w:val="FootnoteReference"/>
          <w:rFonts w:ascii="Calibri" w:eastAsia="Times New Roman" w:hAnsi="Calibri" w:cs="Times New Roman"/>
          <w:szCs w:val="20"/>
          <w:lang w:val="en-GB" w:bidi="he-IL"/>
        </w:rPr>
        <w:footnoteReference w:id="15"/>
      </w:r>
      <w:r w:rsidRPr="00DA695A">
        <w:rPr>
          <w:rFonts w:ascii="Calibri" w:eastAsia="Times New Roman" w:hAnsi="Calibri" w:cs="Times New Roman"/>
          <w:szCs w:val="20"/>
          <w:lang w:val="en-GB" w:bidi="he-IL"/>
        </w:rPr>
        <w:t xml:space="preserve"> to go to the country of Kena‘an, but they came as far as Ḥarran</w:t>
      </w:r>
      <w:r w:rsidRPr="00DA695A">
        <w:rPr>
          <w:rFonts w:ascii="Calibri" w:eastAsia="Times New Roman" w:hAnsi="Calibri" w:cs="Times New Roman"/>
          <w:szCs w:val="20"/>
          <w:vertAlign w:val="superscript"/>
          <w:lang w:val="en-GB" w:bidi="he-IL"/>
        </w:rPr>
        <w:footnoteReference w:id="16"/>
      </w:r>
      <w:r w:rsidRPr="00DA695A">
        <w:rPr>
          <w:rFonts w:ascii="Calibri" w:eastAsia="Times New Roman" w:hAnsi="Calibri" w:cs="Times New Roman"/>
          <w:szCs w:val="20"/>
          <w:lang w:val="en-GB" w:bidi="he-IL"/>
        </w:rPr>
        <w:t xml:space="preserve"> and lived there. </w:t>
      </w:r>
      <w:r w:rsidRPr="00DA695A">
        <w:rPr>
          <w:rFonts w:ascii="Calibri" w:eastAsia="Times New Roman" w:hAnsi="Calibri" w:cs="Times New Roman"/>
          <w:szCs w:val="20"/>
          <w:vertAlign w:val="superscript"/>
          <w:lang w:val="en-GB" w:bidi="he-IL"/>
        </w:rPr>
        <w:t>32</w:t>
      </w:r>
      <w:r w:rsidR="00354795">
        <w:rPr>
          <w:rFonts w:ascii="Calibri" w:eastAsia="Times New Roman" w:hAnsi="Calibri" w:cs="Times New Roman"/>
          <w:szCs w:val="20"/>
          <w:lang w:val="en-GB" w:bidi="he-IL"/>
        </w:rPr>
        <w:t>Teraḥ’s time</w:t>
      </w:r>
      <w:r w:rsidRPr="00DA695A">
        <w:rPr>
          <w:rFonts w:ascii="Calibri" w:eastAsia="Times New Roman" w:hAnsi="Calibri" w:cs="Times New Roman"/>
          <w:szCs w:val="20"/>
          <w:lang w:val="en-GB" w:bidi="he-IL"/>
        </w:rPr>
        <w:t xml:space="preserve"> came to 205</w:t>
      </w:r>
      <w:r w:rsidRPr="00DA695A">
        <w:rPr>
          <w:rFonts w:ascii="Calibri" w:eastAsia="Times New Roman" w:hAnsi="Calibri" w:cs="Times New Roman"/>
          <w:szCs w:val="20"/>
          <w:vertAlign w:val="superscript"/>
          <w:lang w:val="en-GB" w:bidi="he-IL"/>
        </w:rPr>
        <w:footnoteReference w:id="17"/>
      </w:r>
      <w:r w:rsidRPr="00DA695A">
        <w:rPr>
          <w:rFonts w:ascii="Calibri" w:eastAsia="Times New Roman" w:hAnsi="Calibri" w:cs="Times New Roman"/>
          <w:szCs w:val="20"/>
          <w:lang w:val="en-GB" w:bidi="he-IL"/>
        </w:rPr>
        <w:t xml:space="preserve"> years, and Teraḥ died in Ḥarran. </w:t>
      </w:r>
    </w:p>
    <w:p w14:paraId="4F438A91" w14:textId="77777777" w:rsidR="00CE03B5" w:rsidRDefault="00A01136" w:rsidP="00A01136">
      <w:pPr>
        <w:rPr>
          <w:rFonts w:ascii="Calibri" w:eastAsia="Times New Roman" w:hAnsi="Calibri" w:cs="Times New Roman"/>
          <w:lang w:val="en-GB" w:bidi="he-IL"/>
        </w:rPr>
      </w:pPr>
      <w:r>
        <w:rPr>
          <w:rFonts w:ascii="Calibri" w:eastAsia="Times New Roman" w:hAnsi="Calibri" w:cs="Times New Roman"/>
          <w:vertAlign w:val="superscript"/>
          <w:lang w:val="en-GB" w:bidi="he-IL"/>
        </w:rPr>
        <w:t>12:1</w:t>
      </w:r>
      <w:r w:rsidR="00260C39">
        <w:rPr>
          <w:rFonts w:ascii="Calibri" w:eastAsia="Times New Roman" w:hAnsi="Calibri" w:cs="Times New Roman"/>
          <w:lang w:val="en-GB" w:bidi="he-IL"/>
        </w:rPr>
        <w:t>But Y</w:t>
      </w:r>
      <w:r>
        <w:rPr>
          <w:rFonts w:ascii="Calibri" w:eastAsia="Times New Roman" w:hAnsi="Calibri" w:cs="Times New Roman"/>
          <w:lang w:val="en-GB" w:bidi="he-IL"/>
        </w:rPr>
        <w:t>a</w:t>
      </w:r>
      <w:r w:rsidR="00CE03B5">
        <w:rPr>
          <w:rFonts w:ascii="Calibri" w:eastAsia="Times New Roman" w:hAnsi="Calibri" w:cs="Times New Roman"/>
          <w:lang w:val="en-GB" w:bidi="he-IL"/>
        </w:rPr>
        <w:t>hweh said</w:t>
      </w:r>
      <w:r w:rsidR="00250E38">
        <w:rPr>
          <w:rStyle w:val="FootnoteReference"/>
          <w:rFonts w:ascii="Calibri" w:eastAsia="Times New Roman" w:hAnsi="Calibri" w:cs="Times New Roman"/>
          <w:lang w:val="en-GB" w:bidi="he-IL"/>
        </w:rPr>
        <w:footnoteReference w:id="18"/>
      </w:r>
      <w:r w:rsidR="00BF4EE8">
        <w:rPr>
          <w:rFonts w:ascii="Calibri" w:eastAsia="Times New Roman" w:hAnsi="Calibri" w:cs="Times New Roman"/>
          <w:lang w:val="en-GB" w:bidi="he-IL"/>
        </w:rPr>
        <w:t xml:space="preserve"> to Abram</w:t>
      </w:r>
      <w:r w:rsidR="00CE03B5">
        <w:rPr>
          <w:rFonts w:ascii="Calibri" w:eastAsia="Times New Roman" w:hAnsi="Calibri" w:cs="Times New Roman"/>
          <w:lang w:val="en-GB" w:bidi="he-IL"/>
        </w:rPr>
        <w:t>:</w:t>
      </w:r>
    </w:p>
    <w:p w14:paraId="6D27BEFB" w14:textId="77777777" w:rsidR="00CE03B5" w:rsidRDefault="00CE03B5" w:rsidP="00A01136">
      <w:pPr>
        <w:rPr>
          <w:rFonts w:ascii="Calibri" w:eastAsia="Times New Roman" w:hAnsi="Calibri" w:cs="Times New Roman"/>
          <w:lang w:val="en-GB" w:bidi="he-IL"/>
        </w:rPr>
      </w:pPr>
    </w:p>
    <w:p w14:paraId="28D68903" w14:textId="4AD6712F" w:rsidR="00CE03B5" w:rsidRDefault="00FC2272" w:rsidP="00A01136">
      <w:pPr>
        <w:rPr>
          <w:rFonts w:ascii="Calibri" w:eastAsia="Times New Roman" w:hAnsi="Calibri" w:cs="Times New Roman"/>
          <w:lang w:val="en-GB" w:bidi="he-IL"/>
        </w:rPr>
      </w:pPr>
      <w:r>
        <w:rPr>
          <w:rFonts w:ascii="Calibri" w:eastAsia="Times New Roman" w:hAnsi="Calibri" w:cs="Times New Roman"/>
          <w:lang w:val="en-GB" w:bidi="he-IL"/>
        </w:rPr>
        <w:t>Take</w:t>
      </w:r>
      <w:r w:rsidR="00A01136" w:rsidRPr="00A01136">
        <w:rPr>
          <w:rFonts w:ascii="Calibri" w:eastAsia="Times New Roman" w:hAnsi="Calibri" w:cs="Times New Roman"/>
          <w:lang w:val="en-GB" w:bidi="he-IL"/>
        </w:rPr>
        <w:t xml:space="preserve"> yourself</w:t>
      </w:r>
      <w:r w:rsidR="0064371F">
        <w:rPr>
          <w:rStyle w:val="FootnoteReference"/>
          <w:rFonts w:ascii="Calibri" w:eastAsia="Times New Roman" w:hAnsi="Calibri" w:cs="Times New Roman"/>
          <w:lang w:val="en-GB" w:bidi="he-IL"/>
        </w:rPr>
        <w:footnoteReference w:id="19"/>
      </w:r>
      <w:r w:rsidR="00A01136" w:rsidRPr="00A01136">
        <w:rPr>
          <w:rFonts w:ascii="Calibri" w:eastAsia="Times New Roman" w:hAnsi="Calibri" w:cs="Times New Roman"/>
          <w:lang w:val="en-GB" w:bidi="he-IL"/>
        </w:rPr>
        <w:t xml:space="preserve"> from your country, </w:t>
      </w:r>
    </w:p>
    <w:p w14:paraId="49530C3C" w14:textId="77777777" w:rsidR="00CE03B5" w:rsidRDefault="00CE03B5" w:rsidP="00A01136">
      <w:pPr>
        <w:rPr>
          <w:rFonts w:ascii="Calibri" w:eastAsia="Times New Roman" w:hAnsi="Calibri" w:cs="Times New Roman"/>
          <w:lang w:val="en-GB" w:bidi="he-IL"/>
        </w:rPr>
      </w:pPr>
      <w:r>
        <w:rPr>
          <w:rFonts w:ascii="Calibri" w:eastAsia="Times New Roman" w:hAnsi="Calibri" w:cs="Times New Roman"/>
          <w:lang w:val="en-GB" w:bidi="he-IL"/>
        </w:rPr>
        <w:tab/>
      </w:r>
      <w:proofErr w:type="gramStart"/>
      <w:r w:rsidR="00A01136" w:rsidRPr="00A01136">
        <w:rPr>
          <w:rFonts w:ascii="Calibri" w:eastAsia="Times New Roman" w:hAnsi="Calibri" w:cs="Times New Roman"/>
          <w:lang w:val="en-GB" w:bidi="he-IL"/>
        </w:rPr>
        <w:t>from</w:t>
      </w:r>
      <w:proofErr w:type="gramEnd"/>
      <w:r w:rsidR="00A01136" w:rsidRPr="00A01136">
        <w:rPr>
          <w:rFonts w:ascii="Calibri" w:eastAsia="Times New Roman" w:hAnsi="Calibri" w:cs="Times New Roman"/>
          <w:lang w:val="en-GB" w:bidi="he-IL"/>
        </w:rPr>
        <w:t xml:space="preserve"> your homeland, and from your father’s household, </w:t>
      </w:r>
    </w:p>
    <w:p w14:paraId="120932F7" w14:textId="77777777" w:rsidR="00CE03B5" w:rsidRDefault="00CE03B5" w:rsidP="00A01136">
      <w:pPr>
        <w:rPr>
          <w:rFonts w:ascii="Calibri" w:eastAsia="Times New Roman" w:hAnsi="Calibri" w:cs="Times New Roman"/>
          <w:lang w:val="en-GB" w:bidi="he-IL"/>
        </w:rPr>
      </w:pPr>
      <w:r>
        <w:rPr>
          <w:rFonts w:ascii="Calibri" w:eastAsia="Times New Roman" w:hAnsi="Calibri" w:cs="Times New Roman"/>
          <w:lang w:val="en-GB" w:bidi="he-IL"/>
        </w:rPr>
        <w:t>To the country that I wi</w:t>
      </w:r>
      <w:r w:rsidR="00A01136" w:rsidRPr="00A01136">
        <w:rPr>
          <w:rFonts w:ascii="Calibri" w:eastAsia="Times New Roman" w:hAnsi="Calibri" w:cs="Times New Roman"/>
          <w:lang w:val="en-GB" w:bidi="he-IL"/>
        </w:rPr>
        <w:t>ll enable you to see</w:t>
      </w:r>
      <w:r>
        <w:rPr>
          <w:rFonts w:ascii="Calibri" w:eastAsia="Times New Roman" w:hAnsi="Calibri" w:cs="Times New Roman"/>
          <w:lang w:val="en-GB" w:bidi="he-IL"/>
        </w:rPr>
        <w:t>,</w:t>
      </w:r>
    </w:p>
    <w:p w14:paraId="05F4E70E" w14:textId="6A4B39A3" w:rsidR="00CE03B5" w:rsidRDefault="00CE03B5" w:rsidP="00A01136">
      <w:pPr>
        <w:rPr>
          <w:rFonts w:ascii="Calibri" w:eastAsia="Times New Roman" w:hAnsi="Calibri" w:cs="Times New Roman"/>
          <w:lang w:val="en-GB" w:bidi="he-IL"/>
        </w:rPr>
      </w:pPr>
      <w:r>
        <w:rPr>
          <w:rFonts w:ascii="Calibri" w:eastAsia="Times New Roman" w:hAnsi="Calibri" w:cs="Times New Roman"/>
          <w:vertAlign w:val="superscript"/>
          <w:lang w:val="en-GB" w:bidi="he-IL"/>
        </w:rPr>
        <w:tab/>
      </w:r>
      <w:r w:rsidR="00A01136">
        <w:rPr>
          <w:rFonts w:ascii="Calibri" w:eastAsia="Times New Roman" w:hAnsi="Calibri" w:cs="Times New Roman"/>
          <w:vertAlign w:val="superscript"/>
          <w:lang w:val="en-GB" w:bidi="he-IL"/>
        </w:rPr>
        <w:t>2</w:t>
      </w:r>
      <w:r w:rsidR="00743BCF">
        <w:rPr>
          <w:rFonts w:ascii="Calibri" w:eastAsia="Times New Roman" w:hAnsi="Calibri" w:cs="Times New Roman"/>
          <w:lang w:val="en-GB" w:bidi="he-IL"/>
        </w:rPr>
        <w:t xml:space="preserve">so </w:t>
      </w:r>
      <w:r w:rsidR="00D14F6C">
        <w:rPr>
          <w:rFonts w:ascii="Calibri" w:eastAsia="Times New Roman" w:hAnsi="Calibri" w:cs="Times New Roman"/>
          <w:lang w:val="en-GB" w:bidi="he-IL"/>
        </w:rPr>
        <w:t>I may</w:t>
      </w:r>
      <w:r w:rsidR="00D14F6C">
        <w:rPr>
          <w:rStyle w:val="FootnoteReference"/>
          <w:rFonts w:ascii="Calibri" w:eastAsia="Times New Roman" w:hAnsi="Calibri" w:cs="Times New Roman"/>
          <w:lang w:val="en-GB" w:bidi="he-IL"/>
        </w:rPr>
        <w:footnoteReference w:id="20"/>
      </w:r>
      <w:r w:rsidR="00A01136" w:rsidRPr="00A01136">
        <w:rPr>
          <w:rFonts w:ascii="Calibri" w:eastAsia="Times New Roman" w:hAnsi="Calibri" w:cs="Times New Roman"/>
          <w:lang w:val="en-GB" w:bidi="he-IL"/>
        </w:rPr>
        <w:t xml:space="preserve"> make you into a big nation. </w:t>
      </w:r>
    </w:p>
    <w:p w14:paraId="1F50B5D7" w14:textId="62EF1B99" w:rsidR="00CE03B5" w:rsidRDefault="00CE03B5" w:rsidP="00A01136">
      <w:pPr>
        <w:rPr>
          <w:rFonts w:ascii="Calibri" w:eastAsia="Times New Roman" w:hAnsi="Calibri" w:cs="Times New Roman"/>
          <w:lang w:val="en-GB" w:bidi="he-IL"/>
        </w:rPr>
      </w:pPr>
      <w:r>
        <w:rPr>
          <w:rFonts w:ascii="Calibri" w:eastAsia="Times New Roman" w:hAnsi="Calibri" w:cs="Times New Roman"/>
          <w:lang w:val="en-GB" w:bidi="he-IL"/>
        </w:rPr>
        <w:t>I wi</w:t>
      </w:r>
      <w:r w:rsidR="00A01136" w:rsidRPr="00A01136">
        <w:rPr>
          <w:rFonts w:ascii="Calibri" w:eastAsia="Times New Roman" w:hAnsi="Calibri" w:cs="Times New Roman"/>
          <w:lang w:val="en-GB" w:bidi="he-IL"/>
        </w:rPr>
        <w:t xml:space="preserve">ll bless you and </w:t>
      </w:r>
      <w:r w:rsidR="00571925">
        <w:rPr>
          <w:rFonts w:ascii="Calibri" w:eastAsia="Times New Roman" w:hAnsi="Calibri" w:cs="Times New Roman"/>
          <w:lang w:val="en-GB" w:bidi="he-IL"/>
        </w:rPr>
        <w:t xml:space="preserve">I intend to </w:t>
      </w:r>
      <w:r w:rsidR="00A01136" w:rsidRPr="00A01136">
        <w:rPr>
          <w:rFonts w:ascii="Calibri" w:eastAsia="Times New Roman" w:hAnsi="Calibri" w:cs="Times New Roman"/>
          <w:lang w:val="en-GB" w:bidi="he-IL"/>
        </w:rPr>
        <w:t>make your name big</w:t>
      </w:r>
      <w:r w:rsidR="00743BCF">
        <w:rPr>
          <w:rStyle w:val="FootnoteReference"/>
          <w:rFonts w:ascii="Calibri" w:eastAsia="Times New Roman" w:hAnsi="Calibri" w:cs="Times New Roman"/>
          <w:lang w:val="en-GB" w:bidi="he-IL"/>
        </w:rPr>
        <w:footnoteReference w:id="21"/>
      </w:r>
      <w:r w:rsidR="00A01136" w:rsidRPr="00A01136">
        <w:rPr>
          <w:rFonts w:ascii="Calibri" w:eastAsia="Times New Roman" w:hAnsi="Calibri" w:cs="Times New Roman"/>
          <w:lang w:val="en-GB" w:bidi="he-IL"/>
        </w:rPr>
        <w:t xml:space="preserve"> </w:t>
      </w:r>
    </w:p>
    <w:p w14:paraId="765CC3F5" w14:textId="77777777" w:rsidR="00CE03B5" w:rsidRDefault="00CE03B5" w:rsidP="00A01136">
      <w:pPr>
        <w:rPr>
          <w:rFonts w:ascii="Calibri" w:eastAsia="Times New Roman" w:hAnsi="Calibri" w:cs="Times New Roman"/>
          <w:lang w:val="en-GB" w:bidi="he-IL"/>
        </w:rPr>
      </w:pPr>
      <w:r>
        <w:rPr>
          <w:rFonts w:ascii="Calibri" w:eastAsia="Times New Roman" w:hAnsi="Calibri" w:cs="Times New Roman"/>
          <w:lang w:val="en-GB" w:bidi="he-IL"/>
        </w:rPr>
        <w:tab/>
      </w:r>
      <w:proofErr w:type="gramStart"/>
      <w:r w:rsidR="00D14F6C">
        <w:rPr>
          <w:rFonts w:ascii="Calibri" w:eastAsia="Times New Roman" w:hAnsi="Calibri" w:cs="Times New Roman"/>
          <w:lang w:val="en-GB" w:bidi="he-IL"/>
        </w:rPr>
        <w:t>and</w:t>
      </w:r>
      <w:proofErr w:type="gramEnd"/>
      <w:r w:rsidR="00D14F6C">
        <w:rPr>
          <w:rFonts w:ascii="Calibri" w:eastAsia="Times New Roman" w:hAnsi="Calibri" w:cs="Times New Roman"/>
          <w:lang w:val="en-GB" w:bidi="he-IL"/>
        </w:rPr>
        <w:t xml:space="preserve"> you are to</w:t>
      </w:r>
      <w:r w:rsidR="00A01136" w:rsidRPr="00A01136">
        <w:rPr>
          <w:rFonts w:ascii="Calibri" w:eastAsia="Times New Roman" w:hAnsi="Calibri" w:cs="Times New Roman"/>
          <w:lang w:val="en-GB" w:bidi="he-IL"/>
        </w:rPr>
        <w:t xml:space="preserve"> become</w:t>
      </w:r>
      <w:r w:rsidR="001D1C18">
        <w:rPr>
          <w:rStyle w:val="FootnoteReference"/>
          <w:rFonts w:ascii="Calibri" w:eastAsia="Times New Roman" w:hAnsi="Calibri" w:cs="Times New Roman"/>
          <w:lang w:val="en-GB" w:bidi="he-IL"/>
        </w:rPr>
        <w:footnoteReference w:id="22"/>
      </w:r>
      <w:r w:rsidR="00A01136" w:rsidRPr="00A01136">
        <w:rPr>
          <w:rFonts w:ascii="Calibri" w:eastAsia="Times New Roman" w:hAnsi="Calibri" w:cs="Times New Roman"/>
          <w:lang w:val="en-GB" w:bidi="he-IL"/>
        </w:rPr>
        <w:t xml:space="preserve"> a blessing.</w:t>
      </w:r>
    </w:p>
    <w:p w14:paraId="5FD67973" w14:textId="27A22F2D" w:rsidR="00CE03B5" w:rsidRDefault="00A01136" w:rsidP="00A01136">
      <w:pPr>
        <w:rPr>
          <w:rFonts w:ascii="Calibri" w:eastAsia="Times New Roman" w:hAnsi="Calibri" w:cs="Times New Roman"/>
          <w:lang w:val="en-GB" w:bidi="he-IL"/>
        </w:rPr>
      </w:pPr>
      <w:r>
        <w:rPr>
          <w:rFonts w:ascii="Calibri" w:eastAsia="Times New Roman" w:hAnsi="Calibri" w:cs="Times New Roman"/>
          <w:vertAlign w:val="superscript"/>
          <w:lang w:val="en-GB" w:bidi="he-IL"/>
        </w:rPr>
        <w:t>3</w:t>
      </w:r>
      <w:r w:rsidR="00571925">
        <w:rPr>
          <w:rFonts w:ascii="Calibri" w:eastAsia="Times New Roman" w:hAnsi="Calibri" w:cs="Times New Roman"/>
          <w:lang w:val="en-GB" w:bidi="he-IL"/>
        </w:rPr>
        <w:t xml:space="preserve">I intend to </w:t>
      </w:r>
      <w:r w:rsidRPr="00A01136">
        <w:rPr>
          <w:rFonts w:ascii="Calibri" w:eastAsia="Times New Roman" w:hAnsi="Calibri" w:cs="Times New Roman"/>
          <w:lang w:val="en-GB" w:bidi="he-IL"/>
        </w:rPr>
        <w:t xml:space="preserve">bless the people who bless you, </w:t>
      </w:r>
    </w:p>
    <w:p w14:paraId="41FE1CE6" w14:textId="77777777" w:rsidR="00CE03B5" w:rsidRDefault="00CE03B5" w:rsidP="00A01136">
      <w:pPr>
        <w:rPr>
          <w:rFonts w:ascii="Calibri" w:eastAsia="Times New Roman" w:hAnsi="Calibri" w:cs="Times New Roman"/>
          <w:lang w:val="en-GB" w:bidi="he-IL"/>
        </w:rPr>
      </w:pPr>
      <w:r>
        <w:rPr>
          <w:rFonts w:ascii="Calibri" w:eastAsia="Times New Roman" w:hAnsi="Calibri" w:cs="Times New Roman"/>
          <w:lang w:val="en-GB" w:bidi="he-IL"/>
        </w:rPr>
        <w:tab/>
      </w:r>
      <w:proofErr w:type="gramStart"/>
      <w:r w:rsidR="00A01136" w:rsidRPr="00A01136">
        <w:rPr>
          <w:rFonts w:ascii="Calibri" w:eastAsia="Times New Roman" w:hAnsi="Calibri" w:cs="Times New Roman"/>
          <w:lang w:val="en-GB" w:bidi="he-IL"/>
        </w:rPr>
        <w:t>but</w:t>
      </w:r>
      <w:proofErr w:type="gramEnd"/>
      <w:r w:rsidR="00A01136" w:rsidRPr="00A01136">
        <w:rPr>
          <w:rFonts w:ascii="Calibri" w:eastAsia="Times New Roman" w:hAnsi="Calibri" w:cs="Times New Roman"/>
          <w:lang w:val="en-GB" w:bidi="he-IL"/>
        </w:rPr>
        <w:t xml:space="preserve"> </w:t>
      </w:r>
      <w:r w:rsidR="00920EFA">
        <w:rPr>
          <w:rFonts w:ascii="Calibri" w:eastAsia="Times New Roman" w:hAnsi="Calibri" w:cs="Times New Roman"/>
          <w:lang w:val="en-GB" w:bidi="he-IL"/>
        </w:rPr>
        <w:t>the person who diminish</w:t>
      </w:r>
      <w:r w:rsidR="007575E4">
        <w:rPr>
          <w:rFonts w:ascii="Calibri" w:eastAsia="Times New Roman" w:hAnsi="Calibri" w:cs="Times New Roman"/>
          <w:lang w:val="en-GB" w:bidi="he-IL"/>
        </w:rPr>
        <w:t>es</w:t>
      </w:r>
      <w:r>
        <w:rPr>
          <w:rFonts w:ascii="Calibri" w:eastAsia="Times New Roman" w:hAnsi="Calibri" w:cs="Times New Roman"/>
          <w:lang w:val="en-GB" w:bidi="he-IL"/>
        </w:rPr>
        <w:t xml:space="preserve"> you</w:t>
      </w:r>
      <w:r w:rsidR="007575E4">
        <w:rPr>
          <w:rStyle w:val="FootnoteReference"/>
          <w:rFonts w:ascii="Calibri" w:eastAsia="Times New Roman" w:hAnsi="Calibri" w:cs="Times New Roman"/>
          <w:lang w:val="en-GB" w:bidi="he-IL"/>
        </w:rPr>
        <w:footnoteReference w:id="23"/>
      </w:r>
      <w:r>
        <w:rPr>
          <w:rFonts w:ascii="Calibri" w:eastAsia="Times New Roman" w:hAnsi="Calibri" w:cs="Times New Roman"/>
          <w:lang w:val="en-GB" w:bidi="he-IL"/>
        </w:rPr>
        <w:t xml:space="preserve"> I wi</w:t>
      </w:r>
      <w:r w:rsidR="00A01136" w:rsidRPr="00A01136">
        <w:rPr>
          <w:rFonts w:ascii="Calibri" w:eastAsia="Times New Roman" w:hAnsi="Calibri" w:cs="Times New Roman"/>
          <w:lang w:val="en-GB" w:bidi="he-IL"/>
        </w:rPr>
        <w:t>ll curse.</w:t>
      </w:r>
      <w:r w:rsidR="00571925">
        <w:rPr>
          <w:rStyle w:val="FootnoteReference"/>
          <w:rFonts w:ascii="Calibri" w:eastAsia="Times New Roman" w:hAnsi="Calibri" w:cs="Times New Roman"/>
          <w:lang w:val="en-GB" w:bidi="he-IL"/>
        </w:rPr>
        <w:footnoteReference w:id="24"/>
      </w:r>
      <w:r w:rsidR="00A01136" w:rsidRPr="00A01136">
        <w:rPr>
          <w:rFonts w:ascii="Calibri" w:eastAsia="Times New Roman" w:hAnsi="Calibri" w:cs="Times New Roman"/>
          <w:lang w:val="en-GB" w:bidi="he-IL"/>
        </w:rPr>
        <w:t xml:space="preserve"> </w:t>
      </w:r>
    </w:p>
    <w:p w14:paraId="4CA78184" w14:textId="77777777" w:rsidR="00CE03B5" w:rsidRDefault="00A01136" w:rsidP="00A01136">
      <w:pPr>
        <w:rPr>
          <w:rFonts w:ascii="Calibri" w:eastAsia="Times New Roman" w:hAnsi="Calibri" w:cs="Times New Roman"/>
          <w:lang w:val="en-GB" w:bidi="he-IL"/>
        </w:rPr>
      </w:pPr>
      <w:r w:rsidRPr="00A01136">
        <w:rPr>
          <w:rFonts w:ascii="Calibri" w:eastAsia="Times New Roman" w:hAnsi="Calibri" w:cs="Times New Roman"/>
          <w:lang w:val="en-GB" w:bidi="he-IL"/>
        </w:rPr>
        <w:t xml:space="preserve">All the kin-groups on the earth </w:t>
      </w:r>
    </w:p>
    <w:p w14:paraId="51207640" w14:textId="77777777" w:rsidR="00CE03B5" w:rsidRDefault="00326405" w:rsidP="00A01136">
      <w:pPr>
        <w:rPr>
          <w:rFonts w:ascii="Calibri" w:eastAsia="Times New Roman" w:hAnsi="Calibri" w:cs="Times New Roman"/>
          <w:lang w:val="en-GB" w:bidi="he-IL"/>
        </w:rPr>
      </w:pPr>
      <w:r>
        <w:rPr>
          <w:rFonts w:ascii="Calibri" w:eastAsia="Times New Roman" w:hAnsi="Calibri" w:cs="Times New Roman"/>
          <w:lang w:val="en-GB" w:bidi="he-IL"/>
        </w:rPr>
        <w:tab/>
      </w:r>
      <w:proofErr w:type="gramStart"/>
      <w:r>
        <w:rPr>
          <w:rFonts w:ascii="Calibri" w:eastAsia="Times New Roman" w:hAnsi="Calibri" w:cs="Times New Roman"/>
          <w:lang w:val="en-GB" w:bidi="he-IL"/>
        </w:rPr>
        <w:t>will</w:t>
      </w:r>
      <w:proofErr w:type="gramEnd"/>
      <w:r>
        <w:rPr>
          <w:rFonts w:ascii="Calibri" w:eastAsia="Times New Roman" w:hAnsi="Calibri" w:cs="Times New Roman"/>
          <w:lang w:val="en-GB" w:bidi="he-IL"/>
        </w:rPr>
        <w:t xml:space="preserve"> gain blessing</w:t>
      </w:r>
      <w:r w:rsidR="00CC700C">
        <w:rPr>
          <w:rStyle w:val="FootnoteReference"/>
          <w:rFonts w:ascii="Calibri" w:eastAsia="Times New Roman" w:hAnsi="Calibri" w:cs="Times New Roman"/>
          <w:lang w:val="en-GB" w:bidi="he-IL"/>
        </w:rPr>
        <w:footnoteReference w:id="25"/>
      </w:r>
      <w:r w:rsidR="00CE03B5">
        <w:rPr>
          <w:rFonts w:ascii="Calibri" w:eastAsia="Times New Roman" w:hAnsi="Calibri" w:cs="Times New Roman"/>
          <w:lang w:val="en-GB" w:bidi="he-IL"/>
        </w:rPr>
        <w:t xml:space="preserve"> by you</w:t>
      </w:r>
      <w:r w:rsidR="00A01136" w:rsidRPr="00A01136">
        <w:rPr>
          <w:rFonts w:ascii="Calibri" w:eastAsia="Times New Roman" w:hAnsi="Calibri" w:cs="Times New Roman"/>
          <w:lang w:val="en-GB" w:bidi="he-IL"/>
        </w:rPr>
        <w:t xml:space="preserve">. </w:t>
      </w:r>
    </w:p>
    <w:p w14:paraId="65655229" w14:textId="77777777" w:rsidR="00CE03B5" w:rsidRDefault="00491ED1" w:rsidP="00491ED1">
      <w:pPr>
        <w:tabs>
          <w:tab w:val="left" w:pos="2160"/>
        </w:tabs>
        <w:rPr>
          <w:rFonts w:ascii="Calibri" w:eastAsia="Times New Roman" w:hAnsi="Calibri" w:cs="Times New Roman"/>
          <w:lang w:val="en-GB" w:bidi="he-IL"/>
        </w:rPr>
      </w:pPr>
      <w:r>
        <w:rPr>
          <w:rFonts w:ascii="Calibri" w:eastAsia="Times New Roman" w:hAnsi="Calibri" w:cs="Times New Roman"/>
          <w:lang w:val="en-GB" w:bidi="he-IL"/>
        </w:rPr>
        <w:tab/>
      </w:r>
    </w:p>
    <w:p w14:paraId="7B0DD1B9" w14:textId="77777777" w:rsidR="00A01136" w:rsidRPr="00A01136" w:rsidRDefault="00A01136" w:rsidP="00EE2B0A">
      <w:pPr>
        <w:ind w:firstLine="0"/>
        <w:rPr>
          <w:rFonts w:ascii="Calibri" w:eastAsia="Times New Roman" w:hAnsi="Calibri" w:cs="Times New Roman"/>
          <w:lang w:val="en-GB" w:bidi="he-IL"/>
        </w:rPr>
      </w:pPr>
      <w:r>
        <w:rPr>
          <w:rFonts w:ascii="Calibri" w:eastAsia="Times New Roman" w:hAnsi="Calibri" w:cs="Times New Roman"/>
          <w:vertAlign w:val="superscript"/>
          <w:lang w:val="en-GB" w:bidi="he-IL"/>
        </w:rPr>
        <w:t>4</w:t>
      </w:r>
      <w:r w:rsidR="00BF4EE8">
        <w:rPr>
          <w:rFonts w:ascii="Calibri" w:eastAsia="Times New Roman" w:hAnsi="Calibri" w:cs="Times New Roman"/>
          <w:lang w:val="en-GB" w:bidi="he-IL"/>
        </w:rPr>
        <w:t>Abram</w:t>
      </w:r>
      <w:r w:rsidR="00CE03B5">
        <w:rPr>
          <w:rFonts w:ascii="Calibri" w:eastAsia="Times New Roman" w:hAnsi="Calibri" w:cs="Times New Roman"/>
          <w:lang w:val="en-GB" w:bidi="he-IL"/>
        </w:rPr>
        <w:t xml:space="preserve"> went as Yahweh spoke to </w:t>
      </w:r>
      <w:r w:rsidRPr="00A01136">
        <w:rPr>
          <w:rFonts w:ascii="Calibri" w:eastAsia="Times New Roman" w:hAnsi="Calibri" w:cs="Times New Roman"/>
          <w:lang w:val="en-GB" w:bidi="he-IL"/>
        </w:rPr>
        <w:t xml:space="preserve">him, and Lot went with him. </w:t>
      </w:r>
      <w:r w:rsidR="00BF4EE8">
        <w:rPr>
          <w:rFonts w:ascii="Calibri" w:eastAsia="Times New Roman" w:hAnsi="Calibri" w:cs="Times New Roman"/>
          <w:lang w:val="en-GB" w:bidi="he-IL"/>
        </w:rPr>
        <w:t>Abram</w:t>
      </w:r>
      <w:r w:rsidRPr="00A01136">
        <w:rPr>
          <w:rFonts w:ascii="Calibri" w:eastAsia="Times New Roman" w:hAnsi="Calibri" w:cs="Times New Roman"/>
          <w:lang w:val="en-GB" w:bidi="he-IL"/>
        </w:rPr>
        <w:t xml:space="preserve"> was a man of seventy-five years when he left </w:t>
      </w:r>
      <w:r w:rsidR="00C771B3">
        <w:rPr>
          <w:rFonts w:ascii="Calibri" w:eastAsia="Times New Roman" w:hAnsi="Calibri" w:cs="Times New Roman"/>
          <w:lang w:val="en-GB" w:bidi="he-IL"/>
        </w:rPr>
        <w:t>Ḥarran</w:t>
      </w:r>
      <w:r w:rsidRPr="00A01136">
        <w:rPr>
          <w:rFonts w:ascii="Calibri" w:eastAsia="Times New Roman" w:hAnsi="Calibri" w:cs="Times New Roman"/>
          <w:lang w:val="en-GB" w:bidi="he-IL"/>
        </w:rPr>
        <w:t xml:space="preserve">. </w:t>
      </w:r>
    </w:p>
    <w:p w14:paraId="5C339673" w14:textId="494A8733" w:rsidR="0035662B" w:rsidRDefault="00A01136" w:rsidP="00A01136">
      <w:pPr>
        <w:rPr>
          <w:rFonts w:ascii="Calibri" w:eastAsia="Times New Roman" w:hAnsi="Calibri" w:cs="Times New Roman"/>
          <w:lang w:val="en-GB" w:bidi="he-IL"/>
        </w:rPr>
      </w:pPr>
      <w:r>
        <w:rPr>
          <w:rFonts w:ascii="Calibri" w:eastAsia="Times New Roman" w:hAnsi="Calibri" w:cs="Times New Roman"/>
          <w:vertAlign w:val="superscript"/>
          <w:lang w:val="en-GB" w:bidi="he-IL"/>
        </w:rPr>
        <w:lastRenderedPageBreak/>
        <w:t>5</w:t>
      </w:r>
      <w:r w:rsidR="006E3853">
        <w:rPr>
          <w:rFonts w:ascii="Calibri" w:eastAsia="Times New Roman" w:hAnsi="Calibri" w:cs="Times New Roman"/>
          <w:lang w:val="en-GB" w:bidi="he-IL"/>
        </w:rPr>
        <w:t xml:space="preserve">So </w:t>
      </w:r>
      <w:r w:rsidR="00BF4EE8">
        <w:rPr>
          <w:rFonts w:ascii="Calibri" w:eastAsia="Times New Roman" w:hAnsi="Calibri" w:cs="Times New Roman"/>
          <w:lang w:val="en-GB" w:bidi="he-IL"/>
        </w:rPr>
        <w:t>Abram</w:t>
      </w:r>
      <w:r w:rsidR="006E3853">
        <w:rPr>
          <w:rFonts w:ascii="Calibri" w:eastAsia="Times New Roman" w:hAnsi="Calibri" w:cs="Times New Roman"/>
          <w:lang w:val="en-GB" w:bidi="he-IL"/>
        </w:rPr>
        <w:t xml:space="preserve"> got</w:t>
      </w:r>
      <w:r w:rsidR="00EE2B0A">
        <w:rPr>
          <w:rFonts w:ascii="Calibri" w:eastAsia="Times New Roman" w:hAnsi="Calibri" w:cs="Times New Roman"/>
          <w:lang w:val="en-GB" w:bidi="he-IL"/>
        </w:rPr>
        <w:t xml:space="preserve"> </w:t>
      </w:r>
      <w:r w:rsidR="00EE2B0A" w:rsidRPr="00EE2B0A">
        <w:rPr>
          <w:rFonts w:ascii="Calibri" w:eastAsia="Times New Roman" w:hAnsi="Calibri" w:cs="Times New Roman"/>
          <w:lang w:val="en-GB" w:bidi="he-IL"/>
        </w:rPr>
        <w:t>Śaray</w:t>
      </w:r>
      <w:r w:rsidRPr="00A01136">
        <w:rPr>
          <w:rFonts w:ascii="Calibri" w:eastAsia="Times New Roman" w:hAnsi="Calibri" w:cs="Times New Roman"/>
          <w:lang w:val="en-GB" w:bidi="he-IL"/>
        </w:rPr>
        <w:t xml:space="preserve"> his wife, Lot his brother’s son, all the property that they had acquired, and all the people that they had produced</w:t>
      </w:r>
      <w:r w:rsidR="0014024D">
        <w:rPr>
          <w:rStyle w:val="FootnoteReference"/>
          <w:rFonts w:ascii="Calibri" w:eastAsia="Times New Roman" w:hAnsi="Calibri" w:cs="Times New Roman"/>
          <w:lang w:val="en-GB" w:bidi="he-IL"/>
        </w:rPr>
        <w:footnoteReference w:id="26"/>
      </w:r>
      <w:r w:rsidRPr="00A01136">
        <w:rPr>
          <w:rFonts w:ascii="Calibri" w:eastAsia="Times New Roman" w:hAnsi="Calibri" w:cs="Times New Roman"/>
          <w:lang w:val="en-GB" w:bidi="he-IL"/>
        </w:rPr>
        <w:t xml:space="preserve"> in </w:t>
      </w:r>
      <w:r w:rsidR="00C771B3">
        <w:rPr>
          <w:rFonts w:ascii="Calibri" w:eastAsia="Times New Roman" w:hAnsi="Calibri" w:cs="Times New Roman"/>
          <w:lang w:val="en-GB" w:bidi="he-IL"/>
        </w:rPr>
        <w:t>Ḥarran</w:t>
      </w:r>
      <w:r w:rsidRPr="00A01136">
        <w:rPr>
          <w:rFonts w:ascii="Calibri" w:eastAsia="Times New Roman" w:hAnsi="Calibri" w:cs="Times New Roman"/>
          <w:lang w:val="en-GB" w:bidi="he-IL"/>
        </w:rPr>
        <w:t>, and l</w:t>
      </w:r>
      <w:r w:rsidR="00667C3F">
        <w:rPr>
          <w:rFonts w:ascii="Calibri" w:eastAsia="Times New Roman" w:hAnsi="Calibri" w:cs="Times New Roman"/>
          <w:lang w:val="en-GB" w:bidi="he-IL"/>
        </w:rPr>
        <w:t>eft to go to the country of Kena‘</w:t>
      </w:r>
      <w:r w:rsidR="00453117">
        <w:rPr>
          <w:rFonts w:ascii="Calibri" w:eastAsia="Times New Roman" w:hAnsi="Calibri" w:cs="Times New Roman"/>
          <w:lang w:val="en-GB" w:bidi="he-IL"/>
        </w:rPr>
        <w:t>an. T</w:t>
      </w:r>
      <w:r w:rsidRPr="00A01136">
        <w:rPr>
          <w:rFonts w:ascii="Calibri" w:eastAsia="Times New Roman" w:hAnsi="Calibri" w:cs="Times New Roman"/>
          <w:lang w:val="en-GB" w:bidi="he-IL"/>
        </w:rPr>
        <w:t>hey c</w:t>
      </w:r>
      <w:r w:rsidR="00667C3F">
        <w:rPr>
          <w:rFonts w:ascii="Calibri" w:eastAsia="Times New Roman" w:hAnsi="Calibri" w:cs="Times New Roman"/>
          <w:lang w:val="en-GB" w:bidi="he-IL"/>
        </w:rPr>
        <w:t>ame to the country of Ke</w:t>
      </w:r>
      <w:r w:rsidR="00C50848">
        <w:rPr>
          <w:rFonts w:ascii="Calibri" w:eastAsia="Times New Roman" w:hAnsi="Calibri" w:cs="Times New Roman"/>
          <w:lang w:val="en-GB" w:bidi="he-IL"/>
        </w:rPr>
        <w:t>na‘an</w:t>
      </w:r>
      <w:r>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6</w:t>
      </w:r>
      <w:r w:rsidR="00453117">
        <w:rPr>
          <w:rFonts w:ascii="Calibri" w:eastAsia="Times New Roman" w:hAnsi="Calibri" w:cs="Times New Roman"/>
          <w:lang w:val="en-GB" w:bidi="he-IL"/>
        </w:rPr>
        <w:t>and A</w:t>
      </w:r>
      <w:r w:rsidR="00BF4EE8">
        <w:rPr>
          <w:rFonts w:ascii="Calibri" w:eastAsia="Times New Roman" w:hAnsi="Calibri" w:cs="Times New Roman"/>
          <w:lang w:val="en-GB" w:bidi="he-IL"/>
        </w:rPr>
        <w:t>bram</w:t>
      </w:r>
      <w:r w:rsidRPr="00A01136">
        <w:rPr>
          <w:rFonts w:ascii="Calibri" w:eastAsia="Times New Roman" w:hAnsi="Calibri" w:cs="Times New Roman"/>
          <w:lang w:val="en-GB" w:bidi="he-IL"/>
        </w:rPr>
        <w:t xml:space="preserve"> passed through the country</w:t>
      </w:r>
      <w:r w:rsidR="003C2B32">
        <w:rPr>
          <w:rStyle w:val="FootnoteReference"/>
          <w:rFonts w:ascii="Calibri" w:eastAsia="Times New Roman" w:hAnsi="Calibri" w:cs="Times New Roman"/>
          <w:lang w:val="en-GB" w:bidi="he-IL"/>
        </w:rPr>
        <w:footnoteReference w:id="27"/>
      </w:r>
      <w:r w:rsidRPr="00A01136">
        <w:rPr>
          <w:rFonts w:ascii="Calibri" w:eastAsia="Times New Roman" w:hAnsi="Calibri" w:cs="Times New Roman"/>
          <w:lang w:val="en-GB" w:bidi="he-IL"/>
        </w:rPr>
        <w:t xml:space="preserve"> as far as the site at </w:t>
      </w:r>
      <w:r w:rsidR="00D56B85">
        <w:rPr>
          <w:rFonts w:ascii="Calibri" w:eastAsia="Times New Roman" w:hAnsi="Calibri" w:cs="Times New Roman"/>
          <w:lang w:val="en-GB" w:bidi="he-IL"/>
        </w:rPr>
        <w:t>Š</w:t>
      </w:r>
      <w:r w:rsidR="00667C3F">
        <w:rPr>
          <w:rFonts w:ascii="Calibri" w:eastAsia="Times New Roman" w:hAnsi="Calibri" w:cs="Times New Roman"/>
          <w:lang w:val="en-GB" w:bidi="he-IL"/>
        </w:rPr>
        <w:t>e</w:t>
      </w:r>
      <w:r w:rsidRPr="00A01136">
        <w:rPr>
          <w:rFonts w:ascii="Calibri" w:eastAsia="Times New Roman" w:hAnsi="Calibri" w:cs="Times New Roman"/>
          <w:lang w:val="en-GB" w:bidi="he-IL"/>
        </w:rPr>
        <w:t>kem</w:t>
      </w:r>
      <w:r w:rsidR="00020173">
        <w:rPr>
          <w:rFonts w:ascii="Calibri" w:eastAsia="Times New Roman" w:hAnsi="Calibri" w:cs="Times New Roman"/>
          <w:lang w:val="en-GB" w:bidi="he-IL"/>
        </w:rPr>
        <w:t>, as far as Teacher’s</w:t>
      </w:r>
      <w:r w:rsidR="00EE2B0A">
        <w:rPr>
          <w:rFonts w:ascii="Calibri" w:eastAsia="Times New Roman" w:hAnsi="Calibri" w:cs="Times New Roman"/>
          <w:lang w:val="en-GB" w:bidi="he-IL"/>
        </w:rPr>
        <w:t xml:space="preserve"> Oak.</w:t>
      </w:r>
      <w:r w:rsidR="00C80E80">
        <w:rPr>
          <w:rStyle w:val="FootnoteReference"/>
          <w:rFonts w:ascii="Calibri" w:eastAsia="Times New Roman" w:hAnsi="Calibri" w:cs="Times New Roman"/>
          <w:lang w:val="en-GB" w:bidi="he-IL"/>
        </w:rPr>
        <w:footnoteReference w:id="28"/>
      </w:r>
      <w:r w:rsidR="00B97200">
        <w:rPr>
          <w:rFonts w:ascii="Calibri" w:eastAsia="Times New Roman" w:hAnsi="Calibri" w:cs="Times New Roman"/>
          <w:lang w:val="en-GB" w:bidi="he-IL"/>
        </w:rPr>
        <w:t xml:space="preserve"> Now t</w:t>
      </w:r>
      <w:r w:rsidR="00EE2B0A">
        <w:rPr>
          <w:rFonts w:ascii="Calibri" w:eastAsia="Times New Roman" w:hAnsi="Calibri" w:cs="Times New Roman"/>
          <w:lang w:val="en-GB" w:bidi="he-IL"/>
        </w:rPr>
        <w:t>he Kena‘</w:t>
      </w:r>
      <w:r w:rsidRPr="00A01136">
        <w:rPr>
          <w:rFonts w:ascii="Calibri" w:eastAsia="Times New Roman" w:hAnsi="Calibri" w:cs="Times New Roman"/>
          <w:lang w:val="en-GB" w:bidi="he-IL"/>
        </w:rPr>
        <w:t xml:space="preserve">anites were then in the country. </w:t>
      </w:r>
      <w:r>
        <w:rPr>
          <w:rFonts w:ascii="Calibri" w:eastAsia="Times New Roman" w:hAnsi="Calibri" w:cs="Times New Roman"/>
          <w:vertAlign w:val="superscript"/>
          <w:lang w:val="en-GB" w:bidi="he-IL"/>
        </w:rPr>
        <w:t>7</w:t>
      </w:r>
      <w:r w:rsidR="00B97200">
        <w:rPr>
          <w:rFonts w:ascii="Calibri" w:eastAsia="Times New Roman" w:hAnsi="Calibri" w:cs="Times New Roman"/>
          <w:lang w:val="en-GB" w:bidi="he-IL"/>
        </w:rPr>
        <w:t>But Y</w:t>
      </w:r>
      <w:r w:rsidRPr="00A01136">
        <w:rPr>
          <w:rFonts w:ascii="Calibri" w:eastAsia="Times New Roman" w:hAnsi="Calibri" w:cs="Times New Roman"/>
          <w:lang w:val="en-GB" w:bidi="he-IL"/>
        </w:rPr>
        <w:t>ahw</w:t>
      </w:r>
      <w:r w:rsidR="00C50848">
        <w:rPr>
          <w:rFonts w:ascii="Calibri" w:eastAsia="Times New Roman" w:hAnsi="Calibri" w:cs="Times New Roman"/>
          <w:lang w:val="en-GB" w:bidi="he-IL"/>
        </w:rPr>
        <w:t xml:space="preserve">eh appeared to </w:t>
      </w:r>
      <w:r w:rsidR="00BF4EE8">
        <w:rPr>
          <w:rFonts w:ascii="Calibri" w:eastAsia="Times New Roman" w:hAnsi="Calibri" w:cs="Times New Roman"/>
          <w:lang w:val="en-GB" w:bidi="he-IL"/>
        </w:rPr>
        <w:t>Abram</w:t>
      </w:r>
      <w:r w:rsidR="00C50848">
        <w:rPr>
          <w:rFonts w:ascii="Calibri" w:eastAsia="Times New Roman" w:hAnsi="Calibri" w:cs="Times New Roman"/>
          <w:lang w:val="en-GB" w:bidi="he-IL"/>
        </w:rPr>
        <w:t xml:space="preserve"> and said, </w:t>
      </w:r>
      <w:r w:rsidR="003D56BA">
        <w:rPr>
          <w:rFonts w:ascii="Calibri" w:eastAsia="Times New Roman" w:hAnsi="Calibri" w:cs="Times New Roman"/>
          <w:lang w:val="en-GB" w:bidi="he-IL"/>
        </w:rPr>
        <w:t>“</w:t>
      </w:r>
      <w:r w:rsidRPr="00A01136">
        <w:rPr>
          <w:rFonts w:ascii="Calibri" w:eastAsia="Times New Roman" w:hAnsi="Calibri" w:cs="Times New Roman"/>
          <w:lang w:val="en-GB" w:bidi="he-IL"/>
        </w:rPr>
        <w:t>To your offs</w:t>
      </w:r>
      <w:r w:rsidR="006E3853">
        <w:rPr>
          <w:rFonts w:ascii="Calibri" w:eastAsia="Times New Roman" w:hAnsi="Calibri" w:cs="Times New Roman"/>
          <w:lang w:val="en-GB" w:bidi="he-IL"/>
        </w:rPr>
        <w:t>pring I wi</w:t>
      </w:r>
      <w:r w:rsidR="00C50848">
        <w:rPr>
          <w:rFonts w:ascii="Calibri" w:eastAsia="Times New Roman" w:hAnsi="Calibri" w:cs="Times New Roman"/>
          <w:lang w:val="en-GB" w:bidi="he-IL"/>
        </w:rPr>
        <w:t>ll give this country</w:t>
      </w:r>
      <w:r w:rsidR="0035662B">
        <w:rPr>
          <w:rFonts w:ascii="Calibri" w:eastAsia="Times New Roman" w:hAnsi="Calibri" w:cs="Times New Roman"/>
          <w:lang w:val="en-GB" w:bidi="he-IL"/>
        </w:rPr>
        <w:t>,</w:t>
      </w:r>
      <w:r w:rsidR="003D56BA">
        <w:rPr>
          <w:rFonts w:ascii="Calibri" w:eastAsia="Times New Roman" w:hAnsi="Calibri" w:cs="Times New Roman"/>
          <w:lang w:val="en-GB" w:bidi="he-IL"/>
        </w:rPr>
        <w:t>”</w:t>
      </w:r>
      <w:r w:rsidR="0035662B">
        <w:rPr>
          <w:rFonts w:ascii="Calibri" w:eastAsia="Times New Roman" w:hAnsi="Calibri" w:cs="Times New Roman"/>
          <w:lang w:val="en-GB" w:bidi="he-IL"/>
        </w:rPr>
        <w:t xml:space="preserve"> and h</w:t>
      </w:r>
      <w:r w:rsidRPr="00A01136">
        <w:rPr>
          <w:rFonts w:ascii="Calibri" w:eastAsia="Times New Roman" w:hAnsi="Calibri" w:cs="Times New Roman"/>
          <w:lang w:val="en-GB" w:bidi="he-IL"/>
        </w:rPr>
        <w:t>e built an altar there for Yahweh who</w:t>
      </w:r>
      <w:r>
        <w:rPr>
          <w:rFonts w:ascii="Calibri" w:eastAsia="Times New Roman" w:hAnsi="Calibri" w:cs="Times New Roman"/>
          <w:lang w:val="en-GB" w:bidi="he-IL"/>
        </w:rPr>
        <w:t xml:space="preserve"> had appeared to him. </w:t>
      </w:r>
      <w:r>
        <w:rPr>
          <w:rFonts w:ascii="Calibri" w:eastAsia="Times New Roman" w:hAnsi="Calibri" w:cs="Times New Roman"/>
          <w:vertAlign w:val="superscript"/>
          <w:lang w:val="en-GB" w:bidi="he-IL"/>
        </w:rPr>
        <w:t>8</w:t>
      </w:r>
      <w:r w:rsidRPr="00A01136">
        <w:rPr>
          <w:rFonts w:ascii="Calibri" w:eastAsia="Times New Roman" w:hAnsi="Calibri" w:cs="Times New Roman"/>
          <w:lang w:val="en-GB" w:bidi="he-IL"/>
        </w:rPr>
        <w:t>He went on from there to the mountain country on the east of Bet-el, and spread his tent, Bet-el on the west, Ha’ay on the east. He built an alta</w:t>
      </w:r>
      <w:r w:rsidR="001536C2">
        <w:rPr>
          <w:rFonts w:ascii="Calibri" w:eastAsia="Times New Roman" w:hAnsi="Calibri" w:cs="Times New Roman"/>
          <w:lang w:val="en-GB" w:bidi="he-IL"/>
        </w:rPr>
        <w:t>r there for Yahweh and called out with the name Yahweh</w:t>
      </w:r>
      <w:r w:rsidRPr="00A01136">
        <w:rPr>
          <w:rFonts w:ascii="Calibri" w:eastAsia="Times New Roman" w:hAnsi="Calibri" w:cs="Times New Roman"/>
          <w:lang w:val="en-GB" w:bidi="he-IL"/>
        </w:rPr>
        <w:t xml:space="preserve">. </w:t>
      </w:r>
    </w:p>
    <w:p w14:paraId="421F9783" w14:textId="77777777" w:rsidR="00DA695A" w:rsidRDefault="00141055" w:rsidP="00DA695A">
      <w:pPr>
        <w:pStyle w:val="Heading2"/>
        <w:rPr>
          <w:lang w:bidi="he-IL"/>
        </w:rPr>
      </w:pPr>
      <w:r>
        <w:rPr>
          <w:lang w:bidi="he-IL"/>
        </w:rPr>
        <w:t>Interpretation</w:t>
      </w:r>
      <w:r w:rsidR="00DA695A">
        <w:rPr>
          <w:lang w:bidi="he-IL"/>
        </w:rPr>
        <w:t xml:space="preserve"> </w:t>
      </w:r>
    </w:p>
    <w:p w14:paraId="51045F58" w14:textId="016006FD" w:rsidR="005E03C6" w:rsidRDefault="007556B8" w:rsidP="005E03C6">
      <w:pPr>
        <w:rPr>
          <w:lang w:bidi="he-IL"/>
        </w:rPr>
      </w:pPr>
      <w:r>
        <w:rPr>
          <w:lang w:bidi="he-IL"/>
        </w:rPr>
        <w:t>MT’s</w:t>
      </w:r>
      <w:r w:rsidR="008602D6">
        <w:rPr>
          <w:lang w:bidi="he-IL"/>
        </w:rPr>
        <w:t xml:space="preserve"> unit</w:t>
      </w:r>
      <w:r w:rsidR="00101990">
        <w:rPr>
          <w:lang w:bidi="he-IL"/>
        </w:rPr>
        <w:t xml:space="preserve"> runs from </w:t>
      </w:r>
      <w:r w:rsidR="005E03C6">
        <w:rPr>
          <w:lang w:bidi="he-IL"/>
        </w:rPr>
        <w:t>11:10</w:t>
      </w:r>
      <w:r w:rsidR="00101990">
        <w:rPr>
          <w:lang w:bidi="he-IL"/>
        </w:rPr>
        <w:t xml:space="preserve"> to 12:9</w:t>
      </w:r>
      <w:r w:rsidR="00C52266">
        <w:rPr>
          <w:lang w:bidi="he-IL"/>
        </w:rPr>
        <w:t>, while the new synagogue lection begins at 12:1 and continues to 17:27.</w:t>
      </w:r>
      <w:r w:rsidR="00703DF1">
        <w:rPr>
          <w:lang w:bidi="he-IL"/>
        </w:rPr>
        <w:t xml:space="preserve"> </w:t>
      </w:r>
      <w:r w:rsidR="00703DF1">
        <w:rPr>
          <w:lang w:val="en-GB" w:bidi="he-IL"/>
        </w:rPr>
        <w:t>O</w:t>
      </w:r>
      <w:r w:rsidR="0000492D">
        <w:rPr>
          <w:lang w:val="en-GB" w:bidi="he-IL"/>
        </w:rPr>
        <w:t>ne can see why the devisers of the synagogue lectionary and of the medieval chapter divisions were attracted to the resonant declaration in 12:1</w:t>
      </w:r>
      <w:r w:rsidR="00703DF1">
        <w:rPr>
          <w:lang w:val="en-GB" w:bidi="he-IL"/>
        </w:rPr>
        <w:t xml:space="preserve">. </w:t>
      </w:r>
      <w:r w:rsidR="00101990" w:rsidRPr="00101990">
        <w:rPr>
          <w:lang w:bidi="he-IL"/>
        </w:rPr>
        <w:t xml:space="preserve">But </w:t>
      </w:r>
      <w:r>
        <w:rPr>
          <w:lang w:bidi="he-IL"/>
        </w:rPr>
        <w:t xml:space="preserve">in the introduction to this commentary </w:t>
      </w:r>
      <w:r w:rsidR="00101990" w:rsidRPr="00101990">
        <w:rPr>
          <w:lang w:bidi="he-IL"/>
        </w:rPr>
        <w:t>we have noted how</w:t>
      </w:r>
      <w:r>
        <w:rPr>
          <w:lang w:val="en-GB" w:bidi="he-IL"/>
        </w:rPr>
        <w:t xml:space="preserve"> a</w:t>
      </w:r>
      <w:r w:rsidR="00101990" w:rsidRPr="00101990">
        <w:rPr>
          <w:lang w:val="en-GB" w:bidi="he-IL"/>
        </w:rPr>
        <w:t xml:space="preserve"> heading </w:t>
      </w:r>
      <w:r>
        <w:rPr>
          <w:lang w:val="en-GB" w:bidi="he-IL"/>
        </w:rPr>
        <w:t xml:space="preserve">such as </w:t>
      </w:r>
      <w:r w:rsidR="003D56BA">
        <w:rPr>
          <w:lang w:val="en-GB" w:bidi="he-IL"/>
        </w:rPr>
        <w:t>“</w:t>
      </w:r>
      <w:r w:rsidR="00101990" w:rsidRPr="00101990">
        <w:rPr>
          <w:lang w:val="en-GB" w:bidi="he-IL"/>
        </w:rPr>
        <w:t>these are Terah’s lines of descent</w:t>
      </w:r>
      <w:r w:rsidR="003D56BA">
        <w:rPr>
          <w:lang w:val="en-GB" w:bidi="he-IL"/>
        </w:rPr>
        <w:t>”</w:t>
      </w:r>
      <w:r w:rsidR="00101990" w:rsidRPr="00101990">
        <w:rPr>
          <w:lang w:val="en-GB" w:bidi="he-IL"/>
        </w:rPr>
        <w:t xml:space="preserve"> </w:t>
      </w:r>
      <w:r>
        <w:rPr>
          <w:lang w:val="en-GB" w:bidi="he-IL"/>
        </w:rPr>
        <w:t>(</w:t>
      </w:r>
      <w:r w:rsidRPr="007556B8">
        <w:rPr>
          <w:lang w:val="en-GB" w:bidi="he-IL"/>
        </w:rPr>
        <w:t>11:27</w:t>
      </w:r>
      <w:r>
        <w:rPr>
          <w:lang w:val="en-GB" w:bidi="he-IL"/>
        </w:rPr>
        <w:t>)</w:t>
      </w:r>
      <w:r w:rsidRPr="007556B8">
        <w:rPr>
          <w:lang w:val="en-GB" w:bidi="he-IL"/>
        </w:rPr>
        <w:t xml:space="preserve"> </w:t>
      </w:r>
      <w:r w:rsidR="00101990" w:rsidRPr="00101990">
        <w:rPr>
          <w:lang w:val="en-GB" w:bidi="he-IL"/>
        </w:rPr>
        <w:t xml:space="preserve">looks like the introduction to </w:t>
      </w:r>
      <w:r>
        <w:rPr>
          <w:lang w:val="en-GB" w:bidi="he-IL"/>
        </w:rPr>
        <w:t>one of the major p</w:t>
      </w:r>
      <w:r w:rsidR="00101990" w:rsidRPr="00101990">
        <w:rPr>
          <w:lang w:val="en-GB" w:bidi="he-IL"/>
        </w:rPr>
        <w:t>art</w:t>
      </w:r>
      <w:r>
        <w:rPr>
          <w:lang w:val="en-GB" w:bidi="he-IL"/>
        </w:rPr>
        <w:t>s of Genesis as</w:t>
      </w:r>
      <w:r w:rsidR="00667C3F">
        <w:rPr>
          <w:lang w:val="en-GB" w:bidi="he-IL"/>
        </w:rPr>
        <w:t xml:space="preserve"> a whole. In this </w:t>
      </w:r>
      <w:r w:rsidR="00036C6A">
        <w:rPr>
          <w:lang w:val="en-GB" w:bidi="he-IL"/>
        </w:rPr>
        <w:t xml:space="preserve">case, the opening scenes in Part </w:t>
      </w:r>
      <w:r w:rsidR="00667C3F">
        <w:rPr>
          <w:lang w:val="en-GB" w:bidi="he-IL"/>
        </w:rPr>
        <w:t>Two</w:t>
      </w:r>
      <w:r w:rsidR="00AC65A6">
        <w:rPr>
          <w:lang w:val="en-GB" w:bidi="he-IL"/>
        </w:rPr>
        <w:t xml:space="preserve"> concern</w:t>
      </w:r>
      <w:r w:rsidR="00101990" w:rsidRPr="00101990">
        <w:rPr>
          <w:lang w:val="en-GB" w:bidi="he-IL"/>
        </w:rPr>
        <w:t xml:space="preserve"> Yahweh’s dealings wi</w:t>
      </w:r>
      <w:r w:rsidR="00101990">
        <w:rPr>
          <w:lang w:val="en-GB" w:bidi="he-IL"/>
        </w:rPr>
        <w:t xml:space="preserve">th </w:t>
      </w:r>
      <w:r>
        <w:rPr>
          <w:lang w:val="en-GB" w:bidi="he-IL"/>
        </w:rPr>
        <w:t xml:space="preserve">Terah’s son </w:t>
      </w:r>
      <w:r w:rsidR="00101990">
        <w:rPr>
          <w:lang w:val="en-GB" w:bidi="he-IL"/>
        </w:rPr>
        <w:t xml:space="preserve">Abraham and </w:t>
      </w:r>
      <w:r>
        <w:rPr>
          <w:lang w:val="en-GB" w:bidi="he-IL"/>
        </w:rPr>
        <w:t xml:space="preserve">his wife </w:t>
      </w:r>
      <w:r w:rsidR="00101990">
        <w:rPr>
          <w:lang w:val="en-GB" w:bidi="he-IL"/>
        </w:rPr>
        <w:t>Sarah; and</w:t>
      </w:r>
      <w:r w:rsidR="0000492D">
        <w:rPr>
          <w:lang w:val="en-GB" w:bidi="he-IL"/>
        </w:rPr>
        <w:t xml:space="preserve"> a </w:t>
      </w:r>
      <w:r w:rsidR="00101990">
        <w:rPr>
          <w:lang w:bidi="he-IL"/>
        </w:rPr>
        <w:t xml:space="preserve">narrative arc </w:t>
      </w:r>
      <w:r>
        <w:rPr>
          <w:lang w:bidi="he-IL"/>
        </w:rPr>
        <w:t xml:space="preserve">does </w:t>
      </w:r>
      <w:r w:rsidR="00667C3F">
        <w:rPr>
          <w:lang w:bidi="he-IL"/>
        </w:rPr>
        <w:t>come to completion with 12:8 as Abraham has arrived in</w:t>
      </w:r>
      <w:r w:rsidR="00101990">
        <w:rPr>
          <w:lang w:bidi="he-IL"/>
        </w:rPr>
        <w:t xml:space="preserve"> Canaan</w:t>
      </w:r>
      <w:r w:rsidR="00881AEF">
        <w:rPr>
          <w:lang w:bidi="he-IL"/>
        </w:rPr>
        <w:t>, built altars there,</w:t>
      </w:r>
      <w:r w:rsidR="00101990">
        <w:rPr>
          <w:lang w:bidi="he-IL"/>
        </w:rPr>
        <w:t xml:space="preserve"> </w:t>
      </w:r>
      <w:r w:rsidR="00667C3F">
        <w:rPr>
          <w:lang w:bidi="he-IL"/>
        </w:rPr>
        <w:t>named</w:t>
      </w:r>
      <w:r w:rsidR="00703DF1" w:rsidRPr="00703DF1">
        <w:rPr>
          <w:lang w:bidi="he-IL"/>
        </w:rPr>
        <w:t xml:space="preserve"> Yahweh’s name </w:t>
      </w:r>
      <w:r w:rsidR="00667C3F">
        <w:rPr>
          <w:lang w:bidi="he-IL"/>
        </w:rPr>
        <w:t>there</w:t>
      </w:r>
      <w:r w:rsidR="0013008C">
        <w:rPr>
          <w:lang w:bidi="he-IL"/>
        </w:rPr>
        <w:t>, and spread his tent there in a way that implies more than an overnight stay as if they are on the way somewhere else</w:t>
      </w:r>
      <w:r w:rsidR="00101990">
        <w:rPr>
          <w:lang w:bidi="he-IL"/>
        </w:rPr>
        <w:t>.</w:t>
      </w:r>
      <w:r w:rsidR="005649C7">
        <w:rPr>
          <w:lang w:bidi="he-IL"/>
        </w:rPr>
        <w:t xml:space="preserve"> </w:t>
      </w:r>
      <w:r w:rsidR="003D56BA">
        <w:rPr>
          <w:lang w:bidi="he-IL"/>
        </w:rPr>
        <w:t>“</w:t>
      </w:r>
      <w:r w:rsidR="005649C7">
        <w:rPr>
          <w:lang w:bidi="he-IL"/>
        </w:rPr>
        <w:t>Within the book of Genesis, no section is m</w:t>
      </w:r>
      <w:r w:rsidR="0045325D">
        <w:rPr>
          <w:lang w:bidi="he-IL"/>
        </w:rPr>
        <w:t>ore significant than 11:27—12:9</w:t>
      </w:r>
      <w:r w:rsidR="003D56BA">
        <w:rPr>
          <w:lang w:bidi="he-IL"/>
        </w:rPr>
        <w:t>”</w:t>
      </w:r>
      <w:r w:rsidR="005649C7">
        <w:rPr>
          <w:rStyle w:val="FootnoteReference"/>
          <w:lang w:bidi="he-IL"/>
        </w:rPr>
        <w:footnoteReference w:id="29"/>
      </w:r>
      <w:r w:rsidR="005649C7">
        <w:rPr>
          <w:lang w:bidi="he-IL"/>
        </w:rPr>
        <w:t xml:space="preserve"> </w:t>
      </w:r>
      <w:r w:rsidR="0045325D">
        <w:rPr>
          <w:lang w:bidi="he-IL"/>
        </w:rPr>
        <w:t xml:space="preserve">(I would say 11:27—12:8). </w:t>
      </w:r>
      <w:r w:rsidR="005649C7">
        <w:rPr>
          <w:lang w:bidi="he-IL"/>
        </w:rPr>
        <w:t>It is quite a statement.</w:t>
      </w:r>
      <w:r w:rsidR="00604F14">
        <w:rPr>
          <w:rStyle w:val="FootnoteReference"/>
          <w:lang w:bidi="he-IL"/>
        </w:rPr>
        <w:footnoteReference w:id="30"/>
      </w:r>
    </w:p>
    <w:p w14:paraId="2FCA9C3F" w14:textId="3DCB93A6" w:rsidR="00F61B7B" w:rsidRDefault="00881AEF" w:rsidP="005E03C6">
      <w:pPr>
        <w:rPr>
          <w:lang w:bidi="he-IL"/>
        </w:rPr>
      </w:pPr>
      <w:r>
        <w:rPr>
          <w:lang w:bidi="he-IL"/>
        </w:rPr>
        <w:t>While</w:t>
      </w:r>
      <w:r w:rsidR="00616A9A">
        <w:rPr>
          <w:lang w:bidi="he-IL"/>
        </w:rPr>
        <w:t xml:space="preserve"> th</w:t>
      </w:r>
      <w:r w:rsidR="00F61B7B">
        <w:rPr>
          <w:lang w:bidi="he-IL"/>
        </w:rPr>
        <w:t>e account o</w:t>
      </w:r>
      <w:r w:rsidR="00616A9A">
        <w:rPr>
          <w:lang w:bidi="he-IL"/>
        </w:rPr>
        <w:t>f Terah’s l</w:t>
      </w:r>
      <w:r>
        <w:rPr>
          <w:lang w:bidi="he-IL"/>
        </w:rPr>
        <w:t xml:space="preserve">ines of descent </w:t>
      </w:r>
      <w:r w:rsidR="00616A9A">
        <w:rPr>
          <w:lang w:bidi="he-IL"/>
        </w:rPr>
        <w:t>continue</w:t>
      </w:r>
      <w:r>
        <w:rPr>
          <w:lang w:bidi="he-IL"/>
        </w:rPr>
        <w:t>s from 11:26, it thus</w:t>
      </w:r>
      <w:r w:rsidR="00F61B7B">
        <w:rPr>
          <w:lang w:bidi="he-IL"/>
        </w:rPr>
        <w:t xml:space="preserve"> open</w:t>
      </w:r>
      <w:r>
        <w:rPr>
          <w:lang w:bidi="he-IL"/>
        </w:rPr>
        <w:t>s with a new heading and then reprises information from v. 26b before seguing</w:t>
      </w:r>
      <w:r w:rsidR="00F61B7B">
        <w:rPr>
          <w:lang w:bidi="he-IL"/>
        </w:rPr>
        <w:t xml:space="preserve"> </w:t>
      </w:r>
      <w:r w:rsidR="004B5D4A">
        <w:rPr>
          <w:lang w:bidi="he-IL"/>
        </w:rPr>
        <w:t xml:space="preserve">in vv. 27b-30 </w:t>
      </w:r>
      <w:r w:rsidR="00F61B7B">
        <w:rPr>
          <w:lang w:bidi="he-IL"/>
        </w:rPr>
        <w:t xml:space="preserve">into more information on the family. </w:t>
      </w:r>
      <w:r w:rsidR="00AC65A6">
        <w:rPr>
          <w:lang w:bidi="he-IL"/>
        </w:rPr>
        <w:t>Such</w:t>
      </w:r>
      <w:r w:rsidR="00616A9A">
        <w:rPr>
          <w:lang w:bidi="he-IL"/>
        </w:rPr>
        <w:t xml:space="preserve"> </w:t>
      </w:r>
      <w:r>
        <w:rPr>
          <w:lang w:bidi="he-IL"/>
        </w:rPr>
        <w:t>material</w:t>
      </w:r>
      <w:r w:rsidR="00AC65A6">
        <w:rPr>
          <w:lang w:bidi="he-IL"/>
        </w:rPr>
        <w:t xml:space="preserve"> </w:t>
      </w:r>
      <w:r w:rsidR="004B5D4A">
        <w:rPr>
          <w:lang w:bidi="he-IL"/>
        </w:rPr>
        <w:t xml:space="preserve">might appear in an account of someone’s lines of descent, </w:t>
      </w:r>
      <w:r w:rsidR="00616A9A">
        <w:rPr>
          <w:lang w:bidi="he-IL"/>
        </w:rPr>
        <w:t>especially a segmented genealogy such as 10:1-32, but it provides</w:t>
      </w:r>
      <w:r w:rsidR="004B5D4A">
        <w:rPr>
          <w:lang w:bidi="he-IL"/>
        </w:rPr>
        <w:t xml:space="preserve"> much more detail than appeared </w:t>
      </w:r>
      <w:r w:rsidR="00616A9A">
        <w:rPr>
          <w:lang w:bidi="he-IL"/>
        </w:rPr>
        <w:t xml:space="preserve">in the linear genealogy in </w:t>
      </w:r>
      <w:r>
        <w:rPr>
          <w:lang w:bidi="he-IL"/>
        </w:rPr>
        <w:t>11:10-26, detail significant</w:t>
      </w:r>
      <w:r w:rsidR="004B5D4A">
        <w:rPr>
          <w:lang w:bidi="he-IL"/>
        </w:rPr>
        <w:t xml:space="preserve"> as background to what will follow. Immediately</w:t>
      </w:r>
      <w:r>
        <w:rPr>
          <w:lang w:bidi="he-IL"/>
        </w:rPr>
        <w:t>,</w:t>
      </w:r>
      <w:r w:rsidR="004B5D4A">
        <w:rPr>
          <w:lang w:bidi="he-IL"/>
        </w:rPr>
        <w:t xml:space="preserve"> it leads into an account of Ter</w:t>
      </w:r>
      <w:r w:rsidR="00616A9A">
        <w:rPr>
          <w:lang w:bidi="he-IL"/>
        </w:rPr>
        <w:t>ah’s moving his family from Ur, in v. 31</w:t>
      </w:r>
      <w:r w:rsidR="004B5D4A">
        <w:rPr>
          <w:lang w:bidi="he-IL"/>
        </w:rPr>
        <w:t xml:space="preserve">. </w:t>
      </w:r>
      <w:r w:rsidR="00F61B7B">
        <w:rPr>
          <w:lang w:bidi="he-IL"/>
        </w:rPr>
        <w:t xml:space="preserve">Only with v. 32 do we get the </w:t>
      </w:r>
      <w:r w:rsidR="004B5D4A">
        <w:rPr>
          <w:lang w:bidi="he-IL"/>
        </w:rPr>
        <w:t xml:space="preserve">genealogical </w:t>
      </w:r>
      <w:r w:rsidR="00F61B7B">
        <w:rPr>
          <w:lang w:bidi="he-IL"/>
        </w:rPr>
        <w:t>information that would bring</w:t>
      </w:r>
      <w:r w:rsidR="00616A9A">
        <w:rPr>
          <w:lang w:bidi="he-IL"/>
        </w:rPr>
        <w:t xml:space="preserve"> Terah’s details to a close, but</w:t>
      </w:r>
      <w:r>
        <w:rPr>
          <w:lang w:bidi="he-IL"/>
        </w:rPr>
        <w:t xml:space="preserve"> not </w:t>
      </w:r>
      <w:r w:rsidR="00F61B7B">
        <w:rPr>
          <w:lang w:bidi="he-IL"/>
        </w:rPr>
        <w:t xml:space="preserve">in the same form as vv. 10-26: </w:t>
      </w:r>
      <w:r w:rsidR="00AC65A6">
        <w:rPr>
          <w:lang w:bidi="he-IL"/>
        </w:rPr>
        <w:t xml:space="preserve">it gives the total number of his years </w:t>
      </w:r>
      <w:r w:rsidR="00F61B7B">
        <w:rPr>
          <w:lang w:bidi="he-IL"/>
        </w:rPr>
        <w:t>inst</w:t>
      </w:r>
      <w:r w:rsidR="00AC65A6">
        <w:rPr>
          <w:lang w:bidi="he-IL"/>
        </w:rPr>
        <w:t>ead of the number of years he</w:t>
      </w:r>
      <w:r w:rsidR="00F61B7B">
        <w:rPr>
          <w:lang w:bidi="he-IL"/>
        </w:rPr>
        <w:t xml:space="preserve"> lived after the birth of his sons</w:t>
      </w:r>
      <w:r w:rsidR="00AC65A6">
        <w:rPr>
          <w:lang w:bidi="he-IL"/>
        </w:rPr>
        <w:t xml:space="preserve">, </w:t>
      </w:r>
      <w:r w:rsidR="00616A9A">
        <w:rPr>
          <w:lang w:bidi="he-IL"/>
        </w:rPr>
        <w:t xml:space="preserve">then the account </w:t>
      </w:r>
      <w:r w:rsidR="00F61B7B">
        <w:rPr>
          <w:lang w:bidi="he-IL"/>
        </w:rPr>
        <w:t>closes w</w:t>
      </w:r>
      <w:r w:rsidR="00616A9A">
        <w:rPr>
          <w:lang w:bidi="he-IL"/>
        </w:rPr>
        <w:t>ith a note about his dying. It thus</w:t>
      </w:r>
      <w:r w:rsidR="00F61B7B">
        <w:rPr>
          <w:lang w:bidi="he-IL"/>
        </w:rPr>
        <w:t xml:space="preserve"> resembles the pattern in Gen 5, but its</w:t>
      </w:r>
      <w:r w:rsidR="002708F1">
        <w:rPr>
          <w:lang w:bidi="he-IL"/>
        </w:rPr>
        <w:t xml:space="preserve"> point h</w:t>
      </w:r>
      <w:r w:rsidR="00616A9A">
        <w:rPr>
          <w:lang w:bidi="he-IL"/>
        </w:rPr>
        <w:t>ere is that Terah</w:t>
      </w:r>
      <w:r w:rsidR="002708F1">
        <w:rPr>
          <w:lang w:bidi="he-IL"/>
        </w:rPr>
        <w:t xml:space="preserve"> died in H</w:t>
      </w:r>
      <w:r w:rsidR="00F61B7B">
        <w:rPr>
          <w:lang w:bidi="he-IL"/>
        </w:rPr>
        <w:t xml:space="preserve">arran and did not accompany Abraham to Canaan. </w:t>
      </w:r>
    </w:p>
    <w:p w14:paraId="0AD8D83C" w14:textId="607F2F82" w:rsidR="00CE03B5" w:rsidRDefault="00101990" w:rsidP="005E03C6">
      <w:pPr>
        <w:rPr>
          <w:lang w:bidi="he-IL"/>
        </w:rPr>
      </w:pPr>
      <w:r>
        <w:rPr>
          <w:lang w:bidi="he-IL"/>
        </w:rPr>
        <w:t xml:space="preserve">The switch in the synagogue lection </w:t>
      </w:r>
      <w:r w:rsidR="00881AEF">
        <w:rPr>
          <w:lang w:bidi="he-IL"/>
        </w:rPr>
        <w:t xml:space="preserve">at 12:1 </w:t>
      </w:r>
      <w:r>
        <w:rPr>
          <w:lang w:bidi="he-IL"/>
        </w:rPr>
        <w:t xml:space="preserve">reflects the transition from </w:t>
      </w:r>
      <w:r w:rsidR="00070449">
        <w:rPr>
          <w:lang w:bidi="he-IL"/>
        </w:rPr>
        <w:t xml:space="preserve">the </w:t>
      </w:r>
      <w:r>
        <w:rPr>
          <w:lang w:bidi="he-IL"/>
        </w:rPr>
        <w:t>lines of descent</w:t>
      </w:r>
      <w:r w:rsidR="00070449">
        <w:rPr>
          <w:lang w:bidi="he-IL"/>
        </w:rPr>
        <w:t xml:space="preserve"> and</w:t>
      </w:r>
      <w:r w:rsidR="004B5D4A">
        <w:rPr>
          <w:lang w:bidi="he-IL"/>
        </w:rPr>
        <w:t xml:space="preserve"> story in 11:27-32 whose framework</w:t>
      </w:r>
      <w:r>
        <w:rPr>
          <w:lang w:bidi="he-IL"/>
        </w:rPr>
        <w:t xml:space="preserve"> come</w:t>
      </w:r>
      <w:r w:rsidR="00881AEF">
        <w:rPr>
          <w:lang w:bidi="he-IL"/>
        </w:rPr>
        <w:t>s</w:t>
      </w:r>
      <w:r>
        <w:rPr>
          <w:lang w:bidi="he-IL"/>
        </w:rPr>
        <w:t xml:space="preserve"> fro</w:t>
      </w:r>
      <w:r w:rsidR="00474022">
        <w:rPr>
          <w:lang w:bidi="he-IL"/>
        </w:rPr>
        <w:t xml:space="preserve">m P, to the story </w:t>
      </w:r>
      <w:r w:rsidR="0045325D">
        <w:rPr>
          <w:lang w:bidi="he-IL"/>
        </w:rPr>
        <w:t>beginning in 12:1</w:t>
      </w:r>
      <w:r w:rsidR="00474022">
        <w:rPr>
          <w:lang w:bidi="he-IL"/>
        </w:rPr>
        <w:t xml:space="preserve"> whose framework</w:t>
      </w:r>
      <w:r>
        <w:rPr>
          <w:lang w:bidi="he-IL"/>
        </w:rPr>
        <w:t xml:space="preserve"> </w:t>
      </w:r>
      <w:r w:rsidR="00AC65A6">
        <w:rPr>
          <w:lang w:bidi="he-IL"/>
        </w:rPr>
        <w:lastRenderedPageBreak/>
        <w:t>comes from J. Combining</w:t>
      </w:r>
      <w:r>
        <w:rPr>
          <w:lang w:bidi="he-IL"/>
        </w:rPr>
        <w:t xml:space="preserve"> passages from the two earlier version</w:t>
      </w:r>
      <w:r w:rsidR="00FA7064">
        <w:rPr>
          <w:lang w:bidi="he-IL"/>
        </w:rPr>
        <w:t>s</w:t>
      </w:r>
      <w:r w:rsidR="00070449">
        <w:rPr>
          <w:lang w:bidi="he-IL"/>
        </w:rPr>
        <w:t xml:space="preserve"> generates some</w:t>
      </w:r>
      <w:r>
        <w:rPr>
          <w:lang w:bidi="he-IL"/>
        </w:rPr>
        <w:t xml:space="preserve"> unce</w:t>
      </w:r>
      <w:r w:rsidR="00AC65A6">
        <w:rPr>
          <w:lang w:bidi="he-IL"/>
        </w:rPr>
        <w:t xml:space="preserve">rtainty about the order and </w:t>
      </w:r>
      <w:r>
        <w:rPr>
          <w:lang w:bidi="he-IL"/>
        </w:rPr>
        <w:t>interrelationship of events</w:t>
      </w:r>
      <w:r w:rsidR="00CE03B5">
        <w:rPr>
          <w:lang w:bidi="he-IL"/>
        </w:rPr>
        <w:t>.</w:t>
      </w:r>
      <w:r w:rsidR="00070449">
        <w:rPr>
          <w:lang w:bidi="he-IL"/>
        </w:rPr>
        <w:t xml:space="preserve"> </w:t>
      </w:r>
      <w:r w:rsidR="0045325D">
        <w:rPr>
          <w:lang w:bidi="he-IL"/>
        </w:rPr>
        <w:t>Gen 12</w:t>
      </w:r>
      <w:r w:rsidR="00474022">
        <w:rPr>
          <w:lang w:bidi="he-IL"/>
        </w:rPr>
        <w:t xml:space="preserve"> begins with a </w:t>
      </w:r>
      <w:r w:rsidR="00474022">
        <w:rPr>
          <w:i/>
          <w:lang w:bidi="he-IL"/>
        </w:rPr>
        <w:t>waw</w:t>
      </w:r>
      <w:r w:rsidR="00474022">
        <w:rPr>
          <w:lang w:bidi="he-IL"/>
        </w:rPr>
        <w:t xml:space="preserve">-consecutive, which one way or another links it closely with 11:27-32, though how to understand the </w:t>
      </w:r>
      <w:r w:rsidR="00474022" w:rsidRPr="00474022">
        <w:rPr>
          <w:i/>
          <w:lang w:bidi="he-IL"/>
        </w:rPr>
        <w:t>waw</w:t>
      </w:r>
      <w:r w:rsidR="00474022" w:rsidRPr="00474022">
        <w:rPr>
          <w:lang w:bidi="he-IL"/>
        </w:rPr>
        <w:t>-consecutive</w:t>
      </w:r>
      <w:r w:rsidR="00474022">
        <w:rPr>
          <w:lang w:bidi="he-IL"/>
        </w:rPr>
        <w:t xml:space="preserve"> (specifically, whether it denotes an event </w:t>
      </w:r>
      <w:r w:rsidR="00AC65A6">
        <w:rPr>
          <w:lang w:bidi="he-IL"/>
        </w:rPr>
        <w:t xml:space="preserve">consecutive on </w:t>
      </w:r>
      <w:r w:rsidR="00474022">
        <w:rPr>
          <w:lang w:bidi="he-IL"/>
        </w:rPr>
        <w:t>events in the previous verses) is a different matter. T</w:t>
      </w:r>
      <w:r w:rsidR="00CE03B5">
        <w:rPr>
          <w:lang w:bidi="he-IL"/>
        </w:rPr>
        <w:t xml:space="preserve">he importance of Yahweh’s words </w:t>
      </w:r>
      <w:r w:rsidR="00474022">
        <w:rPr>
          <w:lang w:bidi="he-IL"/>
        </w:rPr>
        <w:t>o</w:t>
      </w:r>
      <w:r w:rsidR="00474022" w:rsidRPr="00474022">
        <w:rPr>
          <w:lang w:bidi="he-IL"/>
        </w:rPr>
        <w:t xml:space="preserve">nce again </w:t>
      </w:r>
      <w:r w:rsidR="00CE03B5">
        <w:rPr>
          <w:lang w:bidi="he-IL"/>
        </w:rPr>
        <w:t xml:space="preserve">receives emphasis through their being expressed in lines that can be scanned as poetic bicola and </w:t>
      </w:r>
      <w:r w:rsidR="00EE2B0A">
        <w:rPr>
          <w:lang w:bidi="he-IL"/>
        </w:rPr>
        <w:t xml:space="preserve">that </w:t>
      </w:r>
      <w:r w:rsidR="00CE03B5">
        <w:rPr>
          <w:lang w:bidi="he-IL"/>
        </w:rPr>
        <w:t xml:space="preserve">manifest some parallelism. </w:t>
      </w:r>
      <w:r w:rsidR="00474022">
        <w:rPr>
          <w:lang w:bidi="he-IL"/>
        </w:rPr>
        <w:t>They begin with a command</w:t>
      </w:r>
      <w:r w:rsidR="001E77CD">
        <w:rPr>
          <w:lang w:bidi="he-IL"/>
        </w:rPr>
        <w:t>,</w:t>
      </w:r>
      <w:r w:rsidR="00474022">
        <w:rPr>
          <w:lang w:bidi="he-IL"/>
        </w:rPr>
        <w:t xml:space="preserve"> but they quickly segue </w:t>
      </w:r>
      <w:r w:rsidR="00881AEF">
        <w:rPr>
          <w:lang w:bidi="he-IL"/>
        </w:rPr>
        <w:t>into a series of promises. And t</w:t>
      </w:r>
      <w:r w:rsidR="00474022">
        <w:rPr>
          <w:lang w:bidi="he-IL"/>
        </w:rPr>
        <w:t xml:space="preserve">hey begin with an act of separation from the rest of the world and a promise for Abraham </w:t>
      </w:r>
      <w:r w:rsidR="00070449">
        <w:rPr>
          <w:lang w:bidi="he-IL"/>
        </w:rPr>
        <w:t xml:space="preserve">that </w:t>
      </w:r>
      <w:r w:rsidR="00474022">
        <w:rPr>
          <w:lang w:bidi="he-IL"/>
        </w:rPr>
        <w:t>set</w:t>
      </w:r>
      <w:r w:rsidR="00070449">
        <w:rPr>
          <w:lang w:bidi="he-IL"/>
        </w:rPr>
        <w:t>s him</w:t>
      </w:r>
      <w:r w:rsidR="00474022">
        <w:rPr>
          <w:lang w:bidi="he-IL"/>
        </w:rPr>
        <w:t xml:space="preserve"> over against the world, but they segue </w:t>
      </w:r>
      <w:r w:rsidR="00AC65A6">
        <w:rPr>
          <w:lang w:bidi="he-IL"/>
        </w:rPr>
        <w:t>into a promise indicating</w:t>
      </w:r>
      <w:r w:rsidR="001E77CD">
        <w:rPr>
          <w:lang w:bidi="he-IL"/>
        </w:rPr>
        <w:t xml:space="preserve"> that Abraham’s blessing has significance for other peoples. The move repeats itself in heightened fashion as Yahweh speaks of blessing and tough-minded protection, but also of </w:t>
      </w:r>
      <w:r w:rsidR="00842B6C">
        <w:rPr>
          <w:lang w:bidi="he-IL"/>
        </w:rPr>
        <w:t>all th</w:t>
      </w:r>
      <w:r w:rsidR="001E77CD">
        <w:rPr>
          <w:lang w:bidi="he-IL"/>
        </w:rPr>
        <w:t>e world’s kin-groups seeking the kind of blessing Abraham will enjoy.</w:t>
      </w:r>
    </w:p>
    <w:p w14:paraId="6198DCE6" w14:textId="4CBD5775" w:rsidR="00F8413F" w:rsidRPr="00146A7E" w:rsidRDefault="00881AEF" w:rsidP="00F8413F">
      <w:pPr>
        <w:rPr>
          <w:lang w:bidi="he-IL"/>
        </w:rPr>
      </w:pPr>
      <w:r>
        <w:rPr>
          <w:lang w:bidi="he-IL"/>
        </w:rPr>
        <w:t>The unit</w:t>
      </w:r>
      <w:r w:rsidR="00EA487D">
        <w:rPr>
          <w:lang w:bidi="he-IL"/>
        </w:rPr>
        <w:t xml:space="preserve"> as </w:t>
      </w:r>
      <w:r>
        <w:rPr>
          <w:lang w:bidi="he-IL"/>
        </w:rPr>
        <w:t xml:space="preserve">a </w:t>
      </w:r>
      <w:r w:rsidR="00EA487D">
        <w:rPr>
          <w:lang w:bidi="he-IL"/>
        </w:rPr>
        <w:t xml:space="preserve">whole </w:t>
      </w:r>
      <w:r w:rsidR="00842B6C">
        <w:rPr>
          <w:lang w:bidi="he-IL"/>
        </w:rPr>
        <w:t>takes up themes and motifs from Genesis Part One</w:t>
      </w:r>
      <w:r w:rsidR="0007747A">
        <w:rPr>
          <w:lang w:bidi="he-IL"/>
        </w:rPr>
        <w:t>, from its beginning with creation through the Noah story to its end</w:t>
      </w:r>
      <w:r w:rsidR="00842B6C">
        <w:rPr>
          <w:lang w:bidi="he-IL"/>
        </w:rPr>
        <w:t>: lines of descent, blessing and curse, land and increase, fathering and getting wives, altars and calling in Yahweh’s name</w:t>
      </w:r>
      <w:r w:rsidR="00954FAF">
        <w:rPr>
          <w:lang w:bidi="he-IL"/>
        </w:rPr>
        <w:t>, gaining a name</w:t>
      </w:r>
      <w:r w:rsidR="00842B6C">
        <w:rPr>
          <w:lang w:bidi="he-IL"/>
        </w:rPr>
        <w:t>.</w:t>
      </w:r>
      <w:r w:rsidR="00954FAF">
        <w:rPr>
          <w:rStyle w:val="FootnoteReference"/>
          <w:lang w:bidi="he-IL"/>
        </w:rPr>
        <w:footnoteReference w:id="31"/>
      </w:r>
      <w:r w:rsidR="00842B6C">
        <w:rPr>
          <w:lang w:bidi="he-IL"/>
        </w:rPr>
        <w:t xml:space="preserve"> It is the same God with the same purpose who is at wor</w:t>
      </w:r>
      <w:r>
        <w:rPr>
          <w:lang w:bidi="he-IL"/>
        </w:rPr>
        <w:t>k here. In addition, the unit</w:t>
      </w:r>
      <w:r w:rsidR="0007747A">
        <w:rPr>
          <w:lang w:bidi="he-IL"/>
        </w:rPr>
        <w:t xml:space="preserve"> </w:t>
      </w:r>
      <w:r>
        <w:rPr>
          <w:lang w:bidi="he-IL"/>
        </w:rPr>
        <w:t>introduces</w:t>
      </w:r>
      <w:r w:rsidR="00EA487D">
        <w:rPr>
          <w:lang w:bidi="he-IL"/>
        </w:rPr>
        <w:t xml:space="preserve"> people and places that will be significant as the chapters unfold—Abraham and the childless Sarah, Nahor </w:t>
      </w:r>
      <w:r w:rsidR="00752713">
        <w:rPr>
          <w:lang w:bidi="he-IL"/>
        </w:rPr>
        <w:t>and Milkah back in the homeland near Harran, Lot for whom Abraham has responsibility, the promise about becoming a big nation and having a big name and becoming a blessing, Yahweh’s protection from anyone who tries to cut them down, the promise to give Abraham’s offspring the country notwithstanding the Canaanites’ pres</w:t>
      </w:r>
      <w:r>
        <w:rPr>
          <w:lang w:bidi="he-IL"/>
        </w:rPr>
        <w:t>ence the</w:t>
      </w:r>
      <w:r w:rsidR="004A1D37">
        <w:rPr>
          <w:lang w:bidi="he-IL"/>
        </w:rPr>
        <w:t>re, the places Shechem and Beth E</w:t>
      </w:r>
      <w:r>
        <w:rPr>
          <w:lang w:bidi="he-IL"/>
        </w:rPr>
        <w:t>l</w:t>
      </w:r>
      <w:r w:rsidR="00752713">
        <w:rPr>
          <w:lang w:bidi="he-IL"/>
        </w:rPr>
        <w:t>.</w:t>
      </w:r>
      <w:r w:rsidR="00070449">
        <w:rPr>
          <w:lang w:bidi="he-IL"/>
        </w:rPr>
        <w:t xml:space="preserve"> In other words, though we can analyze the section in terms of the way it answers the question </w:t>
      </w:r>
      <w:r w:rsidR="003D56BA">
        <w:rPr>
          <w:lang w:val="en-GB" w:bidi="he-IL"/>
        </w:rPr>
        <w:t>“</w:t>
      </w:r>
      <w:r w:rsidR="00070449" w:rsidRPr="00070449">
        <w:rPr>
          <w:lang w:val="en-GB" w:bidi="he-IL"/>
        </w:rPr>
        <w:t>How did Abraham and Sarah come to be in Canaan?</w:t>
      </w:r>
      <w:r w:rsidR="003D56BA">
        <w:rPr>
          <w:lang w:val="en-GB" w:bidi="he-IL"/>
        </w:rPr>
        <w:t>”</w:t>
      </w:r>
      <w:r w:rsidR="00070449">
        <w:rPr>
          <w:lang w:val="en-GB" w:bidi="he-IL"/>
        </w:rPr>
        <w:t xml:space="preserve"> in some re</w:t>
      </w:r>
      <w:r>
        <w:rPr>
          <w:lang w:val="en-GB" w:bidi="he-IL"/>
        </w:rPr>
        <w:t>spects the questions the unit</w:t>
      </w:r>
      <w:r w:rsidR="00070449">
        <w:rPr>
          <w:lang w:val="en-GB" w:bidi="he-IL"/>
        </w:rPr>
        <w:t xml:space="preserve"> answers are not withi</w:t>
      </w:r>
      <w:r>
        <w:rPr>
          <w:lang w:val="en-GB" w:bidi="he-IL"/>
        </w:rPr>
        <w:t>n the section itself but beyond it. The unit</w:t>
      </w:r>
      <w:r w:rsidR="00070449">
        <w:rPr>
          <w:lang w:val="en-GB" w:bidi="he-IL"/>
        </w:rPr>
        <w:t xml:space="preserve"> is indeed an introduction to Part Two of Genesis as a whole.</w:t>
      </w:r>
      <w:r w:rsidR="00DD5092">
        <w:rPr>
          <w:lang w:val="en-GB" w:bidi="he-IL"/>
        </w:rPr>
        <w:t xml:space="preserve"> The unit also illustrates how </w:t>
      </w:r>
      <w:r w:rsidR="00DD5092">
        <w:rPr>
          <w:lang w:bidi="he-IL"/>
        </w:rPr>
        <w:t>d</w:t>
      </w:r>
      <w:r w:rsidR="00F8413F">
        <w:rPr>
          <w:lang w:bidi="he-IL"/>
        </w:rPr>
        <w:t>ifferent parties</w:t>
      </w:r>
      <w:r w:rsidR="00F8413F" w:rsidRPr="00146A7E">
        <w:rPr>
          <w:lang w:bidi="he-IL"/>
        </w:rPr>
        <w:t xml:space="preserve"> take initiatives from time to time</w:t>
      </w:r>
      <w:r w:rsidR="00DD5092">
        <w:rPr>
          <w:lang w:bidi="he-IL"/>
        </w:rPr>
        <w:t xml:space="preserve"> in this story</w:t>
      </w:r>
      <w:r w:rsidR="00F8413F" w:rsidRPr="00146A7E">
        <w:rPr>
          <w:lang w:bidi="he-IL"/>
        </w:rPr>
        <w:t>. To oversimplify slightly:</w:t>
      </w:r>
    </w:p>
    <w:p w14:paraId="405F48C8" w14:textId="77777777" w:rsidR="00F8413F" w:rsidRPr="00146A7E" w:rsidRDefault="00F8413F" w:rsidP="00F8413F">
      <w:pPr>
        <w:rPr>
          <w:lang w:bidi="he-IL"/>
        </w:rPr>
      </w:pPr>
    </w:p>
    <w:p w14:paraId="227809B5" w14:textId="77777777" w:rsidR="00F8413F" w:rsidRPr="00146A7E" w:rsidRDefault="00F8413F" w:rsidP="00F8413F">
      <w:pPr>
        <w:rPr>
          <w:lang w:bidi="he-IL"/>
        </w:rPr>
      </w:pPr>
      <w:r w:rsidRPr="00146A7E">
        <w:rPr>
          <w:lang w:bidi="he-IL"/>
        </w:rPr>
        <w:t>11:27-32</w:t>
      </w:r>
      <w:r w:rsidRPr="00146A7E">
        <w:rPr>
          <w:lang w:bidi="he-IL"/>
        </w:rPr>
        <w:tab/>
        <w:t>Terah takes an initiative</w:t>
      </w:r>
    </w:p>
    <w:p w14:paraId="7219318D" w14:textId="77777777" w:rsidR="00F8413F" w:rsidRPr="00146A7E" w:rsidRDefault="00F8413F" w:rsidP="00F8413F">
      <w:pPr>
        <w:rPr>
          <w:lang w:bidi="he-IL"/>
        </w:rPr>
      </w:pPr>
      <w:r w:rsidRPr="00146A7E">
        <w:rPr>
          <w:lang w:bidi="he-IL"/>
        </w:rPr>
        <w:t>12:1-8</w:t>
      </w:r>
      <w:r w:rsidRPr="00146A7E">
        <w:rPr>
          <w:lang w:bidi="he-IL"/>
        </w:rPr>
        <w:tab/>
      </w:r>
      <w:r w:rsidRPr="00146A7E">
        <w:rPr>
          <w:lang w:bidi="he-IL"/>
        </w:rPr>
        <w:tab/>
        <w:t>Yahweh takes an initiative</w:t>
      </w:r>
    </w:p>
    <w:p w14:paraId="4B8EF565" w14:textId="77777777" w:rsidR="00F8413F" w:rsidRPr="00146A7E" w:rsidRDefault="00F8413F" w:rsidP="00F8413F">
      <w:pPr>
        <w:rPr>
          <w:lang w:bidi="he-IL"/>
        </w:rPr>
      </w:pPr>
      <w:r w:rsidRPr="00146A7E">
        <w:rPr>
          <w:lang w:bidi="he-IL"/>
        </w:rPr>
        <w:t>12:9—14:24</w:t>
      </w:r>
      <w:r w:rsidRPr="00146A7E">
        <w:rPr>
          <w:lang w:bidi="he-IL"/>
        </w:rPr>
        <w:tab/>
        <w:t>Abraham takes initiatives</w:t>
      </w:r>
    </w:p>
    <w:p w14:paraId="4668F13E" w14:textId="77777777" w:rsidR="00F8413F" w:rsidRPr="00146A7E" w:rsidRDefault="00F8413F" w:rsidP="00F8413F">
      <w:pPr>
        <w:rPr>
          <w:lang w:bidi="he-IL"/>
        </w:rPr>
      </w:pPr>
      <w:r w:rsidRPr="00146A7E">
        <w:rPr>
          <w:lang w:bidi="he-IL"/>
        </w:rPr>
        <w:t>15:1-21</w:t>
      </w:r>
      <w:r w:rsidRPr="00146A7E">
        <w:rPr>
          <w:lang w:bidi="he-IL"/>
        </w:rPr>
        <w:tab/>
      </w:r>
      <w:r w:rsidRPr="00146A7E">
        <w:rPr>
          <w:lang w:bidi="he-IL"/>
        </w:rPr>
        <w:tab/>
        <w:t>Yahweh takes an initiative</w:t>
      </w:r>
    </w:p>
    <w:p w14:paraId="42FBB14A" w14:textId="77777777" w:rsidR="00F8413F" w:rsidRPr="00146A7E" w:rsidRDefault="00F8413F" w:rsidP="00F8413F">
      <w:pPr>
        <w:rPr>
          <w:lang w:bidi="he-IL"/>
        </w:rPr>
      </w:pPr>
      <w:r w:rsidRPr="00146A7E">
        <w:rPr>
          <w:lang w:bidi="he-IL"/>
        </w:rPr>
        <w:t>16:1-16</w:t>
      </w:r>
      <w:r w:rsidRPr="00146A7E">
        <w:rPr>
          <w:lang w:bidi="he-IL"/>
        </w:rPr>
        <w:tab/>
      </w:r>
      <w:r w:rsidRPr="00146A7E">
        <w:rPr>
          <w:lang w:bidi="he-IL"/>
        </w:rPr>
        <w:tab/>
        <w:t>Sarah takes an initiative</w:t>
      </w:r>
    </w:p>
    <w:p w14:paraId="4CCD2E96" w14:textId="77777777" w:rsidR="00F8413F" w:rsidRPr="00146A7E" w:rsidRDefault="00F8413F" w:rsidP="00F8413F">
      <w:pPr>
        <w:rPr>
          <w:lang w:bidi="he-IL"/>
        </w:rPr>
      </w:pPr>
      <w:r w:rsidRPr="00146A7E">
        <w:rPr>
          <w:lang w:bidi="he-IL"/>
        </w:rPr>
        <w:t>17:1—19:38</w:t>
      </w:r>
      <w:r w:rsidRPr="00146A7E">
        <w:rPr>
          <w:lang w:bidi="he-IL"/>
        </w:rPr>
        <w:tab/>
        <w:t>Yahweh takes initiatives</w:t>
      </w:r>
    </w:p>
    <w:p w14:paraId="76810E00" w14:textId="77777777" w:rsidR="00F8413F" w:rsidRPr="00146A7E" w:rsidRDefault="00F8413F" w:rsidP="00F8413F">
      <w:pPr>
        <w:rPr>
          <w:lang w:bidi="he-IL"/>
        </w:rPr>
      </w:pPr>
      <w:r w:rsidRPr="00146A7E">
        <w:rPr>
          <w:lang w:bidi="he-IL"/>
        </w:rPr>
        <w:t>20:1-18</w:t>
      </w:r>
      <w:r w:rsidRPr="00146A7E">
        <w:rPr>
          <w:lang w:bidi="he-IL"/>
        </w:rPr>
        <w:tab/>
      </w:r>
      <w:r w:rsidRPr="00146A7E">
        <w:rPr>
          <w:lang w:bidi="he-IL"/>
        </w:rPr>
        <w:tab/>
        <w:t>Abraham takes an initiative</w:t>
      </w:r>
    </w:p>
    <w:p w14:paraId="50030A37" w14:textId="77777777" w:rsidR="00F8413F" w:rsidRPr="00146A7E" w:rsidRDefault="00F8413F" w:rsidP="00F8413F">
      <w:pPr>
        <w:rPr>
          <w:lang w:bidi="he-IL"/>
        </w:rPr>
      </w:pPr>
      <w:r w:rsidRPr="00146A7E">
        <w:rPr>
          <w:lang w:bidi="he-IL"/>
        </w:rPr>
        <w:t>21:1—22:19</w:t>
      </w:r>
      <w:r w:rsidRPr="00146A7E">
        <w:rPr>
          <w:lang w:bidi="he-IL"/>
        </w:rPr>
        <w:tab/>
        <w:t>Yahweh takes initiatives</w:t>
      </w:r>
    </w:p>
    <w:p w14:paraId="1FABAF55" w14:textId="77777777" w:rsidR="00F8413F" w:rsidRPr="00146A7E" w:rsidRDefault="00F8413F" w:rsidP="00F8413F">
      <w:pPr>
        <w:rPr>
          <w:lang w:bidi="he-IL"/>
        </w:rPr>
      </w:pPr>
      <w:r>
        <w:rPr>
          <w:lang w:bidi="he-IL"/>
        </w:rPr>
        <w:t>22:24—25:11</w:t>
      </w:r>
      <w:r w:rsidRPr="00146A7E">
        <w:rPr>
          <w:lang w:bidi="he-IL"/>
        </w:rPr>
        <w:tab/>
        <w:t>Abraham takes initiatives</w:t>
      </w:r>
    </w:p>
    <w:p w14:paraId="18721112" w14:textId="77777777" w:rsidR="00F8413F" w:rsidRDefault="00F8413F" w:rsidP="00F8413F">
      <w:pPr>
        <w:rPr>
          <w:lang w:bidi="he-IL"/>
        </w:rPr>
      </w:pPr>
    </w:p>
    <w:p w14:paraId="6D293D69" w14:textId="0834A08F" w:rsidR="00DA695A" w:rsidRPr="00DA695A" w:rsidRDefault="004C53C9" w:rsidP="00DA695A">
      <w:pPr>
        <w:rPr>
          <w:rFonts w:ascii="Calibri" w:eastAsia="Times New Roman" w:hAnsi="Calibri" w:cs="Times New Roman"/>
          <w:szCs w:val="20"/>
          <w:lang w:val="en-GB" w:bidi="he-IL"/>
        </w:rPr>
      </w:pPr>
      <w:r>
        <w:rPr>
          <w:rFonts w:ascii="Calibri" w:eastAsia="Times New Roman" w:hAnsi="Calibri" w:cs="Times New Roman"/>
          <w:b/>
          <w:szCs w:val="20"/>
          <w:lang w:val="en-GB" w:bidi="he-IL"/>
        </w:rPr>
        <w:t>11:27-30</w:t>
      </w:r>
      <w:r w:rsidR="00DA695A" w:rsidRPr="00DA695A">
        <w:rPr>
          <w:rFonts w:ascii="Calibri" w:eastAsia="Times New Roman" w:hAnsi="Calibri" w:cs="Times New Roman"/>
          <w:szCs w:val="20"/>
          <w:lang w:val="en-GB" w:bidi="he-IL"/>
        </w:rPr>
        <w:t xml:space="preserve">. </w:t>
      </w:r>
      <w:r w:rsidR="00DD5092">
        <w:rPr>
          <w:rFonts w:ascii="Calibri" w:eastAsia="Times New Roman" w:hAnsi="Calibri" w:cs="Times New Roman"/>
          <w:szCs w:val="20"/>
          <w:lang w:val="en-GB" w:bidi="he-IL"/>
        </w:rPr>
        <w:t>After the</w:t>
      </w:r>
      <w:r w:rsidR="00CB03DB">
        <w:rPr>
          <w:rFonts w:ascii="Calibri" w:eastAsia="Times New Roman" w:hAnsi="Calibri" w:cs="Times New Roman"/>
          <w:szCs w:val="20"/>
          <w:lang w:val="en-GB" w:bidi="he-IL"/>
        </w:rPr>
        <w:t xml:space="preserve"> initial reprise </w:t>
      </w:r>
      <w:r w:rsidR="00D02F5D">
        <w:rPr>
          <w:rFonts w:ascii="Calibri" w:eastAsia="Times New Roman" w:hAnsi="Calibri" w:cs="Times New Roman"/>
          <w:szCs w:val="20"/>
          <w:lang w:val="en-GB" w:bidi="he-IL"/>
        </w:rPr>
        <w:t xml:space="preserve">in v. 27 </w:t>
      </w:r>
      <w:r w:rsidR="00CB03DB">
        <w:rPr>
          <w:rFonts w:ascii="Calibri" w:eastAsia="Times New Roman" w:hAnsi="Calibri" w:cs="Times New Roman"/>
          <w:szCs w:val="20"/>
          <w:lang w:val="en-GB" w:bidi="he-IL"/>
        </w:rPr>
        <w:t>of material from t</w:t>
      </w:r>
      <w:r w:rsidR="00DA695A" w:rsidRPr="00DA695A">
        <w:rPr>
          <w:rFonts w:ascii="Calibri" w:eastAsia="Times New Roman" w:hAnsi="Calibri" w:cs="Times New Roman"/>
          <w:szCs w:val="20"/>
          <w:lang w:val="en-GB" w:bidi="he-IL"/>
        </w:rPr>
        <w:t>he enc</w:t>
      </w:r>
      <w:r w:rsidR="00CB03DB">
        <w:rPr>
          <w:rFonts w:ascii="Calibri" w:eastAsia="Times New Roman" w:hAnsi="Calibri" w:cs="Times New Roman"/>
          <w:szCs w:val="20"/>
          <w:lang w:val="en-GB" w:bidi="he-IL"/>
        </w:rPr>
        <w:t>ouraging genealogy in vv. 10-26</w:t>
      </w:r>
      <w:r>
        <w:rPr>
          <w:rFonts w:ascii="Calibri" w:eastAsia="Times New Roman" w:hAnsi="Calibri" w:cs="Times New Roman"/>
          <w:szCs w:val="20"/>
          <w:lang w:val="en-GB" w:bidi="he-IL"/>
        </w:rPr>
        <w:t xml:space="preserve"> </w:t>
      </w:r>
      <w:r w:rsidR="00DA695A" w:rsidRPr="00DA695A">
        <w:rPr>
          <w:rFonts w:ascii="Calibri" w:eastAsia="Times New Roman" w:hAnsi="Calibri" w:cs="Times New Roman"/>
          <w:szCs w:val="20"/>
          <w:lang w:val="en-GB" w:bidi="he-IL"/>
        </w:rPr>
        <w:t>with its la</w:t>
      </w:r>
      <w:r w:rsidR="00D02F5D">
        <w:rPr>
          <w:rFonts w:ascii="Calibri" w:eastAsia="Times New Roman" w:hAnsi="Calibri" w:cs="Times New Roman"/>
          <w:szCs w:val="20"/>
          <w:lang w:val="en-GB" w:bidi="he-IL"/>
        </w:rPr>
        <w:t>ck of reference to anyone dying</w:t>
      </w:r>
      <w:r w:rsidR="00CB03DB">
        <w:rPr>
          <w:rFonts w:ascii="Calibri" w:eastAsia="Times New Roman" w:hAnsi="Calibri" w:cs="Times New Roman"/>
          <w:szCs w:val="20"/>
          <w:lang w:val="en-GB" w:bidi="he-IL"/>
        </w:rPr>
        <w:t xml:space="preserve">, the account of Terah’s lines of descent </w:t>
      </w:r>
      <w:r w:rsidR="00DA695A" w:rsidRPr="00DA695A">
        <w:rPr>
          <w:rFonts w:ascii="Calibri" w:eastAsia="Times New Roman" w:hAnsi="Calibri" w:cs="Times New Roman"/>
          <w:szCs w:val="20"/>
          <w:lang w:val="en-GB" w:bidi="he-IL"/>
        </w:rPr>
        <w:t xml:space="preserve">gives way to </w:t>
      </w:r>
      <w:r w:rsidR="00C50848">
        <w:rPr>
          <w:rFonts w:ascii="Calibri" w:eastAsia="Times New Roman" w:hAnsi="Calibri" w:cs="Times New Roman"/>
          <w:szCs w:val="20"/>
          <w:lang w:val="en-GB" w:bidi="he-IL"/>
        </w:rPr>
        <w:t>something more mixed</w:t>
      </w:r>
      <w:r w:rsidR="00CB03DB">
        <w:rPr>
          <w:rFonts w:ascii="Calibri" w:eastAsia="Times New Roman" w:hAnsi="Calibri" w:cs="Times New Roman"/>
          <w:szCs w:val="20"/>
          <w:lang w:val="en-GB" w:bidi="he-IL"/>
        </w:rPr>
        <w:t xml:space="preserve">: </w:t>
      </w:r>
      <w:r w:rsidR="00CB03DB" w:rsidRPr="00CB03DB">
        <w:rPr>
          <w:rFonts w:ascii="Calibri" w:eastAsia="Times New Roman" w:hAnsi="Calibri" w:cs="Times New Roman"/>
          <w:szCs w:val="20"/>
          <w:lang w:val="en-GB" w:bidi="he-IL"/>
        </w:rPr>
        <w:t>one of Terah’s sons dies</w:t>
      </w:r>
      <w:r w:rsidR="00CB03DB">
        <w:rPr>
          <w:rFonts w:ascii="Calibri" w:eastAsia="Times New Roman" w:hAnsi="Calibri" w:cs="Times New Roman"/>
          <w:szCs w:val="20"/>
          <w:lang w:val="en-GB" w:bidi="he-IL"/>
        </w:rPr>
        <w:t xml:space="preserve"> (v. 28)</w:t>
      </w:r>
      <w:r w:rsidR="00C50848">
        <w:rPr>
          <w:rFonts w:ascii="Calibri" w:eastAsia="Times New Roman" w:hAnsi="Calibri" w:cs="Times New Roman"/>
          <w:szCs w:val="20"/>
          <w:lang w:val="en-GB" w:bidi="he-IL"/>
        </w:rPr>
        <w:t xml:space="preserve">. </w:t>
      </w:r>
      <w:r w:rsidR="00755A39" w:rsidRPr="00755A39">
        <w:rPr>
          <w:rFonts w:ascii="Calibri" w:eastAsia="Times New Roman" w:hAnsi="Calibri" w:cs="Times New Roman"/>
          <w:szCs w:val="20"/>
          <w:lang w:val="en-GB" w:bidi="he-IL"/>
        </w:rPr>
        <w:t xml:space="preserve">Parents are not supposed to have to bury their children, but in a traditional society they often </w:t>
      </w:r>
      <w:r w:rsidR="00405A49">
        <w:rPr>
          <w:rFonts w:ascii="Calibri" w:eastAsia="Times New Roman" w:hAnsi="Calibri" w:cs="Times New Roman"/>
          <w:szCs w:val="20"/>
          <w:lang w:val="en-GB" w:bidi="he-IL"/>
        </w:rPr>
        <w:t>have to, and while the family a</w:t>
      </w:r>
      <w:r w:rsidR="00D02F5D">
        <w:rPr>
          <w:rFonts w:ascii="Calibri" w:eastAsia="Times New Roman" w:hAnsi="Calibri" w:cs="Times New Roman"/>
          <w:szCs w:val="20"/>
          <w:lang w:val="en-GB" w:bidi="he-IL"/>
        </w:rPr>
        <w:t xml:space="preserve">re </w:t>
      </w:r>
      <w:r w:rsidR="00755A39" w:rsidRPr="00755A39">
        <w:rPr>
          <w:rFonts w:ascii="Calibri" w:eastAsia="Times New Roman" w:hAnsi="Calibri" w:cs="Times New Roman"/>
          <w:szCs w:val="20"/>
          <w:lang w:val="en-GB" w:bidi="he-IL"/>
        </w:rPr>
        <w:t xml:space="preserve">in Ur, Teraḥ has </w:t>
      </w:r>
      <w:r w:rsidR="00CB03DB">
        <w:rPr>
          <w:rFonts w:ascii="Calibri" w:eastAsia="Times New Roman" w:hAnsi="Calibri" w:cs="Times New Roman"/>
          <w:szCs w:val="20"/>
          <w:lang w:val="en-GB" w:bidi="he-IL"/>
        </w:rPr>
        <w:t xml:space="preserve">had </w:t>
      </w:r>
      <w:r w:rsidR="00755A39" w:rsidRPr="00755A39">
        <w:rPr>
          <w:rFonts w:ascii="Calibri" w:eastAsia="Times New Roman" w:hAnsi="Calibri" w:cs="Times New Roman"/>
          <w:szCs w:val="20"/>
          <w:lang w:val="en-GB" w:bidi="he-IL"/>
        </w:rPr>
        <w:t xml:space="preserve">this experience. </w:t>
      </w:r>
      <w:r w:rsidR="00D02F5D">
        <w:rPr>
          <w:rFonts w:ascii="Calibri" w:eastAsia="Times New Roman" w:hAnsi="Calibri" w:cs="Times New Roman"/>
          <w:szCs w:val="20"/>
          <w:lang w:val="en-GB" w:bidi="he-IL"/>
        </w:rPr>
        <w:t>It might</w:t>
      </w:r>
      <w:r w:rsidR="00405A49">
        <w:rPr>
          <w:rFonts w:ascii="Calibri" w:eastAsia="Times New Roman" w:hAnsi="Calibri" w:cs="Times New Roman"/>
          <w:szCs w:val="20"/>
          <w:lang w:val="en-GB" w:bidi="he-IL"/>
        </w:rPr>
        <w:t xml:space="preserve"> be tempting to attribute Haran’s death to his serving other gods,</w:t>
      </w:r>
      <w:r w:rsidR="00D02F5D">
        <w:rPr>
          <w:rStyle w:val="FootnoteReference"/>
          <w:rFonts w:ascii="Calibri" w:eastAsia="Times New Roman" w:hAnsi="Calibri" w:cs="Times New Roman"/>
          <w:szCs w:val="20"/>
          <w:lang w:val="en-GB" w:bidi="he-IL"/>
        </w:rPr>
        <w:footnoteReference w:id="32"/>
      </w:r>
      <w:r w:rsidR="00405A49">
        <w:rPr>
          <w:rFonts w:ascii="Calibri" w:eastAsia="Times New Roman" w:hAnsi="Calibri" w:cs="Times New Roman"/>
          <w:szCs w:val="20"/>
          <w:lang w:val="en-GB" w:bidi="he-IL"/>
        </w:rPr>
        <w:t xml:space="preserve"> but </w:t>
      </w:r>
      <w:r w:rsidR="00CB03DB">
        <w:rPr>
          <w:rFonts w:ascii="Calibri" w:eastAsia="Times New Roman" w:hAnsi="Calibri" w:cs="Times New Roman"/>
          <w:szCs w:val="20"/>
          <w:lang w:val="en-GB" w:bidi="he-IL"/>
        </w:rPr>
        <w:t>he was hardly the only one</w:t>
      </w:r>
      <w:r w:rsidR="00405A49">
        <w:rPr>
          <w:rFonts w:ascii="Calibri" w:eastAsia="Times New Roman" w:hAnsi="Calibri" w:cs="Times New Roman"/>
          <w:szCs w:val="20"/>
          <w:lang w:val="en-GB" w:bidi="he-IL"/>
        </w:rPr>
        <w:t xml:space="preserve"> (</w:t>
      </w:r>
      <w:r w:rsidR="00CB03DB">
        <w:rPr>
          <w:rFonts w:ascii="Calibri" w:eastAsia="Times New Roman" w:hAnsi="Calibri" w:cs="Times New Roman"/>
          <w:szCs w:val="20"/>
          <w:lang w:val="en-GB" w:bidi="he-IL"/>
        </w:rPr>
        <w:t xml:space="preserve">see </w:t>
      </w:r>
      <w:r w:rsidR="00405A49">
        <w:rPr>
          <w:rFonts w:ascii="Calibri" w:eastAsia="Times New Roman" w:hAnsi="Calibri" w:cs="Times New Roman"/>
          <w:szCs w:val="20"/>
          <w:lang w:val="en-GB" w:bidi="he-IL"/>
        </w:rPr>
        <w:t>Josh 24:2), so more like</w:t>
      </w:r>
      <w:r w:rsidR="00D02F5D">
        <w:rPr>
          <w:rFonts w:ascii="Calibri" w:eastAsia="Times New Roman" w:hAnsi="Calibri" w:cs="Times New Roman"/>
          <w:szCs w:val="20"/>
          <w:lang w:val="en-GB" w:bidi="he-IL"/>
        </w:rPr>
        <w:t xml:space="preserve">ly Genesis takes his death </w:t>
      </w:r>
      <w:r w:rsidR="00405A49">
        <w:rPr>
          <w:rFonts w:ascii="Calibri" w:eastAsia="Times New Roman" w:hAnsi="Calibri" w:cs="Times New Roman"/>
          <w:szCs w:val="20"/>
          <w:lang w:val="en-GB" w:bidi="he-IL"/>
        </w:rPr>
        <w:t>as just one of those things</w:t>
      </w:r>
      <w:r w:rsidR="00755A39" w:rsidRPr="00755A39">
        <w:rPr>
          <w:rFonts w:ascii="Calibri" w:eastAsia="Times New Roman" w:hAnsi="Calibri" w:cs="Times New Roman"/>
          <w:szCs w:val="20"/>
          <w:lang w:val="en-GB" w:bidi="he-IL"/>
        </w:rPr>
        <w:t>.</w:t>
      </w:r>
      <w:r w:rsidR="00405A49">
        <w:rPr>
          <w:rFonts w:ascii="Calibri" w:eastAsia="Times New Roman" w:hAnsi="Calibri" w:cs="Times New Roman"/>
          <w:szCs w:val="20"/>
          <w:lang w:val="en-GB" w:bidi="he-IL"/>
        </w:rPr>
        <w:t xml:space="preserve"> </w:t>
      </w:r>
      <w:r w:rsidR="00DA695A" w:rsidRPr="00DA695A">
        <w:rPr>
          <w:rFonts w:ascii="Calibri" w:eastAsia="Times New Roman" w:hAnsi="Calibri" w:cs="Times New Roman"/>
          <w:szCs w:val="20"/>
          <w:lang w:val="en-GB" w:bidi="he-IL"/>
        </w:rPr>
        <w:t>The geogra</w:t>
      </w:r>
      <w:r w:rsidR="00952B37">
        <w:rPr>
          <w:rFonts w:ascii="Calibri" w:eastAsia="Times New Roman" w:hAnsi="Calibri" w:cs="Times New Roman"/>
          <w:szCs w:val="20"/>
          <w:lang w:val="en-GB" w:bidi="he-IL"/>
        </w:rPr>
        <w:t xml:space="preserve">phical context is </w:t>
      </w:r>
      <w:r w:rsidR="003D56BA">
        <w:rPr>
          <w:rFonts w:ascii="Calibri" w:eastAsia="Times New Roman" w:hAnsi="Calibri" w:cs="Times New Roman"/>
          <w:szCs w:val="20"/>
          <w:lang w:val="en-GB" w:bidi="he-IL"/>
        </w:rPr>
        <w:t>“</w:t>
      </w:r>
      <w:r w:rsidR="00952B37">
        <w:rPr>
          <w:rFonts w:ascii="Calibri" w:eastAsia="Times New Roman" w:hAnsi="Calibri" w:cs="Times New Roman"/>
          <w:szCs w:val="20"/>
          <w:lang w:val="en-GB" w:bidi="he-IL"/>
        </w:rPr>
        <w:t>Ur of the Kas</w:t>
      </w:r>
      <w:r>
        <w:rPr>
          <w:rFonts w:ascii="Calibri" w:eastAsia="Times New Roman" w:hAnsi="Calibri" w:cs="Times New Roman"/>
          <w:szCs w:val="20"/>
          <w:lang w:val="en-GB" w:bidi="he-IL"/>
        </w:rPr>
        <w:t>dites</w:t>
      </w:r>
      <w:r w:rsidR="003D56BA">
        <w:rPr>
          <w:rFonts w:ascii="Calibri" w:eastAsia="Times New Roman" w:hAnsi="Calibri" w:cs="Times New Roman"/>
          <w:szCs w:val="20"/>
          <w:lang w:val="en-GB" w:bidi="he-IL"/>
        </w:rPr>
        <w:t>”</w:t>
      </w:r>
      <w:r>
        <w:rPr>
          <w:rFonts w:ascii="Calibri" w:eastAsia="Times New Roman" w:hAnsi="Calibri" w:cs="Times New Roman"/>
          <w:szCs w:val="20"/>
          <w:lang w:val="en-GB" w:bidi="he-IL"/>
        </w:rPr>
        <w:t xml:space="preserve"> </w:t>
      </w:r>
      <w:r w:rsidR="00CB03DB">
        <w:rPr>
          <w:rFonts w:ascii="Calibri" w:eastAsia="Times New Roman" w:hAnsi="Calibri" w:cs="Times New Roman"/>
          <w:szCs w:val="20"/>
          <w:lang w:val="en-GB" w:bidi="he-IL"/>
        </w:rPr>
        <w:t xml:space="preserve">(Chaldeans), presumably </w:t>
      </w:r>
      <w:r w:rsidR="0036473B">
        <w:rPr>
          <w:rFonts w:ascii="Calibri" w:eastAsia="Times New Roman" w:hAnsi="Calibri" w:cs="Times New Roman"/>
          <w:szCs w:val="20"/>
          <w:lang w:val="en-GB" w:bidi="he-IL"/>
        </w:rPr>
        <w:t xml:space="preserve">the Ur in Lower Mesopotamia, near the Persian Gulf, </w:t>
      </w:r>
      <w:r>
        <w:rPr>
          <w:rFonts w:ascii="Calibri" w:eastAsia="Times New Roman" w:hAnsi="Calibri" w:cs="Times New Roman"/>
          <w:szCs w:val="20"/>
          <w:lang w:val="en-GB" w:bidi="he-IL"/>
        </w:rPr>
        <w:t>one o</w:t>
      </w:r>
      <w:r w:rsidR="00405A49">
        <w:rPr>
          <w:rFonts w:ascii="Calibri" w:eastAsia="Times New Roman" w:hAnsi="Calibri" w:cs="Times New Roman"/>
          <w:szCs w:val="20"/>
          <w:lang w:val="en-GB" w:bidi="he-IL"/>
        </w:rPr>
        <w:t>f the great cities in Babylonia;</w:t>
      </w:r>
      <w:r>
        <w:rPr>
          <w:rFonts w:ascii="Calibri" w:eastAsia="Times New Roman" w:hAnsi="Calibri" w:cs="Times New Roman"/>
          <w:szCs w:val="20"/>
          <w:lang w:val="en-GB" w:bidi="he-IL"/>
        </w:rPr>
        <w:t xml:space="preserve"> </w:t>
      </w:r>
      <w:r w:rsidR="00301BFA">
        <w:rPr>
          <w:rFonts w:ascii="Calibri" w:eastAsia="Times New Roman" w:hAnsi="Calibri" w:cs="Times New Roman"/>
          <w:szCs w:val="20"/>
          <w:lang w:val="en-GB" w:bidi="he-IL"/>
        </w:rPr>
        <w:t xml:space="preserve">some </w:t>
      </w:r>
      <w:r w:rsidR="00D02F5D">
        <w:rPr>
          <w:rFonts w:ascii="Calibri" w:eastAsia="Times New Roman" w:hAnsi="Calibri" w:cs="Times New Roman"/>
          <w:szCs w:val="20"/>
          <w:lang w:val="en-GB" w:bidi="he-IL"/>
        </w:rPr>
        <w:t xml:space="preserve">of these cities </w:t>
      </w:r>
      <w:r w:rsidR="00FF06D6">
        <w:rPr>
          <w:rFonts w:ascii="Calibri" w:eastAsia="Times New Roman" w:hAnsi="Calibri" w:cs="Times New Roman"/>
          <w:szCs w:val="20"/>
          <w:lang w:val="en-GB" w:bidi="he-IL"/>
        </w:rPr>
        <w:t xml:space="preserve">were listed in </w:t>
      </w:r>
      <w:r w:rsidR="00DA695A" w:rsidRPr="00DA695A">
        <w:rPr>
          <w:rFonts w:ascii="Calibri" w:eastAsia="Times New Roman" w:hAnsi="Calibri" w:cs="Times New Roman"/>
          <w:szCs w:val="20"/>
          <w:lang w:val="en-GB" w:bidi="he-IL"/>
        </w:rPr>
        <w:t xml:space="preserve">10:10. </w:t>
      </w:r>
      <w:r w:rsidR="00405A49">
        <w:rPr>
          <w:rFonts w:ascii="Calibri" w:eastAsia="Times New Roman" w:hAnsi="Calibri" w:cs="Times New Roman"/>
          <w:szCs w:val="20"/>
          <w:lang w:val="en-GB" w:bidi="he-IL"/>
        </w:rPr>
        <w:t>But there was</w:t>
      </w:r>
      <w:r w:rsidR="0036473B">
        <w:rPr>
          <w:rFonts w:ascii="Calibri" w:eastAsia="Times New Roman" w:hAnsi="Calibri" w:cs="Times New Roman"/>
          <w:szCs w:val="20"/>
          <w:lang w:val="en-GB" w:bidi="he-IL"/>
        </w:rPr>
        <w:t xml:space="preserve"> also more than one city called </w:t>
      </w:r>
      <w:r w:rsidR="00405A49">
        <w:rPr>
          <w:rFonts w:ascii="Calibri" w:eastAsia="Times New Roman" w:hAnsi="Calibri" w:cs="Times New Roman"/>
          <w:szCs w:val="20"/>
          <w:lang w:val="en-GB" w:bidi="he-IL"/>
        </w:rPr>
        <w:t xml:space="preserve">something like </w:t>
      </w:r>
      <w:r w:rsidR="0036473B">
        <w:rPr>
          <w:rFonts w:ascii="Calibri" w:eastAsia="Times New Roman" w:hAnsi="Calibri" w:cs="Times New Roman"/>
          <w:szCs w:val="20"/>
          <w:lang w:val="en-GB" w:bidi="he-IL"/>
        </w:rPr>
        <w:t xml:space="preserve">Ur in Upper Mesopotamia, nearer Harran, and </w:t>
      </w:r>
      <w:r w:rsidR="0036473B">
        <w:rPr>
          <w:rFonts w:ascii="Calibri" w:eastAsia="Times New Roman" w:hAnsi="Calibri" w:cs="Times New Roman"/>
          <w:szCs w:val="20"/>
          <w:lang w:val="en-GB" w:bidi="he-IL"/>
        </w:rPr>
        <w:lastRenderedPageBreak/>
        <w:t>such a reference might make more sense.</w:t>
      </w:r>
      <w:r w:rsidR="00A215AE">
        <w:rPr>
          <w:rStyle w:val="FootnoteReference"/>
          <w:rFonts w:ascii="Calibri" w:eastAsia="Times New Roman" w:hAnsi="Calibri" w:cs="Times New Roman"/>
          <w:szCs w:val="20"/>
          <w:lang w:val="en-GB" w:bidi="he-IL"/>
        </w:rPr>
        <w:footnoteReference w:id="33"/>
      </w:r>
      <w:r w:rsidR="0036473B">
        <w:rPr>
          <w:rFonts w:ascii="Calibri" w:eastAsia="Times New Roman" w:hAnsi="Calibri" w:cs="Times New Roman"/>
          <w:szCs w:val="20"/>
          <w:lang w:val="en-GB" w:bidi="he-IL"/>
        </w:rPr>
        <w:t xml:space="preserve"> </w:t>
      </w:r>
      <w:r w:rsidR="00CB2581">
        <w:rPr>
          <w:rFonts w:ascii="Calibri" w:eastAsia="Times New Roman" w:hAnsi="Calibri" w:cs="Times New Roman"/>
          <w:szCs w:val="20"/>
          <w:lang w:val="en-GB" w:bidi="he-IL"/>
        </w:rPr>
        <w:t>While t</w:t>
      </w:r>
      <w:r w:rsidR="00DA695A" w:rsidRPr="00DA695A">
        <w:rPr>
          <w:rFonts w:ascii="Calibri" w:eastAsia="Times New Roman" w:hAnsi="Calibri" w:cs="Times New Roman"/>
          <w:szCs w:val="20"/>
          <w:lang w:val="en-GB" w:bidi="he-IL"/>
        </w:rPr>
        <w:t xml:space="preserve">he </w:t>
      </w:r>
      <w:r w:rsidR="002708F1">
        <w:rPr>
          <w:rFonts w:ascii="Calibri" w:eastAsia="Times New Roman" w:hAnsi="Calibri" w:cs="Times New Roman"/>
          <w:szCs w:val="20"/>
          <w:lang w:val="en-GB" w:bidi="he-IL"/>
        </w:rPr>
        <w:t>Chaldeans</w:t>
      </w:r>
      <w:r w:rsidR="00CB2581">
        <w:rPr>
          <w:rFonts w:ascii="Calibri" w:eastAsia="Times New Roman" w:hAnsi="Calibri" w:cs="Times New Roman"/>
          <w:szCs w:val="20"/>
          <w:lang w:val="en-GB" w:bidi="he-IL"/>
        </w:rPr>
        <w:t xml:space="preserve"> were not in Mesopotamia</w:t>
      </w:r>
      <w:r w:rsidR="00DA695A" w:rsidRPr="00DA695A">
        <w:rPr>
          <w:rFonts w:ascii="Calibri" w:eastAsia="Times New Roman" w:hAnsi="Calibri" w:cs="Times New Roman"/>
          <w:szCs w:val="20"/>
          <w:lang w:val="en-GB" w:bidi="he-IL"/>
        </w:rPr>
        <w:t xml:space="preserve"> until some centurie</w:t>
      </w:r>
      <w:r w:rsidR="00CB2581">
        <w:rPr>
          <w:rFonts w:ascii="Calibri" w:eastAsia="Times New Roman" w:hAnsi="Calibri" w:cs="Times New Roman"/>
          <w:szCs w:val="20"/>
          <w:lang w:val="en-GB" w:bidi="he-IL"/>
        </w:rPr>
        <w:t xml:space="preserve">s after Abraham’s day, and </w:t>
      </w:r>
      <w:r w:rsidR="00DA695A" w:rsidRPr="00DA695A">
        <w:rPr>
          <w:rFonts w:ascii="Calibri" w:eastAsia="Times New Roman" w:hAnsi="Calibri" w:cs="Times New Roman"/>
          <w:szCs w:val="20"/>
          <w:lang w:val="en-GB" w:bidi="he-IL"/>
        </w:rPr>
        <w:t>were not the rulers of Ur until about the time Babylon became the great imperial power (hence the re</w:t>
      </w:r>
      <w:r w:rsidR="00CB2581">
        <w:rPr>
          <w:rFonts w:ascii="Calibri" w:eastAsia="Times New Roman" w:hAnsi="Calibri" w:cs="Times New Roman"/>
          <w:szCs w:val="20"/>
          <w:lang w:val="en-GB" w:bidi="he-IL"/>
        </w:rPr>
        <w:t xml:space="preserve">ferences in 2 Kings 24—25), </w:t>
      </w:r>
      <w:r w:rsidR="00DA695A" w:rsidRPr="00DA695A">
        <w:rPr>
          <w:rFonts w:ascii="Calibri" w:eastAsia="Times New Roman" w:hAnsi="Calibri" w:cs="Times New Roman"/>
          <w:szCs w:val="20"/>
          <w:lang w:val="en-GB" w:bidi="he-IL"/>
        </w:rPr>
        <w:t xml:space="preserve">they would have been </w:t>
      </w:r>
      <w:r w:rsidR="00334410">
        <w:rPr>
          <w:rFonts w:ascii="Calibri" w:eastAsia="Times New Roman" w:hAnsi="Calibri" w:cs="Times New Roman"/>
          <w:szCs w:val="20"/>
          <w:lang w:val="en-GB" w:bidi="he-IL"/>
        </w:rPr>
        <w:t>there in the time of people listening to the story</w:t>
      </w:r>
      <w:r w:rsidR="00CB03DB">
        <w:rPr>
          <w:rFonts w:ascii="Calibri" w:eastAsia="Times New Roman" w:hAnsi="Calibri" w:cs="Times New Roman"/>
          <w:szCs w:val="20"/>
          <w:lang w:val="en-GB" w:bidi="he-IL"/>
        </w:rPr>
        <w:t xml:space="preserve"> in that later time</w:t>
      </w:r>
      <w:r w:rsidR="00D02F5D">
        <w:rPr>
          <w:rFonts w:ascii="Calibri" w:eastAsia="Times New Roman" w:hAnsi="Calibri" w:cs="Times New Roman"/>
          <w:szCs w:val="20"/>
          <w:lang w:val="en-GB" w:bidi="he-IL"/>
        </w:rPr>
        <w:t>, and</w:t>
      </w:r>
      <w:r w:rsidR="00DA695A" w:rsidRPr="00DA695A">
        <w:rPr>
          <w:rFonts w:ascii="Calibri" w:eastAsia="Times New Roman" w:hAnsi="Calibri" w:cs="Times New Roman"/>
          <w:szCs w:val="20"/>
          <w:lang w:val="en-GB" w:bidi="he-IL"/>
        </w:rPr>
        <w:t xml:space="preserve"> the term identifies the city for them.</w:t>
      </w:r>
      <w:r w:rsidR="00727890">
        <w:rPr>
          <w:rFonts w:ascii="Calibri" w:eastAsia="Times New Roman" w:hAnsi="Calibri" w:cs="Times New Roman"/>
          <w:szCs w:val="20"/>
          <w:lang w:val="en-GB" w:bidi="he-IL"/>
        </w:rPr>
        <w:t xml:space="preserve"> </w:t>
      </w:r>
    </w:p>
    <w:p w14:paraId="6225DAB5" w14:textId="524A551A" w:rsidR="00755A39" w:rsidRPr="00755A39" w:rsidRDefault="00036C6A" w:rsidP="006D64D4">
      <w:pPr>
        <w:tabs>
          <w:tab w:val="left" w:pos="5670"/>
        </w:tabs>
        <w:rPr>
          <w:rFonts w:ascii="Calibri" w:eastAsia="Times New Roman" w:hAnsi="Calibri" w:cs="Times New Roman"/>
          <w:szCs w:val="20"/>
          <w:lang w:val="en-GB" w:bidi="he-IL"/>
        </w:rPr>
      </w:pPr>
      <w:r>
        <w:rPr>
          <w:rFonts w:ascii="Calibri" w:eastAsia="Times New Roman" w:hAnsi="Calibri" w:cs="Times New Roman"/>
          <w:szCs w:val="20"/>
          <w:lang w:val="en-GB" w:bidi="he-IL"/>
        </w:rPr>
        <w:t>Before they left Ur,</w:t>
      </w:r>
      <w:r w:rsidR="00CB2581">
        <w:rPr>
          <w:rFonts w:ascii="Calibri" w:eastAsia="Times New Roman" w:hAnsi="Calibri" w:cs="Times New Roman"/>
          <w:szCs w:val="20"/>
          <w:lang w:val="en-GB" w:bidi="he-IL"/>
        </w:rPr>
        <w:t xml:space="preserve"> Teraḥ’s surviving</w:t>
      </w:r>
      <w:r w:rsidR="00DA695A" w:rsidRPr="00DA695A">
        <w:rPr>
          <w:rFonts w:ascii="Calibri" w:eastAsia="Times New Roman" w:hAnsi="Calibri" w:cs="Times New Roman"/>
          <w:szCs w:val="20"/>
          <w:lang w:val="en-GB" w:bidi="he-IL"/>
        </w:rPr>
        <w:t xml:space="preserve"> sons got married</w:t>
      </w:r>
      <w:r w:rsidR="00755A39">
        <w:rPr>
          <w:rFonts w:ascii="Calibri" w:eastAsia="Times New Roman" w:hAnsi="Calibri" w:cs="Times New Roman"/>
          <w:szCs w:val="20"/>
          <w:lang w:val="en-GB" w:bidi="he-IL"/>
        </w:rPr>
        <w:t xml:space="preserve"> (v. 29)</w:t>
      </w:r>
      <w:r w:rsidR="00DA695A" w:rsidRPr="00DA695A">
        <w:rPr>
          <w:rFonts w:ascii="Calibri" w:eastAsia="Times New Roman" w:hAnsi="Calibri" w:cs="Times New Roman"/>
          <w:szCs w:val="20"/>
          <w:lang w:val="en-GB" w:bidi="he-IL"/>
        </w:rPr>
        <w:t xml:space="preserve">. </w:t>
      </w:r>
      <w:r w:rsidR="00755A39" w:rsidRPr="00755A39">
        <w:rPr>
          <w:rFonts w:ascii="Calibri" w:eastAsia="Times New Roman" w:hAnsi="Calibri" w:cs="Times New Roman"/>
          <w:szCs w:val="20"/>
          <w:lang w:val="en-GB" w:bidi="he-IL"/>
        </w:rPr>
        <w:t>Sarah’s pa</w:t>
      </w:r>
      <w:r w:rsidR="00D02F5D">
        <w:rPr>
          <w:rFonts w:ascii="Calibri" w:eastAsia="Times New Roman" w:hAnsi="Calibri" w:cs="Times New Roman"/>
          <w:szCs w:val="20"/>
          <w:lang w:val="en-GB" w:bidi="he-IL"/>
        </w:rPr>
        <w:t>rents are not identified; the</w:t>
      </w:r>
      <w:r w:rsidR="00CB2581">
        <w:rPr>
          <w:rFonts w:ascii="Calibri" w:eastAsia="Times New Roman" w:hAnsi="Calibri" w:cs="Times New Roman"/>
          <w:szCs w:val="20"/>
          <w:lang w:val="en-GB" w:bidi="he-IL"/>
        </w:rPr>
        <w:t xml:space="preserve"> l</w:t>
      </w:r>
      <w:r w:rsidR="00D02F5D">
        <w:rPr>
          <w:rFonts w:ascii="Calibri" w:eastAsia="Times New Roman" w:hAnsi="Calibri" w:cs="Times New Roman"/>
          <w:szCs w:val="20"/>
          <w:lang w:val="en-GB" w:bidi="he-IL"/>
        </w:rPr>
        <w:t>ater effect will be to bring a</w:t>
      </w:r>
      <w:r w:rsidR="00CB2581">
        <w:rPr>
          <w:rFonts w:ascii="Calibri" w:eastAsia="Times New Roman" w:hAnsi="Calibri" w:cs="Times New Roman"/>
          <w:szCs w:val="20"/>
          <w:lang w:val="en-GB" w:bidi="he-IL"/>
        </w:rPr>
        <w:t xml:space="preserve"> surprise when Abraham calls Sarah</w:t>
      </w:r>
      <w:r w:rsidR="00755A39" w:rsidRPr="00755A39">
        <w:rPr>
          <w:rFonts w:ascii="Calibri" w:eastAsia="Times New Roman" w:hAnsi="Calibri" w:cs="Times New Roman"/>
          <w:szCs w:val="20"/>
          <w:lang w:val="en-GB" w:bidi="he-IL"/>
        </w:rPr>
        <w:t xml:space="preserve"> his sis</w:t>
      </w:r>
      <w:r w:rsidR="00CB2581">
        <w:rPr>
          <w:rFonts w:ascii="Calibri" w:eastAsia="Times New Roman" w:hAnsi="Calibri" w:cs="Times New Roman"/>
          <w:szCs w:val="20"/>
          <w:lang w:val="en-GB" w:bidi="he-IL"/>
        </w:rPr>
        <w:t>ter (12:13; 20:12)—if it is true. Nor does Genesis give us any more information</w:t>
      </w:r>
      <w:r w:rsidR="00C44839">
        <w:rPr>
          <w:rFonts w:ascii="Calibri" w:eastAsia="Times New Roman" w:hAnsi="Calibri" w:cs="Times New Roman"/>
          <w:szCs w:val="20"/>
          <w:lang w:val="en-GB" w:bidi="he-IL"/>
        </w:rPr>
        <w:t xml:space="preserve"> about I</w:t>
      </w:r>
      <w:r w:rsidR="00755A39" w:rsidRPr="00755A39">
        <w:rPr>
          <w:rFonts w:ascii="Calibri" w:eastAsia="Times New Roman" w:hAnsi="Calibri" w:cs="Times New Roman"/>
          <w:szCs w:val="20"/>
          <w:lang w:val="en-GB" w:bidi="he-IL"/>
        </w:rPr>
        <w:t xml:space="preserve">skah. Nor are we told of the </w:t>
      </w:r>
      <w:r w:rsidR="00CB2581">
        <w:rPr>
          <w:rFonts w:ascii="Calibri" w:eastAsia="Times New Roman" w:hAnsi="Calibri" w:cs="Times New Roman"/>
          <w:szCs w:val="20"/>
          <w:lang w:val="en-GB" w:bidi="he-IL"/>
        </w:rPr>
        <w:t>interesting meaning of Sarah’s</w:t>
      </w:r>
      <w:r w:rsidR="00755A39" w:rsidRPr="00755A39">
        <w:rPr>
          <w:rFonts w:ascii="Calibri" w:eastAsia="Times New Roman" w:hAnsi="Calibri" w:cs="Times New Roman"/>
          <w:szCs w:val="20"/>
          <w:lang w:val="en-GB" w:bidi="he-IL"/>
        </w:rPr>
        <w:t xml:space="preserve"> name (</w:t>
      </w:r>
      <w:r w:rsidR="003D56BA">
        <w:rPr>
          <w:rFonts w:ascii="Calibri" w:eastAsia="Times New Roman" w:hAnsi="Calibri" w:cs="Times New Roman"/>
          <w:szCs w:val="20"/>
          <w:lang w:val="en-GB" w:bidi="he-IL"/>
        </w:rPr>
        <w:t>“</w:t>
      </w:r>
      <w:r w:rsidR="00BE481F">
        <w:rPr>
          <w:rFonts w:ascii="Calibri" w:eastAsia="Times New Roman" w:hAnsi="Calibri" w:cs="Times New Roman"/>
          <w:szCs w:val="20"/>
          <w:lang w:val="en-GB" w:bidi="he-IL"/>
        </w:rPr>
        <w:t>queen/</w:t>
      </w:r>
      <w:r w:rsidR="00755A39" w:rsidRPr="00755A39">
        <w:rPr>
          <w:rFonts w:ascii="Calibri" w:eastAsia="Times New Roman" w:hAnsi="Calibri" w:cs="Times New Roman"/>
          <w:szCs w:val="20"/>
          <w:lang w:val="en-GB" w:bidi="he-IL"/>
        </w:rPr>
        <w:t>princess</w:t>
      </w:r>
      <w:r w:rsidR="003D56BA">
        <w:rPr>
          <w:rFonts w:ascii="Calibri" w:eastAsia="Times New Roman" w:hAnsi="Calibri" w:cs="Times New Roman"/>
          <w:szCs w:val="20"/>
          <w:lang w:val="en-GB" w:bidi="he-IL"/>
        </w:rPr>
        <w:t>”</w:t>
      </w:r>
      <w:r w:rsidR="00755A39" w:rsidRPr="00755A39">
        <w:rPr>
          <w:rFonts w:ascii="Calibri" w:eastAsia="Times New Roman" w:hAnsi="Calibri" w:cs="Times New Roman"/>
          <w:szCs w:val="20"/>
          <w:lang w:val="en-GB" w:bidi="he-IL"/>
        </w:rPr>
        <w:t>),</w:t>
      </w:r>
      <w:r w:rsidR="00E01E17">
        <w:rPr>
          <w:rStyle w:val="FootnoteReference"/>
          <w:rFonts w:ascii="Calibri" w:eastAsia="Times New Roman" w:hAnsi="Calibri" w:cs="Times New Roman"/>
          <w:szCs w:val="20"/>
          <w:lang w:val="en-GB" w:bidi="he-IL"/>
        </w:rPr>
        <w:footnoteReference w:id="34"/>
      </w:r>
      <w:r w:rsidR="00CB2581">
        <w:rPr>
          <w:rFonts w:ascii="Calibri" w:eastAsia="Times New Roman" w:hAnsi="Calibri" w:cs="Times New Roman"/>
          <w:szCs w:val="20"/>
          <w:lang w:val="en-GB" w:bidi="he-IL"/>
        </w:rPr>
        <w:t xml:space="preserve"> which </w:t>
      </w:r>
      <w:r w:rsidR="00755A39" w:rsidRPr="00755A39">
        <w:rPr>
          <w:rFonts w:ascii="Calibri" w:eastAsia="Times New Roman" w:hAnsi="Calibri" w:cs="Times New Roman"/>
          <w:szCs w:val="20"/>
          <w:lang w:val="en-GB" w:bidi="he-IL"/>
        </w:rPr>
        <w:t>forms an interesting pair with Milkah (</w:t>
      </w:r>
      <w:r w:rsidR="003D56BA">
        <w:rPr>
          <w:rFonts w:ascii="Calibri" w:eastAsia="Times New Roman" w:hAnsi="Calibri" w:cs="Times New Roman"/>
          <w:szCs w:val="20"/>
          <w:lang w:val="en-GB" w:bidi="he-IL"/>
        </w:rPr>
        <w:t>“</w:t>
      </w:r>
      <w:r w:rsidR="00755A39" w:rsidRPr="00755A39">
        <w:rPr>
          <w:rFonts w:ascii="Calibri" w:eastAsia="Times New Roman" w:hAnsi="Calibri" w:cs="Times New Roman"/>
          <w:szCs w:val="20"/>
          <w:lang w:val="en-GB" w:bidi="he-IL"/>
        </w:rPr>
        <w:t>queen</w:t>
      </w:r>
      <w:r w:rsidR="003D56BA">
        <w:rPr>
          <w:rFonts w:ascii="Calibri" w:eastAsia="Times New Roman" w:hAnsi="Calibri" w:cs="Times New Roman"/>
          <w:szCs w:val="20"/>
          <w:lang w:val="en-GB" w:bidi="he-IL"/>
        </w:rPr>
        <w:t>”</w:t>
      </w:r>
      <w:r w:rsidR="008A68FB">
        <w:rPr>
          <w:rFonts w:ascii="Calibri" w:eastAsia="Times New Roman" w:hAnsi="Calibri" w:cs="Times New Roman"/>
          <w:szCs w:val="20"/>
          <w:lang w:val="en-GB" w:bidi="he-IL"/>
        </w:rPr>
        <w:t>). N</w:t>
      </w:r>
      <w:r w:rsidR="00D02F5D">
        <w:rPr>
          <w:rFonts w:ascii="Calibri" w:eastAsia="Times New Roman" w:hAnsi="Calibri" w:cs="Times New Roman"/>
          <w:szCs w:val="20"/>
          <w:lang w:val="en-GB" w:bidi="he-IL"/>
        </w:rPr>
        <w:t>o</w:t>
      </w:r>
      <w:r w:rsidR="00755A39" w:rsidRPr="00755A39">
        <w:rPr>
          <w:rFonts w:ascii="Calibri" w:eastAsia="Times New Roman" w:hAnsi="Calibri" w:cs="Times New Roman"/>
          <w:szCs w:val="20"/>
          <w:lang w:val="en-GB" w:bidi="he-IL"/>
        </w:rPr>
        <w:t xml:space="preserve">r </w:t>
      </w:r>
      <w:r w:rsidR="008A68FB">
        <w:rPr>
          <w:rFonts w:ascii="Calibri" w:eastAsia="Times New Roman" w:hAnsi="Calibri" w:cs="Times New Roman"/>
          <w:szCs w:val="20"/>
          <w:lang w:val="en-GB" w:bidi="he-IL"/>
        </w:rPr>
        <w:t xml:space="preserve">therefore </w:t>
      </w:r>
      <w:r w:rsidR="00755A39" w:rsidRPr="00755A39">
        <w:rPr>
          <w:rFonts w:ascii="Calibri" w:eastAsia="Times New Roman" w:hAnsi="Calibri" w:cs="Times New Roman"/>
          <w:szCs w:val="20"/>
          <w:lang w:val="en-GB" w:bidi="he-IL"/>
        </w:rPr>
        <w:t xml:space="preserve">does Genesis note that </w:t>
      </w:r>
      <w:r w:rsidR="003D56BA">
        <w:rPr>
          <w:rFonts w:ascii="Calibri" w:eastAsia="Times New Roman" w:hAnsi="Calibri" w:cs="Times New Roman"/>
          <w:szCs w:val="20"/>
          <w:lang w:val="en-GB" w:bidi="he-IL"/>
        </w:rPr>
        <w:t>“</w:t>
      </w:r>
      <w:r w:rsidR="00755A39" w:rsidRPr="00755A39">
        <w:rPr>
          <w:rFonts w:ascii="Calibri" w:eastAsia="Times New Roman" w:hAnsi="Calibri" w:cs="Times New Roman"/>
          <w:szCs w:val="20"/>
          <w:lang w:val="en-GB" w:bidi="he-IL"/>
        </w:rPr>
        <w:t>Sarah</w:t>
      </w:r>
      <w:r w:rsidR="003D56BA">
        <w:rPr>
          <w:rFonts w:ascii="Calibri" w:eastAsia="Times New Roman" w:hAnsi="Calibri" w:cs="Times New Roman"/>
          <w:szCs w:val="20"/>
          <w:lang w:val="en-GB" w:bidi="he-IL"/>
        </w:rPr>
        <w:t>”</w:t>
      </w:r>
      <w:r w:rsidR="00755A39" w:rsidRPr="00755A39">
        <w:rPr>
          <w:rFonts w:ascii="Calibri" w:eastAsia="Times New Roman" w:hAnsi="Calibri" w:cs="Times New Roman"/>
          <w:szCs w:val="20"/>
          <w:lang w:val="en-GB" w:bidi="he-IL"/>
        </w:rPr>
        <w:t xml:space="preserve"> looks like the name of the wife of the moon god Sin </w:t>
      </w:r>
      <w:r w:rsidR="00E01E17">
        <w:rPr>
          <w:rFonts w:ascii="Calibri" w:eastAsia="Times New Roman" w:hAnsi="Calibri" w:cs="Times New Roman"/>
          <w:szCs w:val="20"/>
          <w:lang w:val="en-GB" w:bidi="he-IL"/>
        </w:rPr>
        <w:t xml:space="preserve">while </w:t>
      </w:r>
      <w:r w:rsidR="003D56BA">
        <w:rPr>
          <w:rFonts w:ascii="Calibri" w:eastAsia="Times New Roman" w:hAnsi="Calibri" w:cs="Times New Roman"/>
          <w:szCs w:val="20"/>
          <w:lang w:val="en-GB" w:bidi="he-IL"/>
        </w:rPr>
        <w:t>“</w:t>
      </w:r>
      <w:r w:rsidR="00E01E17">
        <w:rPr>
          <w:rFonts w:ascii="Calibri" w:eastAsia="Times New Roman" w:hAnsi="Calibri" w:cs="Times New Roman"/>
          <w:szCs w:val="20"/>
          <w:lang w:val="en-GB" w:bidi="he-IL"/>
        </w:rPr>
        <w:t>Milkah</w:t>
      </w:r>
      <w:r w:rsidR="003D56BA">
        <w:rPr>
          <w:rFonts w:ascii="Calibri" w:eastAsia="Times New Roman" w:hAnsi="Calibri" w:cs="Times New Roman"/>
          <w:szCs w:val="20"/>
          <w:lang w:val="en-GB" w:bidi="he-IL"/>
        </w:rPr>
        <w:t>”</w:t>
      </w:r>
      <w:r w:rsidR="00E01E17">
        <w:rPr>
          <w:rFonts w:ascii="Calibri" w:eastAsia="Times New Roman" w:hAnsi="Calibri" w:cs="Times New Roman"/>
          <w:szCs w:val="20"/>
          <w:lang w:val="en-GB" w:bidi="he-IL"/>
        </w:rPr>
        <w:t xml:space="preserve"> looks like a title </w:t>
      </w:r>
      <w:r w:rsidR="00755A39" w:rsidRPr="00755A39">
        <w:rPr>
          <w:rFonts w:ascii="Calibri" w:eastAsia="Times New Roman" w:hAnsi="Calibri" w:cs="Times New Roman"/>
          <w:szCs w:val="20"/>
          <w:lang w:val="en-GB" w:bidi="he-IL"/>
        </w:rPr>
        <w:t xml:space="preserve">of </w:t>
      </w:r>
      <w:r w:rsidR="00E01E17">
        <w:rPr>
          <w:rFonts w:ascii="Calibri" w:eastAsia="Times New Roman" w:hAnsi="Calibri" w:cs="Times New Roman"/>
          <w:szCs w:val="20"/>
          <w:lang w:val="en-GB" w:bidi="he-IL"/>
        </w:rPr>
        <w:t>Ishtar, the queen of heaven, daughter of Sin</w:t>
      </w:r>
      <w:r w:rsidR="00755A39" w:rsidRPr="00755A39">
        <w:rPr>
          <w:rFonts w:ascii="Calibri" w:eastAsia="Times New Roman" w:hAnsi="Calibri" w:cs="Times New Roman"/>
          <w:szCs w:val="20"/>
          <w:lang w:val="en-GB" w:bidi="he-IL"/>
        </w:rPr>
        <w:t>; the moon god was a significant figure in the religion of Ur and of Harran.</w:t>
      </w:r>
      <w:r w:rsidR="00755A39" w:rsidRPr="00755A39">
        <w:rPr>
          <w:rFonts w:ascii="Calibri" w:eastAsia="Times New Roman" w:hAnsi="Calibri" w:cs="Times New Roman"/>
          <w:szCs w:val="20"/>
          <w:vertAlign w:val="superscript"/>
          <w:lang w:val="en-GB" w:bidi="he-IL"/>
        </w:rPr>
        <w:footnoteReference w:id="35"/>
      </w:r>
      <w:r w:rsidR="008A68FB">
        <w:rPr>
          <w:rFonts w:ascii="Calibri" w:eastAsia="Times New Roman" w:hAnsi="Calibri" w:cs="Times New Roman"/>
          <w:szCs w:val="20"/>
          <w:lang w:val="en-GB" w:bidi="he-IL"/>
        </w:rPr>
        <w:t xml:space="preserve"> Whereas</w:t>
      </w:r>
      <w:r w:rsidR="00C44839">
        <w:rPr>
          <w:rFonts w:ascii="Calibri" w:eastAsia="Times New Roman" w:hAnsi="Calibri" w:cs="Times New Roman"/>
          <w:szCs w:val="20"/>
          <w:lang w:val="en-GB" w:bidi="he-IL"/>
        </w:rPr>
        <w:t xml:space="preserve"> we will hear nothing more of I</w:t>
      </w:r>
      <w:r w:rsidR="008A68FB">
        <w:rPr>
          <w:rFonts w:ascii="Calibri" w:eastAsia="Times New Roman" w:hAnsi="Calibri" w:cs="Times New Roman"/>
          <w:szCs w:val="20"/>
          <w:lang w:val="en-GB" w:bidi="he-IL"/>
        </w:rPr>
        <w:t>skah</w:t>
      </w:r>
      <w:r w:rsidR="00E01E17">
        <w:rPr>
          <w:rFonts w:ascii="Calibri" w:eastAsia="Times New Roman" w:hAnsi="Calibri" w:cs="Times New Roman"/>
          <w:szCs w:val="20"/>
          <w:lang w:val="en-GB" w:bidi="he-IL"/>
        </w:rPr>
        <w:t>, we will hear more of Milkah in Gen</w:t>
      </w:r>
      <w:r w:rsidR="00CB2581">
        <w:rPr>
          <w:rFonts w:ascii="Calibri" w:eastAsia="Times New Roman" w:hAnsi="Calibri" w:cs="Times New Roman"/>
          <w:szCs w:val="20"/>
          <w:lang w:val="en-GB" w:bidi="he-IL"/>
        </w:rPr>
        <w:t xml:space="preserve"> </w:t>
      </w:r>
      <w:r w:rsidR="00E01E17">
        <w:rPr>
          <w:rFonts w:ascii="Calibri" w:eastAsia="Times New Roman" w:hAnsi="Calibri" w:cs="Times New Roman"/>
          <w:szCs w:val="20"/>
          <w:lang w:val="en-GB" w:bidi="he-IL"/>
        </w:rPr>
        <w:t>24.</w:t>
      </w:r>
      <w:r w:rsidR="00C44839">
        <w:rPr>
          <w:rFonts w:ascii="Calibri" w:eastAsia="Times New Roman" w:hAnsi="Calibri" w:cs="Times New Roman"/>
          <w:szCs w:val="20"/>
          <w:lang w:val="en-GB" w:bidi="he-IL"/>
        </w:rPr>
        <w:t xml:space="preserve"> The “main charac</w:t>
      </w:r>
      <w:r w:rsidR="001D4226">
        <w:rPr>
          <w:rFonts w:ascii="Calibri" w:eastAsia="Times New Roman" w:hAnsi="Calibri" w:cs="Times New Roman"/>
          <w:szCs w:val="20"/>
          <w:lang w:val="en-GB" w:bidi="he-IL"/>
        </w:rPr>
        <w:t>teristics” attributed to Sarah ar</w:t>
      </w:r>
      <w:r w:rsidR="00C44839">
        <w:rPr>
          <w:rFonts w:ascii="Calibri" w:eastAsia="Times New Roman" w:hAnsi="Calibri" w:cs="Times New Roman"/>
          <w:szCs w:val="20"/>
          <w:lang w:val="en-GB" w:bidi="he-IL"/>
        </w:rPr>
        <w:t xml:space="preserve">e: </w:t>
      </w:r>
      <w:r w:rsidR="001D4226">
        <w:rPr>
          <w:rFonts w:ascii="Calibri" w:eastAsia="Times New Roman" w:hAnsi="Calibri" w:cs="Times New Roman"/>
          <w:szCs w:val="20"/>
          <w:lang w:val="en-GB" w:bidi="he-IL"/>
        </w:rPr>
        <w:t>“</w:t>
      </w:r>
      <w:r w:rsidR="00C44839">
        <w:rPr>
          <w:rFonts w:ascii="Calibri" w:eastAsia="Times New Roman" w:hAnsi="Calibri" w:cs="Times New Roman"/>
          <w:szCs w:val="20"/>
          <w:lang w:val="en-GB" w:bidi="he-IL"/>
        </w:rPr>
        <w:t>no family, married, barren, beautiful, and old.”</w:t>
      </w:r>
      <w:r w:rsidR="00C44839">
        <w:rPr>
          <w:rStyle w:val="FootnoteReference"/>
          <w:rFonts w:ascii="Calibri" w:eastAsia="Times New Roman" w:hAnsi="Calibri" w:cs="Times New Roman"/>
          <w:szCs w:val="20"/>
          <w:lang w:val="en-GB" w:bidi="he-IL"/>
        </w:rPr>
        <w:footnoteReference w:id="36"/>
      </w:r>
    </w:p>
    <w:p w14:paraId="61442B71" w14:textId="02978DA3" w:rsidR="00151A03" w:rsidRPr="00151A03" w:rsidRDefault="00CB2581" w:rsidP="00151A03">
      <w:pPr>
        <w:rPr>
          <w:rFonts w:ascii="Calibri" w:eastAsia="Times New Roman" w:hAnsi="Calibri" w:cs="Times New Roman"/>
          <w:szCs w:val="20"/>
          <w:lang w:bidi="he-IL"/>
        </w:rPr>
      </w:pPr>
      <w:r>
        <w:rPr>
          <w:rFonts w:ascii="Calibri" w:eastAsia="Times New Roman" w:hAnsi="Calibri" w:cs="Times New Roman"/>
          <w:szCs w:val="20"/>
          <w:lang w:val="en-GB" w:bidi="he-IL"/>
        </w:rPr>
        <w:t>T</w:t>
      </w:r>
      <w:r w:rsidR="00DA695A" w:rsidRPr="00DA695A">
        <w:rPr>
          <w:rFonts w:ascii="Calibri" w:eastAsia="Times New Roman" w:hAnsi="Calibri" w:cs="Times New Roman"/>
          <w:szCs w:val="20"/>
          <w:lang w:val="en-GB" w:bidi="he-IL"/>
        </w:rPr>
        <w:t>he further family sadness is that Abra</w:t>
      </w:r>
      <w:r w:rsidR="00BF4EE8">
        <w:rPr>
          <w:rFonts w:ascii="Calibri" w:eastAsia="Times New Roman" w:hAnsi="Calibri" w:cs="Times New Roman"/>
          <w:szCs w:val="20"/>
          <w:lang w:val="en-GB" w:bidi="he-IL"/>
        </w:rPr>
        <w:t>ha</w:t>
      </w:r>
      <w:r w:rsidR="00DA695A" w:rsidRPr="00DA695A">
        <w:rPr>
          <w:rFonts w:ascii="Calibri" w:eastAsia="Times New Roman" w:hAnsi="Calibri" w:cs="Times New Roman"/>
          <w:szCs w:val="20"/>
          <w:lang w:val="en-GB" w:bidi="he-IL"/>
        </w:rPr>
        <w:t>m’s wife cannot have children</w:t>
      </w:r>
      <w:r w:rsidR="00755A39">
        <w:rPr>
          <w:rFonts w:ascii="Calibri" w:eastAsia="Times New Roman" w:hAnsi="Calibri" w:cs="Times New Roman"/>
          <w:szCs w:val="20"/>
          <w:lang w:val="en-GB" w:bidi="he-IL"/>
        </w:rPr>
        <w:t xml:space="preserve"> (v. 30)</w:t>
      </w:r>
      <w:r>
        <w:rPr>
          <w:rFonts w:ascii="Calibri" w:eastAsia="Times New Roman" w:hAnsi="Calibri" w:cs="Times New Roman"/>
          <w:szCs w:val="20"/>
          <w:lang w:val="en-GB" w:bidi="he-IL"/>
        </w:rPr>
        <w:t>; t</w:t>
      </w:r>
      <w:r w:rsidR="00755A39">
        <w:rPr>
          <w:rFonts w:ascii="Calibri" w:eastAsia="Times New Roman" w:hAnsi="Calibri" w:cs="Times New Roman"/>
          <w:szCs w:val="20"/>
          <w:lang w:val="en-GB" w:bidi="he-IL"/>
        </w:rPr>
        <w:t>he double statement</w:t>
      </w:r>
      <w:r>
        <w:rPr>
          <w:rFonts w:ascii="Calibri" w:eastAsia="Times New Roman" w:hAnsi="Calibri" w:cs="Times New Roman"/>
          <w:szCs w:val="20"/>
          <w:lang w:val="en-GB" w:bidi="he-IL"/>
        </w:rPr>
        <w:t xml:space="preserve"> of the point underscores it</w:t>
      </w:r>
      <w:r w:rsidR="00755A39">
        <w:rPr>
          <w:rFonts w:ascii="Calibri" w:eastAsia="Times New Roman" w:hAnsi="Calibri" w:cs="Times New Roman"/>
          <w:szCs w:val="20"/>
          <w:lang w:val="en-GB" w:bidi="he-IL"/>
        </w:rPr>
        <w:t xml:space="preserve">. </w:t>
      </w:r>
      <w:r w:rsidR="00643121">
        <w:rPr>
          <w:rFonts w:ascii="Calibri" w:eastAsia="Times New Roman" w:hAnsi="Calibri" w:cs="Times New Roman"/>
          <w:szCs w:val="20"/>
          <w:lang w:val="en-GB" w:bidi="he-IL"/>
        </w:rPr>
        <w:t>I</w:t>
      </w:r>
      <w:r w:rsidR="008A68FB">
        <w:rPr>
          <w:rFonts w:ascii="Calibri" w:eastAsia="Times New Roman" w:hAnsi="Calibri" w:cs="Times New Roman"/>
          <w:szCs w:val="20"/>
          <w:lang w:val="en-GB" w:bidi="he-IL"/>
        </w:rPr>
        <w:t xml:space="preserve">t is not just </w:t>
      </w:r>
      <w:r w:rsidR="00643121" w:rsidRPr="00643121">
        <w:rPr>
          <w:rFonts w:ascii="Calibri" w:eastAsia="Times New Roman" w:hAnsi="Calibri" w:cs="Times New Roman"/>
          <w:szCs w:val="20"/>
          <w:lang w:val="en-GB" w:bidi="he-IL"/>
        </w:rPr>
        <w:t>sadness for Abra</w:t>
      </w:r>
      <w:r w:rsidR="00BF4EE8">
        <w:rPr>
          <w:rFonts w:ascii="Calibri" w:eastAsia="Times New Roman" w:hAnsi="Calibri" w:cs="Times New Roman"/>
          <w:szCs w:val="20"/>
          <w:lang w:val="en-GB" w:bidi="he-IL"/>
        </w:rPr>
        <w:t>ha</w:t>
      </w:r>
      <w:r w:rsidR="00643121" w:rsidRPr="00643121">
        <w:rPr>
          <w:rFonts w:ascii="Calibri" w:eastAsia="Times New Roman" w:hAnsi="Calibri" w:cs="Times New Roman"/>
          <w:szCs w:val="20"/>
          <w:lang w:val="en-GB" w:bidi="he-IL"/>
        </w:rPr>
        <w:t xml:space="preserve">m and Sarah. It is a worry for Terah: one son dead, another who will not have children: does this family have a viable future? </w:t>
      </w:r>
      <w:r w:rsidR="00643121" w:rsidRPr="00643121">
        <w:rPr>
          <w:rFonts w:ascii="Calibri" w:eastAsia="Times New Roman" w:hAnsi="Calibri" w:cs="Times New Roman"/>
          <w:szCs w:val="20"/>
          <w:lang w:bidi="he-IL"/>
        </w:rPr>
        <w:t xml:space="preserve">The lack of a heading referring to Abraham’s </w:t>
      </w:r>
      <w:r w:rsidR="008A68FB">
        <w:rPr>
          <w:rFonts w:ascii="Calibri" w:eastAsia="Times New Roman" w:hAnsi="Calibri" w:cs="Times New Roman"/>
          <w:szCs w:val="20"/>
          <w:lang w:bidi="he-IL"/>
        </w:rPr>
        <w:t>“</w:t>
      </w:r>
      <w:r w:rsidR="00643121" w:rsidRPr="00643121">
        <w:rPr>
          <w:rFonts w:ascii="Calibri" w:eastAsia="Times New Roman" w:hAnsi="Calibri" w:cs="Times New Roman"/>
          <w:szCs w:val="20"/>
          <w:lang w:bidi="he-IL"/>
        </w:rPr>
        <w:t>lines of descent</w:t>
      </w:r>
      <w:r w:rsidR="008A68FB">
        <w:rPr>
          <w:rFonts w:ascii="Calibri" w:eastAsia="Times New Roman" w:hAnsi="Calibri" w:cs="Times New Roman"/>
          <w:szCs w:val="20"/>
          <w:lang w:bidi="he-IL"/>
        </w:rPr>
        <w:t>”</w:t>
      </w:r>
      <w:r w:rsidR="00643121" w:rsidRPr="00643121">
        <w:rPr>
          <w:rFonts w:ascii="Calibri" w:eastAsia="Times New Roman" w:hAnsi="Calibri" w:cs="Times New Roman"/>
          <w:szCs w:val="20"/>
          <w:lang w:bidi="he-IL"/>
        </w:rPr>
        <w:t xml:space="preserve"> adds to the susp</w:t>
      </w:r>
      <w:r w:rsidR="00036C6A">
        <w:rPr>
          <w:rFonts w:ascii="Calibri" w:eastAsia="Times New Roman" w:hAnsi="Calibri" w:cs="Times New Roman"/>
          <w:szCs w:val="20"/>
          <w:lang w:bidi="he-IL"/>
        </w:rPr>
        <w:t>ense in this connection</w:t>
      </w:r>
      <w:r w:rsidR="00643121" w:rsidRPr="00643121">
        <w:rPr>
          <w:rFonts w:ascii="Calibri" w:eastAsia="Times New Roman" w:hAnsi="Calibri" w:cs="Times New Roman"/>
          <w:szCs w:val="20"/>
          <w:lang w:bidi="he-IL"/>
        </w:rPr>
        <w:t xml:space="preserve">. The Hebrew word for </w:t>
      </w:r>
      <w:r w:rsidR="003D56BA">
        <w:rPr>
          <w:rFonts w:ascii="Calibri" w:eastAsia="Times New Roman" w:hAnsi="Calibri" w:cs="Times New Roman"/>
          <w:szCs w:val="20"/>
          <w:lang w:bidi="he-IL"/>
        </w:rPr>
        <w:t>“</w:t>
      </w:r>
      <w:r w:rsidR="00643121" w:rsidRPr="00643121">
        <w:rPr>
          <w:rFonts w:ascii="Calibri" w:eastAsia="Times New Roman" w:hAnsi="Calibri" w:cs="Times New Roman"/>
          <w:szCs w:val="20"/>
          <w:lang w:bidi="he-IL"/>
        </w:rPr>
        <w:t>child</w:t>
      </w:r>
      <w:r w:rsidR="003D56BA">
        <w:rPr>
          <w:rFonts w:ascii="Calibri" w:eastAsia="Times New Roman" w:hAnsi="Calibri" w:cs="Times New Roman"/>
          <w:szCs w:val="20"/>
          <w:lang w:bidi="he-IL"/>
        </w:rPr>
        <w:t>”</w:t>
      </w:r>
      <w:r w:rsidR="00643121" w:rsidRPr="00643121">
        <w:rPr>
          <w:rFonts w:ascii="Calibri" w:eastAsia="Times New Roman" w:hAnsi="Calibri" w:cs="Times New Roman"/>
          <w:szCs w:val="20"/>
          <w:lang w:bidi="he-IL"/>
        </w:rPr>
        <w:t xml:space="preserve"> comes from the same root (</w:t>
      </w:r>
      <w:r w:rsidR="00643121" w:rsidRPr="00643121">
        <w:rPr>
          <w:rFonts w:ascii="Calibri" w:eastAsia="Times New Roman" w:hAnsi="Calibri" w:cs="Times New Roman"/>
          <w:i/>
          <w:szCs w:val="20"/>
          <w:lang w:bidi="he-IL"/>
        </w:rPr>
        <w:t>yālad</w:t>
      </w:r>
      <w:r w:rsidR="00643121" w:rsidRPr="00643121">
        <w:rPr>
          <w:rFonts w:ascii="Calibri" w:eastAsia="Times New Roman" w:hAnsi="Calibri" w:cs="Times New Roman"/>
          <w:szCs w:val="20"/>
          <w:lang w:bidi="he-IL"/>
        </w:rPr>
        <w:t>)</w:t>
      </w:r>
      <w:r w:rsidR="00643121" w:rsidRPr="00643121">
        <w:rPr>
          <w:rFonts w:ascii="Calibri" w:eastAsia="Times New Roman" w:hAnsi="Calibri" w:cs="Times New Roman"/>
          <w:i/>
          <w:szCs w:val="20"/>
          <w:lang w:bidi="he-IL"/>
        </w:rPr>
        <w:t xml:space="preserve"> </w:t>
      </w:r>
      <w:r w:rsidR="00643121" w:rsidRPr="00643121">
        <w:rPr>
          <w:rFonts w:ascii="Calibri" w:eastAsia="Times New Roman" w:hAnsi="Calibri" w:cs="Times New Roman"/>
          <w:szCs w:val="20"/>
          <w:lang w:bidi="he-IL"/>
        </w:rPr>
        <w:t>as the words for lines of d</w:t>
      </w:r>
      <w:r w:rsidR="00643121">
        <w:rPr>
          <w:rFonts w:ascii="Calibri" w:eastAsia="Times New Roman" w:hAnsi="Calibri" w:cs="Times New Roman"/>
          <w:szCs w:val="20"/>
          <w:lang w:bidi="he-IL"/>
        </w:rPr>
        <w:t xml:space="preserve">escent, </w:t>
      </w:r>
      <w:r w:rsidR="001D4226">
        <w:rPr>
          <w:rFonts w:ascii="Calibri" w:eastAsia="Times New Roman" w:hAnsi="Calibri" w:cs="Times New Roman"/>
          <w:szCs w:val="20"/>
          <w:lang w:bidi="he-IL"/>
        </w:rPr>
        <w:t xml:space="preserve">for </w:t>
      </w:r>
      <w:r w:rsidR="00643121">
        <w:rPr>
          <w:rFonts w:ascii="Calibri" w:eastAsia="Times New Roman" w:hAnsi="Calibri" w:cs="Times New Roman"/>
          <w:szCs w:val="20"/>
          <w:lang w:bidi="he-IL"/>
        </w:rPr>
        <w:t xml:space="preserve">fathered, and </w:t>
      </w:r>
      <w:r w:rsidR="001D4226">
        <w:rPr>
          <w:rFonts w:ascii="Calibri" w:eastAsia="Times New Roman" w:hAnsi="Calibri" w:cs="Times New Roman"/>
          <w:szCs w:val="20"/>
          <w:lang w:bidi="he-IL"/>
        </w:rPr>
        <w:t xml:space="preserve">for </w:t>
      </w:r>
      <w:r w:rsidR="00643121">
        <w:rPr>
          <w:rFonts w:ascii="Calibri" w:eastAsia="Times New Roman" w:hAnsi="Calibri" w:cs="Times New Roman"/>
          <w:szCs w:val="20"/>
          <w:lang w:bidi="he-IL"/>
        </w:rPr>
        <w:t>homeland in vv. 27-28</w:t>
      </w:r>
      <w:r w:rsidR="00036C6A">
        <w:rPr>
          <w:rFonts w:ascii="Calibri" w:eastAsia="Times New Roman" w:hAnsi="Calibri" w:cs="Times New Roman"/>
          <w:szCs w:val="20"/>
          <w:lang w:bidi="he-IL"/>
        </w:rPr>
        <w:t xml:space="preserve">. </w:t>
      </w:r>
      <w:r w:rsidR="00643121" w:rsidRPr="00643121">
        <w:rPr>
          <w:rFonts w:ascii="Calibri" w:eastAsia="Times New Roman" w:hAnsi="Calibri" w:cs="Times New Roman"/>
          <w:szCs w:val="20"/>
          <w:lang w:bidi="he-IL"/>
        </w:rPr>
        <w:t>Sarah can</w:t>
      </w:r>
      <w:r w:rsidR="00036C6A">
        <w:rPr>
          <w:rFonts w:ascii="Calibri" w:eastAsia="Times New Roman" w:hAnsi="Calibri" w:cs="Times New Roman"/>
          <w:szCs w:val="20"/>
          <w:lang w:bidi="he-IL"/>
        </w:rPr>
        <w:t>not</w:t>
      </w:r>
      <w:r w:rsidR="00643121" w:rsidRPr="00643121">
        <w:rPr>
          <w:rFonts w:ascii="Calibri" w:eastAsia="Times New Roman" w:hAnsi="Calibri" w:cs="Times New Roman"/>
          <w:szCs w:val="20"/>
          <w:lang w:bidi="he-IL"/>
        </w:rPr>
        <w:t xml:space="preserve"> play her part in what is signif</w:t>
      </w:r>
      <w:r w:rsidR="001D4226">
        <w:rPr>
          <w:rFonts w:ascii="Calibri" w:eastAsia="Times New Roman" w:hAnsi="Calibri" w:cs="Times New Roman"/>
          <w:szCs w:val="20"/>
          <w:lang w:bidi="he-IL"/>
        </w:rPr>
        <w:t>ied by those words. A</w:t>
      </w:r>
      <w:r w:rsidR="00643121">
        <w:rPr>
          <w:rFonts w:ascii="Calibri" w:eastAsia="Times New Roman" w:hAnsi="Calibri" w:cs="Times New Roman"/>
          <w:szCs w:val="20"/>
          <w:lang w:bidi="he-IL"/>
        </w:rPr>
        <w:t>s well as being</w:t>
      </w:r>
      <w:r w:rsidR="00643121" w:rsidRPr="00643121">
        <w:rPr>
          <w:rFonts w:ascii="Calibri" w:eastAsia="Times New Roman" w:hAnsi="Calibri" w:cs="Times New Roman"/>
          <w:szCs w:val="20"/>
          <w:lang w:bidi="he-IL"/>
        </w:rPr>
        <w:t xml:space="preserve"> key </w:t>
      </w:r>
      <w:r w:rsidR="00643121">
        <w:rPr>
          <w:rFonts w:ascii="Calibri" w:eastAsia="Times New Roman" w:hAnsi="Calibri" w:cs="Times New Roman"/>
          <w:szCs w:val="20"/>
          <w:lang w:bidi="he-IL"/>
        </w:rPr>
        <w:t>to the fut</w:t>
      </w:r>
      <w:r w:rsidR="00036C6A">
        <w:rPr>
          <w:rFonts w:ascii="Calibri" w:eastAsia="Times New Roman" w:hAnsi="Calibri" w:cs="Times New Roman"/>
          <w:szCs w:val="20"/>
          <w:lang w:bidi="he-IL"/>
        </w:rPr>
        <w:t>ure of this family, her playing this part</w:t>
      </w:r>
      <w:r w:rsidR="00643121">
        <w:rPr>
          <w:rFonts w:ascii="Calibri" w:eastAsia="Times New Roman" w:hAnsi="Calibri" w:cs="Times New Roman"/>
          <w:szCs w:val="20"/>
          <w:lang w:bidi="he-IL"/>
        </w:rPr>
        <w:t xml:space="preserve"> is</w:t>
      </w:r>
      <w:r w:rsidR="00643121" w:rsidRPr="00643121">
        <w:rPr>
          <w:rFonts w:ascii="Calibri" w:eastAsia="Times New Roman" w:hAnsi="Calibri" w:cs="Times New Roman"/>
          <w:szCs w:val="20"/>
          <w:lang w:bidi="he-IL"/>
        </w:rPr>
        <w:t xml:space="preserve"> </w:t>
      </w:r>
      <w:r w:rsidR="00643121">
        <w:rPr>
          <w:rFonts w:ascii="Calibri" w:eastAsia="Times New Roman" w:hAnsi="Calibri" w:cs="Times New Roman"/>
          <w:szCs w:val="20"/>
          <w:lang w:bidi="he-IL"/>
        </w:rPr>
        <w:t xml:space="preserve">key </w:t>
      </w:r>
      <w:r w:rsidR="00643121" w:rsidRPr="00643121">
        <w:rPr>
          <w:rFonts w:ascii="Calibri" w:eastAsia="Times New Roman" w:hAnsi="Calibri" w:cs="Times New Roman"/>
          <w:szCs w:val="20"/>
          <w:lang w:bidi="he-IL"/>
        </w:rPr>
        <w:t>(we are about to discover) to the fulfillment of God’s purpose.</w:t>
      </w:r>
      <w:r w:rsidR="00643121" w:rsidRPr="00643121">
        <w:rPr>
          <w:rFonts w:ascii="Calibri" w:eastAsia="Times New Roman" w:hAnsi="Calibri" w:cs="Times New Roman"/>
          <w:szCs w:val="20"/>
          <w:vertAlign w:val="superscript"/>
          <w:lang w:bidi="he-IL"/>
        </w:rPr>
        <w:footnoteReference w:id="37"/>
      </w:r>
      <w:r w:rsidR="00643121" w:rsidRPr="00643121">
        <w:rPr>
          <w:rFonts w:ascii="Calibri" w:eastAsia="Times New Roman" w:hAnsi="Calibri" w:cs="Times New Roman"/>
          <w:szCs w:val="20"/>
          <w:lang w:bidi="he-IL"/>
        </w:rPr>
        <w:t xml:space="preserve"> </w:t>
      </w:r>
      <w:r w:rsidR="001D4226">
        <w:rPr>
          <w:rFonts w:ascii="Calibri" w:eastAsia="Times New Roman" w:hAnsi="Calibri" w:cs="Times New Roman"/>
          <w:szCs w:val="20"/>
          <w:lang w:val="en-GB" w:bidi="he-IL"/>
        </w:rPr>
        <w:t>Sarah’s inability to have children</w:t>
      </w:r>
      <w:r w:rsidR="001D4226">
        <w:rPr>
          <w:rFonts w:ascii="Calibri" w:eastAsia="Times New Roman" w:hAnsi="Calibri" w:cs="Times New Roman"/>
          <w:szCs w:val="20"/>
          <w:lang w:bidi="he-IL"/>
        </w:rPr>
        <w:t xml:space="preserve"> is therefore a</w:t>
      </w:r>
      <w:r w:rsidR="00036C6A">
        <w:rPr>
          <w:rFonts w:ascii="Calibri" w:eastAsia="Times New Roman" w:hAnsi="Calibri" w:cs="Times New Roman"/>
          <w:szCs w:val="20"/>
          <w:lang w:bidi="he-IL"/>
        </w:rPr>
        <w:t>n important aspect of t</w:t>
      </w:r>
      <w:r w:rsidR="00151A03" w:rsidRPr="00151A03">
        <w:rPr>
          <w:rFonts w:ascii="Calibri" w:eastAsia="Times New Roman" w:hAnsi="Calibri" w:cs="Times New Roman"/>
          <w:szCs w:val="20"/>
          <w:lang w:val="en-GB" w:bidi="he-IL"/>
        </w:rPr>
        <w:t>he background to the story of Abraham and Sarah</w:t>
      </w:r>
      <w:r w:rsidR="001D4226">
        <w:rPr>
          <w:rFonts w:ascii="Calibri" w:eastAsia="Times New Roman" w:hAnsi="Calibri" w:cs="Times New Roman"/>
          <w:szCs w:val="20"/>
          <w:lang w:val="en-GB" w:bidi="he-IL"/>
        </w:rPr>
        <w:t xml:space="preserve"> which will follow</w:t>
      </w:r>
      <w:r w:rsidR="00036C6A">
        <w:rPr>
          <w:rFonts w:ascii="Calibri" w:eastAsia="Times New Roman" w:hAnsi="Calibri" w:cs="Times New Roman"/>
          <w:szCs w:val="20"/>
          <w:lang w:val="en-GB" w:bidi="he-IL"/>
        </w:rPr>
        <w:t xml:space="preserve">. Part </w:t>
      </w:r>
      <w:r w:rsidR="00151A03" w:rsidRPr="00151A03">
        <w:rPr>
          <w:rFonts w:ascii="Calibri" w:eastAsia="Times New Roman" w:hAnsi="Calibri" w:cs="Times New Roman"/>
          <w:szCs w:val="20"/>
          <w:lang w:val="en-GB" w:bidi="he-IL"/>
        </w:rPr>
        <w:t>One of Genesis has referred to no one’s infertility; having children has n</w:t>
      </w:r>
      <w:r w:rsidR="00036C6A">
        <w:rPr>
          <w:rFonts w:ascii="Calibri" w:eastAsia="Times New Roman" w:hAnsi="Calibri" w:cs="Times New Roman"/>
          <w:szCs w:val="20"/>
          <w:lang w:val="en-GB" w:bidi="he-IL"/>
        </w:rPr>
        <w:t>ot seemed to be a problem. In Parts Two</w:t>
      </w:r>
      <w:r w:rsidR="00151A03" w:rsidRPr="00151A03">
        <w:rPr>
          <w:rFonts w:ascii="Calibri" w:eastAsia="Times New Roman" w:hAnsi="Calibri" w:cs="Times New Roman"/>
          <w:szCs w:val="20"/>
          <w:lang w:val="en-GB" w:bidi="he-IL"/>
        </w:rPr>
        <w:t xml:space="preserve"> </w:t>
      </w:r>
      <w:r w:rsidR="00036C6A">
        <w:rPr>
          <w:rFonts w:ascii="Calibri" w:eastAsia="Times New Roman" w:hAnsi="Calibri" w:cs="Times New Roman"/>
          <w:szCs w:val="20"/>
          <w:lang w:val="en-GB" w:bidi="he-IL"/>
        </w:rPr>
        <w:t xml:space="preserve">and Three </w:t>
      </w:r>
      <w:r w:rsidR="00151A03" w:rsidRPr="00151A03">
        <w:rPr>
          <w:rFonts w:ascii="Calibri" w:eastAsia="Times New Roman" w:hAnsi="Calibri" w:cs="Times New Roman"/>
          <w:szCs w:val="20"/>
          <w:lang w:val="en-GB" w:bidi="he-IL"/>
        </w:rPr>
        <w:t>it becomes a problem. Yahweh chooses to work through someone who has no potential for achieving the thing he wishes to achieve. The Babylonian conquest of Judah put Zion into the same position, and Y</w:t>
      </w:r>
      <w:r w:rsidR="00036C6A">
        <w:rPr>
          <w:rFonts w:ascii="Calibri" w:eastAsia="Times New Roman" w:hAnsi="Calibri" w:cs="Times New Roman"/>
          <w:szCs w:val="20"/>
          <w:lang w:val="en-GB" w:bidi="he-IL"/>
        </w:rPr>
        <w:t>ahweh reformulated his promise</w:t>
      </w:r>
      <w:r w:rsidR="00151A03" w:rsidRPr="00151A03">
        <w:rPr>
          <w:rFonts w:ascii="Calibri" w:eastAsia="Times New Roman" w:hAnsi="Calibri" w:cs="Times New Roman"/>
          <w:szCs w:val="20"/>
          <w:lang w:val="en-GB" w:bidi="he-IL"/>
        </w:rPr>
        <w:t xml:space="preserve"> to it in that context (Isa 54). The situation when the people of God has no capacity to generate a future is the situation to which God’s promise speaks.</w:t>
      </w:r>
    </w:p>
    <w:p w14:paraId="0F437827" w14:textId="30AFFD3B" w:rsidR="00643121" w:rsidRDefault="004C53C9" w:rsidP="00DA695A">
      <w:pPr>
        <w:rPr>
          <w:rFonts w:ascii="Calibri" w:eastAsia="Times New Roman" w:hAnsi="Calibri" w:cs="Times New Roman"/>
          <w:szCs w:val="20"/>
          <w:lang w:val="en-GB" w:bidi="he-IL"/>
        </w:rPr>
      </w:pPr>
      <w:r>
        <w:rPr>
          <w:rFonts w:ascii="Calibri" w:eastAsia="Times New Roman" w:hAnsi="Calibri" w:cs="Times New Roman"/>
          <w:b/>
          <w:szCs w:val="20"/>
          <w:lang w:val="en-GB" w:bidi="he-IL"/>
        </w:rPr>
        <w:t xml:space="preserve">11:31-32. </w:t>
      </w:r>
      <w:proofErr w:type="gramStart"/>
      <w:r w:rsidR="00036C6A">
        <w:rPr>
          <w:rFonts w:ascii="Calibri" w:eastAsia="Times New Roman" w:hAnsi="Calibri" w:cs="Times New Roman"/>
          <w:szCs w:val="20"/>
          <w:lang w:val="en-GB" w:bidi="he-IL"/>
        </w:rPr>
        <w:t>So</w:t>
      </w:r>
      <w:proofErr w:type="gramEnd"/>
      <w:r w:rsidR="00036C6A">
        <w:rPr>
          <w:rFonts w:ascii="Calibri" w:eastAsia="Times New Roman" w:hAnsi="Calibri" w:cs="Times New Roman"/>
          <w:szCs w:val="20"/>
          <w:lang w:val="en-GB" w:bidi="he-IL"/>
        </w:rPr>
        <w:t xml:space="preserve"> i</w:t>
      </w:r>
      <w:r w:rsidR="00334410" w:rsidRPr="00334410">
        <w:rPr>
          <w:rFonts w:ascii="Calibri" w:eastAsia="Times New Roman" w:hAnsi="Calibri" w:cs="Times New Roman"/>
          <w:szCs w:val="20"/>
          <w:lang w:val="en-GB" w:bidi="he-IL"/>
        </w:rPr>
        <w:t>t was</w:t>
      </w:r>
      <w:r w:rsidR="00334410">
        <w:rPr>
          <w:rFonts w:ascii="Calibri" w:eastAsia="Times New Roman" w:hAnsi="Calibri" w:cs="Times New Roman"/>
          <w:b/>
          <w:szCs w:val="20"/>
          <w:lang w:val="en-GB" w:bidi="he-IL"/>
        </w:rPr>
        <w:t xml:space="preserve"> </w:t>
      </w:r>
      <w:r w:rsidRPr="00DA695A">
        <w:rPr>
          <w:rFonts w:ascii="Calibri" w:eastAsia="Times New Roman" w:hAnsi="Calibri" w:cs="Times New Roman"/>
          <w:szCs w:val="20"/>
          <w:lang w:val="en-GB" w:bidi="he-IL"/>
        </w:rPr>
        <w:t xml:space="preserve">Terah </w:t>
      </w:r>
      <w:r w:rsidR="00334410">
        <w:rPr>
          <w:rFonts w:ascii="Calibri" w:eastAsia="Times New Roman" w:hAnsi="Calibri" w:cs="Times New Roman"/>
          <w:szCs w:val="20"/>
          <w:lang w:val="en-GB" w:bidi="he-IL"/>
        </w:rPr>
        <w:t>who set</w:t>
      </w:r>
      <w:r w:rsidRPr="00DA695A">
        <w:rPr>
          <w:rFonts w:ascii="Calibri" w:eastAsia="Times New Roman" w:hAnsi="Calibri" w:cs="Times New Roman"/>
          <w:szCs w:val="20"/>
          <w:lang w:val="en-GB" w:bidi="he-IL"/>
        </w:rPr>
        <w:t xml:space="preserve"> the f</w:t>
      </w:r>
      <w:r w:rsidR="00643121">
        <w:rPr>
          <w:rFonts w:ascii="Calibri" w:eastAsia="Times New Roman" w:hAnsi="Calibri" w:cs="Times New Roman"/>
          <w:szCs w:val="20"/>
          <w:lang w:val="en-GB" w:bidi="he-IL"/>
        </w:rPr>
        <w:t xml:space="preserve">amily going on a move to Canaan. </w:t>
      </w:r>
      <w:r w:rsidR="00036C6A" w:rsidRPr="00036C6A">
        <w:rPr>
          <w:rFonts w:ascii="Calibri" w:eastAsia="Times New Roman" w:hAnsi="Calibri" w:cs="Times New Roman"/>
          <w:szCs w:val="20"/>
          <w:lang w:val="en-GB" w:bidi="he-IL"/>
        </w:rPr>
        <w:t>The connection of Ur with the Chaldeans hints at more than a geographical point</w:t>
      </w:r>
      <w:r w:rsidR="00793330">
        <w:rPr>
          <w:rFonts w:ascii="Calibri" w:eastAsia="Times New Roman" w:hAnsi="Calibri" w:cs="Times New Roman"/>
          <w:szCs w:val="20"/>
          <w:lang w:val="en-GB" w:bidi="he-IL"/>
        </w:rPr>
        <w:t xml:space="preserve"> about Ur, a religious point</w:t>
      </w:r>
      <w:r w:rsidR="00036C6A" w:rsidRPr="00036C6A">
        <w:rPr>
          <w:rFonts w:ascii="Calibri" w:eastAsia="Times New Roman" w:hAnsi="Calibri" w:cs="Times New Roman"/>
          <w:szCs w:val="20"/>
          <w:lang w:val="en-GB" w:bidi="he-IL"/>
        </w:rPr>
        <w:t xml:space="preserve"> and/or a political one. Is Terah implicitly taking leave of Babylonian religion and t</w:t>
      </w:r>
      <w:r w:rsidR="001D4226">
        <w:rPr>
          <w:rFonts w:ascii="Calibri" w:eastAsia="Times New Roman" w:hAnsi="Calibri" w:cs="Times New Roman"/>
          <w:szCs w:val="20"/>
          <w:lang w:val="en-GB" w:bidi="he-IL"/>
        </w:rPr>
        <w:t>aking leave of the empire? I</w:t>
      </w:r>
      <w:r w:rsidR="00036C6A" w:rsidRPr="00036C6A">
        <w:rPr>
          <w:rFonts w:ascii="Calibri" w:eastAsia="Times New Roman" w:hAnsi="Calibri" w:cs="Times New Roman"/>
          <w:szCs w:val="20"/>
          <w:lang w:val="en-GB" w:bidi="he-IL"/>
        </w:rPr>
        <w:t xml:space="preserve">n the former connection moving to Canaan would hardly be an improvement; and the account of Abraham’s family which will follow (with their cattle and sheep and tents) suggests that Terah’s family were not themselves urban people—they would not have lived in Ur itself. </w:t>
      </w:r>
      <w:r w:rsidR="00793330">
        <w:rPr>
          <w:rFonts w:ascii="Calibri" w:eastAsia="Times New Roman" w:hAnsi="Calibri" w:cs="Times New Roman"/>
          <w:szCs w:val="20"/>
          <w:lang w:val="en-GB" w:bidi="he-IL"/>
        </w:rPr>
        <w:t xml:space="preserve">So Terah’s making his move </w:t>
      </w:r>
      <w:r w:rsidR="00036C6A" w:rsidRPr="00036C6A">
        <w:rPr>
          <w:rFonts w:ascii="Calibri" w:eastAsia="Times New Roman" w:hAnsi="Calibri" w:cs="Times New Roman"/>
          <w:szCs w:val="20"/>
          <w:lang w:val="en-GB" w:bidi="he-IL"/>
        </w:rPr>
        <w:t>is difficult to interpret.</w:t>
      </w:r>
      <w:r w:rsidR="00793330">
        <w:rPr>
          <w:rFonts w:ascii="Calibri" w:eastAsia="Times New Roman" w:hAnsi="Calibri" w:cs="Times New Roman"/>
          <w:szCs w:val="20"/>
          <w:lang w:val="en-GB" w:bidi="he-IL"/>
        </w:rPr>
        <w:t xml:space="preserve"> </w:t>
      </w:r>
      <w:r w:rsidR="00643121" w:rsidRPr="00643121">
        <w:rPr>
          <w:rFonts w:ascii="Calibri" w:eastAsia="Times New Roman" w:hAnsi="Calibri" w:cs="Times New Roman"/>
          <w:szCs w:val="20"/>
          <w:lang w:val="en-GB" w:bidi="he-IL"/>
        </w:rPr>
        <w:t>Were the sadness about Haran</w:t>
      </w:r>
      <w:r w:rsidR="00C5299B">
        <w:rPr>
          <w:rStyle w:val="FootnoteReference"/>
          <w:rFonts w:ascii="Calibri" w:eastAsia="Times New Roman" w:hAnsi="Calibri" w:cs="Times New Roman"/>
          <w:szCs w:val="20"/>
          <w:lang w:val="en-GB" w:bidi="he-IL"/>
        </w:rPr>
        <w:footnoteReference w:id="38"/>
      </w:r>
      <w:r w:rsidR="00643121" w:rsidRPr="00643121">
        <w:rPr>
          <w:rFonts w:ascii="Calibri" w:eastAsia="Times New Roman" w:hAnsi="Calibri" w:cs="Times New Roman"/>
          <w:szCs w:val="20"/>
          <w:lang w:val="en-GB" w:bidi="he-IL"/>
        </w:rPr>
        <w:t xml:space="preserve"> and the worry about Abraham part of the backgr</w:t>
      </w:r>
      <w:r w:rsidR="00C54C46">
        <w:rPr>
          <w:rFonts w:ascii="Calibri" w:eastAsia="Times New Roman" w:hAnsi="Calibri" w:cs="Times New Roman"/>
          <w:szCs w:val="20"/>
          <w:lang w:val="en-GB" w:bidi="he-IL"/>
        </w:rPr>
        <w:t>ound</w:t>
      </w:r>
      <w:r w:rsidR="00643121" w:rsidRPr="00643121">
        <w:rPr>
          <w:rFonts w:ascii="Calibri" w:eastAsia="Times New Roman" w:hAnsi="Calibri" w:cs="Times New Roman"/>
          <w:szCs w:val="20"/>
          <w:lang w:val="en-GB" w:bidi="he-IL"/>
        </w:rPr>
        <w:t>? There is no hint that they migrate because God told them to do so, and in general the opening chapters of Genesis have been unfolding because people did th</w:t>
      </w:r>
      <w:r w:rsidR="00C54C46">
        <w:rPr>
          <w:rFonts w:ascii="Calibri" w:eastAsia="Times New Roman" w:hAnsi="Calibri" w:cs="Times New Roman"/>
          <w:szCs w:val="20"/>
          <w:lang w:val="en-GB" w:bidi="he-IL"/>
        </w:rPr>
        <w:t>e natural thing. W</w:t>
      </w:r>
      <w:r w:rsidR="00303C71">
        <w:rPr>
          <w:rFonts w:ascii="Calibri" w:eastAsia="Times New Roman" w:hAnsi="Calibri" w:cs="Times New Roman"/>
          <w:szCs w:val="20"/>
          <w:lang w:val="en-GB" w:bidi="he-IL"/>
        </w:rPr>
        <w:t>hy was Canaan</w:t>
      </w:r>
      <w:r w:rsidR="00643121" w:rsidRPr="00643121">
        <w:rPr>
          <w:rFonts w:ascii="Calibri" w:eastAsia="Times New Roman" w:hAnsi="Calibri" w:cs="Times New Roman"/>
          <w:szCs w:val="20"/>
          <w:lang w:val="en-GB" w:bidi="he-IL"/>
        </w:rPr>
        <w:t xml:space="preserve"> their intended destination? And why </w:t>
      </w:r>
      <w:r w:rsidR="00303C71">
        <w:rPr>
          <w:rFonts w:ascii="Calibri" w:eastAsia="Times New Roman" w:hAnsi="Calibri" w:cs="Times New Roman"/>
          <w:szCs w:val="20"/>
          <w:lang w:val="en-GB" w:bidi="he-IL"/>
        </w:rPr>
        <w:t xml:space="preserve">then </w:t>
      </w:r>
      <w:r w:rsidR="00643121" w:rsidRPr="00643121">
        <w:rPr>
          <w:rFonts w:ascii="Calibri" w:eastAsia="Times New Roman" w:hAnsi="Calibri" w:cs="Times New Roman"/>
          <w:szCs w:val="20"/>
          <w:lang w:val="en-GB" w:bidi="he-IL"/>
        </w:rPr>
        <w:t>did they go to Harran</w:t>
      </w:r>
      <w:r w:rsidR="00303C71">
        <w:rPr>
          <w:rFonts w:ascii="Calibri" w:eastAsia="Times New Roman" w:hAnsi="Calibri" w:cs="Times New Roman"/>
          <w:szCs w:val="20"/>
          <w:lang w:val="en-GB" w:bidi="he-IL"/>
        </w:rPr>
        <w:t xml:space="preserve">, </w:t>
      </w:r>
      <w:r w:rsidR="00303C71" w:rsidRPr="00303C71">
        <w:rPr>
          <w:rFonts w:ascii="Calibri" w:eastAsia="Times New Roman" w:hAnsi="Calibri" w:cs="Times New Roman"/>
          <w:szCs w:val="20"/>
          <w:lang w:val="en-GB" w:bidi="he-IL"/>
        </w:rPr>
        <w:t>5</w:t>
      </w:r>
      <w:r w:rsidR="00793330">
        <w:rPr>
          <w:rFonts w:ascii="Calibri" w:eastAsia="Times New Roman" w:hAnsi="Calibri" w:cs="Times New Roman"/>
          <w:szCs w:val="20"/>
          <w:lang w:val="en-GB" w:bidi="he-IL"/>
        </w:rPr>
        <w:t>00-600 miles northwest of Ur,</w:t>
      </w:r>
      <w:r w:rsidR="00303C71" w:rsidRPr="00303C71">
        <w:rPr>
          <w:rFonts w:ascii="Calibri" w:eastAsia="Times New Roman" w:hAnsi="Calibri" w:cs="Times New Roman"/>
          <w:szCs w:val="20"/>
          <w:lang w:val="en-GB" w:bidi="he-IL"/>
        </w:rPr>
        <w:t xml:space="preserve"> just north of the</w:t>
      </w:r>
      <w:r w:rsidR="00303C71">
        <w:rPr>
          <w:rFonts w:ascii="Calibri" w:eastAsia="Times New Roman" w:hAnsi="Calibri" w:cs="Times New Roman"/>
          <w:szCs w:val="20"/>
          <w:lang w:val="en-GB" w:bidi="he-IL"/>
        </w:rPr>
        <w:t xml:space="preserve"> border between Iraq and Turkey? T</w:t>
      </w:r>
      <w:r w:rsidR="00643121" w:rsidRPr="00643121">
        <w:rPr>
          <w:rFonts w:ascii="Calibri" w:eastAsia="Times New Roman" w:hAnsi="Calibri" w:cs="Times New Roman"/>
          <w:szCs w:val="20"/>
          <w:lang w:val="en-GB" w:bidi="he-IL"/>
        </w:rPr>
        <w:t>here was no need to g</w:t>
      </w:r>
      <w:r w:rsidR="00303C71">
        <w:rPr>
          <w:rFonts w:ascii="Calibri" w:eastAsia="Times New Roman" w:hAnsi="Calibri" w:cs="Times New Roman"/>
          <w:szCs w:val="20"/>
          <w:lang w:val="en-GB" w:bidi="he-IL"/>
        </w:rPr>
        <w:t>o that far north to get to Cana</w:t>
      </w:r>
      <w:r w:rsidR="00643121" w:rsidRPr="00643121">
        <w:rPr>
          <w:rFonts w:ascii="Calibri" w:eastAsia="Times New Roman" w:hAnsi="Calibri" w:cs="Times New Roman"/>
          <w:szCs w:val="20"/>
          <w:lang w:val="en-GB" w:bidi="he-IL"/>
        </w:rPr>
        <w:t>an.</w:t>
      </w:r>
      <w:r w:rsidR="00643121" w:rsidRPr="00643121">
        <w:rPr>
          <w:rFonts w:ascii="Calibri" w:eastAsia="Times New Roman" w:hAnsi="Calibri" w:cs="Times New Roman"/>
          <w:szCs w:val="20"/>
          <w:vertAlign w:val="superscript"/>
          <w:lang w:val="en-GB" w:bidi="he-IL"/>
        </w:rPr>
        <w:footnoteReference w:id="39"/>
      </w:r>
      <w:r w:rsidR="00643121" w:rsidRPr="00643121">
        <w:rPr>
          <w:rFonts w:ascii="Calibri" w:eastAsia="Times New Roman" w:hAnsi="Calibri" w:cs="Times New Roman"/>
          <w:szCs w:val="20"/>
          <w:lang w:val="en-GB" w:bidi="he-IL"/>
        </w:rPr>
        <w:t xml:space="preserve"> Is the implication that only the narrator knows that</w:t>
      </w:r>
      <w:r w:rsidR="00303C71">
        <w:rPr>
          <w:rFonts w:ascii="Calibri" w:eastAsia="Times New Roman" w:hAnsi="Calibri" w:cs="Times New Roman"/>
          <w:szCs w:val="20"/>
          <w:lang w:val="en-GB" w:bidi="he-IL"/>
        </w:rPr>
        <w:t xml:space="preserve"> they were on their way to Cana</w:t>
      </w:r>
      <w:r w:rsidR="00643121" w:rsidRPr="00643121">
        <w:rPr>
          <w:rFonts w:ascii="Calibri" w:eastAsia="Times New Roman" w:hAnsi="Calibri" w:cs="Times New Roman"/>
          <w:szCs w:val="20"/>
          <w:lang w:val="en-GB" w:bidi="he-IL"/>
        </w:rPr>
        <w:t>an?</w:t>
      </w:r>
      <w:r w:rsidR="00727890">
        <w:rPr>
          <w:rFonts w:ascii="Calibri" w:eastAsia="Times New Roman" w:hAnsi="Calibri" w:cs="Times New Roman"/>
          <w:szCs w:val="20"/>
          <w:lang w:val="en-GB" w:bidi="he-IL"/>
        </w:rPr>
        <w:t xml:space="preserve"> </w:t>
      </w:r>
      <w:r w:rsidR="00C54C46">
        <w:rPr>
          <w:rFonts w:ascii="Calibri" w:eastAsia="Times New Roman" w:hAnsi="Calibri" w:cs="Times New Roman"/>
          <w:szCs w:val="20"/>
          <w:lang w:val="en-GB" w:bidi="he-IL"/>
        </w:rPr>
        <w:t xml:space="preserve">Perhaps they were </w:t>
      </w:r>
      <w:r w:rsidR="00303C71">
        <w:rPr>
          <w:rFonts w:ascii="Calibri" w:eastAsia="Times New Roman" w:hAnsi="Calibri" w:cs="Times New Roman"/>
          <w:szCs w:val="20"/>
          <w:lang w:val="en-GB" w:bidi="he-IL"/>
        </w:rPr>
        <w:t>like Bedouin who were simply on the move because that wa</w:t>
      </w:r>
      <w:r w:rsidR="00C54C46">
        <w:rPr>
          <w:rFonts w:ascii="Calibri" w:eastAsia="Times New Roman" w:hAnsi="Calibri" w:cs="Times New Roman"/>
          <w:szCs w:val="20"/>
          <w:lang w:val="en-GB" w:bidi="he-IL"/>
        </w:rPr>
        <w:t>s their lifestyle. Anyway, p</w:t>
      </w:r>
      <w:r w:rsidR="00BF5D3D">
        <w:rPr>
          <w:rFonts w:ascii="Calibri" w:eastAsia="Times New Roman" w:hAnsi="Calibri" w:cs="Times New Roman"/>
          <w:szCs w:val="20"/>
          <w:lang w:val="en-GB" w:bidi="he-IL"/>
        </w:rPr>
        <w:t xml:space="preserve">eople listening to the </w:t>
      </w:r>
      <w:r w:rsidR="00BF5D3D">
        <w:rPr>
          <w:rFonts w:ascii="Calibri" w:eastAsia="Times New Roman" w:hAnsi="Calibri" w:cs="Times New Roman"/>
          <w:szCs w:val="20"/>
          <w:lang w:val="en-GB" w:bidi="he-IL"/>
        </w:rPr>
        <w:lastRenderedPageBreak/>
        <w:t xml:space="preserve">story would know something of what is presupposed by the laconic account of their journey, though later hints </w:t>
      </w:r>
      <w:r w:rsidR="00966FF3">
        <w:rPr>
          <w:rFonts w:ascii="Calibri" w:eastAsia="Times New Roman" w:hAnsi="Calibri" w:cs="Times New Roman"/>
          <w:szCs w:val="20"/>
          <w:lang w:val="en-GB" w:bidi="he-IL"/>
        </w:rPr>
        <w:t>in Genesis implicitly expand on the summary</w:t>
      </w:r>
      <w:r w:rsidR="00BF5D3D">
        <w:rPr>
          <w:rFonts w:ascii="Calibri" w:eastAsia="Times New Roman" w:hAnsi="Calibri" w:cs="Times New Roman"/>
          <w:szCs w:val="20"/>
          <w:lang w:val="en-GB" w:bidi="he-IL"/>
        </w:rPr>
        <w:t xml:space="preserve"> </w:t>
      </w:r>
      <w:r w:rsidR="00C54C46">
        <w:rPr>
          <w:rFonts w:ascii="Calibri" w:eastAsia="Times New Roman" w:hAnsi="Calibri" w:cs="Times New Roman"/>
          <w:szCs w:val="20"/>
          <w:lang w:val="en-GB" w:bidi="he-IL"/>
        </w:rPr>
        <w:t xml:space="preserve">(e.g., </w:t>
      </w:r>
      <w:r w:rsidR="004223C7">
        <w:rPr>
          <w:rFonts w:ascii="Calibri" w:eastAsia="Times New Roman" w:hAnsi="Calibri" w:cs="Times New Roman"/>
          <w:szCs w:val="20"/>
          <w:lang w:val="en-GB" w:bidi="he-IL"/>
        </w:rPr>
        <w:t>12:5; 13:5-18</w:t>
      </w:r>
      <w:r w:rsidR="00BF5D3D">
        <w:rPr>
          <w:rFonts w:ascii="Calibri" w:eastAsia="Times New Roman" w:hAnsi="Calibri" w:cs="Times New Roman"/>
          <w:szCs w:val="20"/>
          <w:lang w:val="en-GB" w:bidi="he-IL"/>
        </w:rPr>
        <w:t xml:space="preserve">). They would </w:t>
      </w:r>
      <w:r w:rsidR="00966FF3">
        <w:rPr>
          <w:rFonts w:ascii="Calibri" w:eastAsia="Times New Roman" w:hAnsi="Calibri" w:cs="Times New Roman"/>
          <w:szCs w:val="20"/>
          <w:lang w:val="en-GB" w:bidi="he-IL"/>
        </w:rPr>
        <w:t xml:space="preserve">have </w:t>
      </w:r>
      <w:r w:rsidR="00BF5D3D">
        <w:rPr>
          <w:rFonts w:ascii="Calibri" w:eastAsia="Times New Roman" w:hAnsi="Calibri" w:cs="Times New Roman"/>
          <w:szCs w:val="20"/>
          <w:lang w:val="en-GB" w:bidi="he-IL"/>
        </w:rPr>
        <w:t>taken everything they had and everythi</w:t>
      </w:r>
      <w:r w:rsidR="00643121">
        <w:rPr>
          <w:rFonts w:ascii="Calibri" w:eastAsia="Times New Roman" w:hAnsi="Calibri" w:cs="Times New Roman"/>
          <w:szCs w:val="20"/>
          <w:lang w:val="en-GB" w:bidi="he-IL"/>
        </w:rPr>
        <w:t>ng they needed for their travels</w:t>
      </w:r>
      <w:r w:rsidR="00BF5D3D">
        <w:rPr>
          <w:rFonts w:ascii="Calibri" w:eastAsia="Times New Roman" w:hAnsi="Calibri" w:cs="Times New Roman"/>
          <w:szCs w:val="20"/>
          <w:lang w:val="en-GB" w:bidi="he-IL"/>
        </w:rPr>
        <w:t>—flocks</w:t>
      </w:r>
      <w:r w:rsidR="00966FF3">
        <w:rPr>
          <w:rFonts w:ascii="Calibri" w:eastAsia="Times New Roman" w:hAnsi="Calibri" w:cs="Times New Roman"/>
          <w:szCs w:val="20"/>
          <w:lang w:val="en-GB" w:bidi="he-IL"/>
        </w:rPr>
        <w:t xml:space="preserve"> and other livestock</w:t>
      </w:r>
      <w:r w:rsidR="00BF5D3D">
        <w:rPr>
          <w:rFonts w:ascii="Calibri" w:eastAsia="Times New Roman" w:hAnsi="Calibri" w:cs="Times New Roman"/>
          <w:szCs w:val="20"/>
          <w:lang w:val="en-GB" w:bidi="he-IL"/>
        </w:rPr>
        <w:t>, tents, grain supplies, skins of olive oil</w:t>
      </w:r>
      <w:r w:rsidR="00966FF3">
        <w:rPr>
          <w:rFonts w:ascii="Calibri" w:eastAsia="Times New Roman" w:hAnsi="Calibri" w:cs="Times New Roman"/>
          <w:szCs w:val="20"/>
          <w:lang w:val="en-GB" w:bidi="he-IL"/>
        </w:rPr>
        <w:t xml:space="preserve">, tools, looms, ovens, gold and silver for bartering…. They </w:t>
      </w:r>
      <w:r w:rsidR="00BF5D3D">
        <w:rPr>
          <w:rFonts w:ascii="Calibri" w:eastAsia="Times New Roman" w:hAnsi="Calibri" w:cs="Times New Roman"/>
          <w:szCs w:val="20"/>
          <w:lang w:val="en-GB" w:bidi="he-IL"/>
        </w:rPr>
        <w:t xml:space="preserve">would perhaps </w:t>
      </w:r>
      <w:r w:rsidR="00966FF3">
        <w:rPr>
          <w:rFonts w:ascii="Calibri" w:eastAsia="Times New Roman" w:hAnsi="Calibri" w:cs="Times New Roman"/>
          <w:szCs w:val="20"/>
          <w:lang w:val="en-GB" w:bidi="he-IL"/>
        </w:rPr>
        <w:t>travel</w:t>
      </w:r>
      <w:r w:rsidR="00BF5D3D">
        <w:rPr>
          <w:rFonts w:ascii="Calibri" w:eastAsia="Times New Roman" w:hAnsi="Calibri" w:cs="Times New Roman"/>
          <w:szCs w:val="20"/>
          <w:lang w:val="en-GB" w:bidi="he-IL"/>
        </w:rPr>
        <w:t xml:space="preserve"> at about ten miles per </w:t>
      </w:r>
      <w:r w:rsidR="00966FF3">
        <w:rPr>
          <w:rFonts w:ascii="Calibri" w:eastAsia="Times New Roman" w:hAnsi="Calibri" w:cs="Times New Roman"/>
          <w:szCs w:val="20"/>
          <w:lang w:val="en-GB" w:bidi="he-IL"/>
        </w:rPr>
        <w:t>day (wagon trains across the United States in the nineteenth century travelled at ten to twenty miles per day), stopping early each even</w:t>
      </w:r>
      <w:r w:rsidR="00C54C46">
        <w:rPr>
          <w:rFonts w:ascii="Calibri" w:eastAsia="Times New Roman" w:hAnsi="Calibri" w:cs="Times New Roman"/>
          <w:szCs w:val="20"/>
          <w:lang w:val="en-GB" w:bidi="he-IL"/>
        </w:rPr>
        <w:t>ing to set up camp and cook. I</w:t>
      </w:r>
      <w:r w:rsidR="00303C71">
        <w:rPr>
          <w:rFonts w:ascii="Calibri" w:eastAsia="Times New Roman" w:hAnsi="Calibri" w:cs="Times New Roman"/>
          <w:szCs w:val="20"/>
          <w:lang w:val="en-GB" w:bidi="he-IL"/>
        </w:rPr>
        <w:t xml:space="preserve">f they went direct from Ur to Harran, </w:t>
      </w:r>
      <w:r w:rsidR="00966FF3">
        <w:rPr>
          <w:rFonts w:ascii="Calibri" w:eastAsia="Times New Roman" w:hAnsi="Calibri" w:cs="Times New Roman"/>
          <w:szCs w:val="20"/>
          <w:lang w:val="en-GB" w:bidi="he-IL"/>
        </w:rPr>
        <w:t>the journey would take two months.</w:t>
      </w:r>
      <w:r w:rsidR="00301BFA">
        <w:rPr>
          <w:rFonts w:ascii="Calibri" w:eastAsia="Times New Roman" w:hAnsi="Calibri" w:cs="Times New Roman"/>
          <w:szCs w:val="20"/>
          <w:lang w:val="en-GB" w:bidi="he-IL"/>
        </w:rPr>
        <w:t xml:space="preserve"> </w:t>
      </w:r>
    </w:p>
    <w:p w14:paraId="2A652B70" w14:textId="77777777" w:rsidR="00301BFA" w:rsidRPr="00DA695A" w:rsidRDefault="00303C71" w:rsidP="00301BFA">
      <w:pPr>
        <w:rPr>
          <w:rFonts w:ascii="Calibri" w:eastAsia="Times New Roman" w:hAnsi="Calibri" w:cs="Times New Roman"/>
          <w:szCs w:val="20"/>
          <w:lang w:val="en-GB" w:bidi="he-IL"/>
        </w:rPr>
      </w:pPr>
      <w:r w:rsidRPr="00303C71">
        <w:rPr>
          <w:rFonts w:ascii="Calibri" w:eastAsia="Times New Roman" w:hAnsi="Calibri" w:cs="Times New Roman"/>
          <w:szCs w:val="20"/>
          <w:lang w:val="en-GB" w:bidi="he-IL"/>
        </w:rPr>
        <w:t>With what sense of sad</w:t>
      </w:r>
      <w:r>
        <w:rPr>
          <w:rFonts w:ascii="Calibri" w:eastAsia="Times New Roman" w:hAnsi="Calibri" w:cs="Times New Roman"/>
          <w:szCs w:val="20"/>
          <w:lang w:val="en-GB" w:bidi="he-IL"/>
        </w:rPr>
        <w:t>ness and failure does Terah eventually die</w:t>
      </w:r>
      <w:r w:rsidR="004149CF">
        <w:rPr>
          <w:rFonts w:ascii="Calibri" w:eastAsia="Times New Roman" w:hAnsi="Calibri" w:cs="Times New Roman"/>
          <w:szCs w:val="20"/>
          <w:lang w:val="en-GB" w:bidi="he-IL"/>
        </w:rPr>
        <w:t xml:space="preserve"> in Harran (v. 32)?</w:t>
      </w:r>
      <w:r w:rsidR="00301BFA">
        <w:rPr>
          <w:rFonts w:ascii="Calibri" w:eastAsia="Times New Roman" w:hAnsi="Calibri" w:cs="Times New Roman"/>
          <w:szCs w:val="20"/>
          <w:lang w:val="en-GB" w:bidi="he-IL"/>
        </w:rPr>
        <w:t xml:space="preserve"> The opening paragraphs of the story of Abraham and Sarah do</w:t>
      </w:r>
      <w:r w:rsidR="00301BFA" w:rsidRPr="00DA695A">
        <w:rPr>
          <w:rFonts w:ascii="Calibri" w:eastAsia="Times New Roman" w:hAnsi="Calibri" w:cs="Times New Roman"/>
          <w:szCs w:val="20"/>
          <w:lang w:val="en-GB" w:bidi="he-IL"/>
        </w:rPr>
        <w:t xml:space="preserve"> not look like the beginning of anything. It is not a story of how human wilfulness spoils things, but of how circumstances spoil things.</w:t>
      </w:r>
    </w:p>
    <w:p w14:paraId="0640352B" w14:textId="645B070B" w:rsidR="002B3616" w:rsidRDefault="00334410" w:rsidP="00441FF8">
      <w:pPr>
        <w:rPr>
          <w:rFonts w:ascii="Calibri" w:eastAsia="Times New Roman" w:hAnsi="Calibri" w:cs="Times New Roman"/>
          <w:szCs w:val="20"/>
          <w:lang w:val="en-GB" w:bidi="he-IL"/>
        </w:rPr>
      </w:pPr>
      <w:r>
        <w:rPr>
          <w:rFonts w:ascii="Calibri" w:eastAsia="Times New Roman" w:hAnsi="Calibri" w:cs="Times New Roman"/>
          <w:b/>
          <w:szCs w:val="20"/>
          <w:lang w:val="en-GB" w:bidi="he-IL"/>
        </w:rPr>
        <w:t>12:1-3</w:t>
      </w:r>
      <w:r>
        <w:rPr>
          <w:rFonts w:ascii="Calibri" w:eastAsia="Times New Roman" w:hAnsi="Calibri" w:cs="Times New Roman"/>
          <w:szCs w:val="20"/>
          <w:lang w:val="en-GB" w:bidi="he-IL"/>
        </w:rPr>
        <w:t xml:space="preserve">. </w:t>
      </w:r>
      <w:proofErr w:type="gramStart"/>
      <w:r w:rsidR="00250E38">
        <w:rPr>
          <w:rFonts w:ascii="Calibri" w:eastAsia="Times New Roman" w:hAnsi="Calibri" w:cs="Times New Roman"/>
          <w:szCs w:val="20"/>
          <w:lang w:val="en-GB" w:bidi="he-IL"/>
        </w:rPr>
        <w:t>The</w:t>
      </w:r>
      <w:proofErr w:type="gramEnd"/>
      <w:r w:rsidR="00250E38">
        <w:rPr>
          <w:rFonts w:ascii="Calibri" w:eastAsia="Times New Roman" w:hAnsi="Calibri" w:cs="Times New Roman"/>
          <w:szCs w:val="20"/>
          <w:lang w:val="en-GB" w:bidi="he-IL"/>
        </w:rPr>
        <w:t xml:space="preserve"> </w:t>
      </w:r>
      <w:r w:rsidR="00250E38">
        <w:rPr>
          <w:rFonts w:ascii="Calibri" w:eastAsia="Times New Roman" w:hAnsi="Calibri" w:cs="Times New Roman"/>
          <w:i/>
          <w:szCs w:val="20"/>
          <w:lang w:val="en-GB" w:bidi="he-IL"/>
        </w:rPr>
        <w:t>waw</w:t>
      </w:r>
      <w:r w:rsidR="00250E38">
        <w:rPr>
          <w:rFonts w:ascii="Calibri" w:eastAsia="Times New Roman" w:hAnsi="Calibri" w:cs="Times New Roman"/>
          <w:szCs w:val="20"/>
          <w:lang w:val="en-GB" w:bidi="he-IL"/>
        </w:rPr>
        <w:t xml:space="preserve">-consecutive would naturally suggest that Yahweh’s bidding to Abraham follows on the death of Terah. </w:t>
      </w:r>
      <w:r w:rsidR="003F0B3C">
        <w:rPr>
          <w:rFonts w:ascii="Calibri" w:eastAsia="Times New Roman" w:hAnsi="Calibri" w:cs="Times New Roman"/>
          <w:szCs w:val="20"/>
          <w:lang w:val="en-GB" w:bidi="he-IL"/>
        </w:rPr>
        <w:t>But i</w:t>
      </w:r>
      <w:r w:rsidR="003F0B3C" w:rsidRPr="003F0B3C">
        <w:rPr>
          <w:rFonts w:ascii="Calibri" w:eastAsia="Times New Roman" w:hAnsi="Calibri" w:cs="Times New Roman"/>
          <w:szCs w:val="20"/>
          <w:lang w:val="en-GB" w:bidi="he-IL"/>
        </w:rPr>
        <w:t xml:space="preserve">f </w:t>
      </w:r>
      <w:r w:rsidR="004149CF" w:rsidRPr="004149CF">
        <w:rPr>
          <w:rFonts w:ascii="Calibri" w:eastAsia="Times New Roman" w:hAnsi="Calibri" w:cs="Times New Roman"/>
          <w:szCs w:val="20"/>
          <w:lang w:val="en-GB" w:bidi="he-IL"/>
        </w:rPr>
        <w:t>Terah was 70 when Abraham was born</w:t>
      </w:r>
      <w:r w:rsidR="00C54C46">
        <w:rPr>
          <w:rFonts w:ascii="Calibri" w:eastAsia="Times New Roman" w:hAnsi="Calibri" w:cs="Times New Roman"/>
          <w:szCs w:val="20"/>
          <w:lang w:val="en-GB" w:bidi="he-IL"/>
        </w:rPr>
        <w:t xml:space="preserve"> and </w:t>
      </w:r>
      <w:r w:rsidR="004149CF">
        <w:rPr>
          <w:rFonts w:ascii="Calibri" w:eastAsia="Times New Roman" w:hAnsi="Calibri" w:cs="Times New Roman"/>
          <w:szCs w:val="20"/>
          <w:lang w:val="en-GB" w:bidi="he-IL"/>
        </w:rPr>
        <w:t xml:space="preserve">lived until he was 205 (11:26, 32) and </w:t>
      </w:r>
      <w:r w:rsidR="003F0B3C" w:rsidRPr="003F0B3C">
        <w:rPr>
          <w:rFonts w:ascii="Calibri" w:eastAsia="Times New Roman" w:hAnsi="Calibri" w:cs="Times New Roman"/>
          <w:szCs w:val="20"/>
          <w:lang w:val="en-GB" w:bidi="he-IL"/>
        </w:rPr>
        <w:t xml:space="preserve">Abraham is 75 </w:t>
      </w:r>
      <w:r w:rsidR="00961D5D">
        <w:rPr>
          <w:rFonts w:ascii="Calibri" w:eastAsia="Times New Roman" w:hAnsi="Calibri" w:cs="Times New Roman"/>
          <w:szCs w:val="20"/>
          <w:lang w:val="en-GB" w:bidi="he-IL"/>
        </w:rPr>
        <w:t xml:space="preserve">now </w:t>
      </w:r>
      <w:r w:rsidR="001D62CC">
        <w:rPr>
          <w:rFonts w:ascii="Calibri" w:eastAsia="Times New Roman" w:hAnsi="Calibri" w:cs="Times New Roman"/>
          <w:szCs w:val="20"/>
          <w:lang w:val="en-GB" w:bidi="he-IL"/>
        </w:rPr>
        <w:t>(v. 4</w:t>
      </w:r>
      <w:r w:rsidR="00961D5D">
        <w:rPr>
          <w:rFonts w:ascii="Calibri" w:eastAsia="Times New Roman" w:hAnsi="Calibri" w:cs="Times New Roman"/>
          <w:szCs w:val="20"/>
          <w:lang w:val="en-GB" w:bidi="he-IL"/>
        </w:rPr>
        <w:t>)</w:t>
      </w:r>
      <w:r w:rsidR="003F0B3C">
        <w:rPr>
          <w:rFonts w:ascii="Calibri" w:eastAsia="Times New Roman" w:hAnsi="Calibri" w:cs="Times New Roman"/>
          <w:szCs w:val="20"/>
          <w:lang w:val="en-GB" w:bidi="he-IL"/>
        </w:rPr>
        <w:t>, Terah is nowhere dead yet</w:t>
      </w:r>
      <w:r w:rsidR="00961D5D">
        <w:rPr>
          <w:rFonts w:ascii="Calibri" w:eastAsia="Times New Roman" w:hAnsi="Calibri" w:cs="Times New Roman"/>
          <w:szCs w:val="20"/>
          <w:lang w:val="en-GB" w:bidi="he-IL"/>
        </w:rPr>
        <w:t xml:space="preserve">. </w:t>
      </w:r>
      <w:r w:rsidR="00961D5D" w:rsidRPr="00961D5D">
        <w:rPr>
          <w:rFonts w:ascii="Calibri" w:eastAsia="Times New Roman" w:hAnsi="Calibri" w:cs="Times New Roman"/>
          <w:szCs w:val="20"/>
          <w:lang w:val="en-GB" w:bidi="he-IL"/>
        </w:rPr>
        <w:t xml:space="preserve">In one sense, the fact that 11:31-32 came from P and 12:1-9 from J </w:t>
      </w:r>
      <w:r w:rsidR="00961D5D">
        <w:rPr>
          <w:rFonts w:ascii="Calibri" w:eastAsia="Times New Roman" w:hAnsi="Calibri" w:cs="Times New Roman"/>
          <w:szCs w:val="20"/>
          <w:lang w:val="en-GB" w:bidi="he-IL"/>
        </w:rPr>
        <w:t>could explain</w:t>
      </w:r>
      <w:r w:rsidR="00961D5D" w:rsidRPr="00961D5D">
        <w:rPr>
          <w:rFonts w:ascii="Calibri" w:eastAsia="Times New Roman" w:hAnsi="Calibri" w:cs="Times New Roman"/>
          <w:szCs w:val="20"/>
          <w:lang w:val="en-GB" w:bidi="he-IL"/>
        </w:rPr>
        <w:t xml:space="preserve"> the disjunction, though it does not</w:t>
      </w:r>
      <w:r w:rsidR="00961D5D">
        <w:rPr>
          <w:rFonts w:ascii="Calibri" w:eastAsia="Times New Roman" w:hAnsi="Calibri" w:cs="Times New Roman"/>
          <w:szCs w:val="20"/>
          <w:lang w:val="en-GB" w:bidi="he-IL"/>
        </w:rPr>
        <w:t xml:space="preserve"> explain how </w:t>
      </w:r>
      <w:r w:rsidR="00961D5D" w:rsidRPr="00961D5D">
        <w:rPr>
          <w:rFonts w:ascii="Calibri" w:eastAsia="Times New Roman" w:hAnsi="Calibri" w:cs="Times New Roman"/>
          <w:szCs w:val="20"/>
          <w:lang w:val="en-GB" w:bidi="he-IL"/>
        </w:rPr>
        <w:t xml:space="preserve">the two passages </w:t>
      </w:r>
      <w:r w:rsidR="00961D5D">
        <w:rPr>
          <w:rFonts w:ascii="Calibri" w:eastAsia="Times New Roman" w:hAnsi="Calibri" w:cs="Times New Roman"/>
          <w:szCs w:val="20"/>
          <w:lang w:val="en-GB" w:bidi="he-IL"/>
        </w:rPr>
        <w:t xml:space="preserve">interrelate </w:t>
      </w:r>
      <w:r w:rsidR="00961D5D" w:rsidRPr="00961D5D">
        <w:rPr>
          <w:rFonts w:ascii="Calibri" w:eastAsia="Times New Roman" w:hAnsi="Calibri" w:cs="Times New Roman"/>
          <w:szCs w:val="20"/>
          <w:lang w:val="en-GB" w:bidi="he-IL"/>
        </w:rPr>
        <w:t>in Genesis itself</w:t>
      </w:r>
      <w:r w:rsidR="00044304">
        <w:rPr>
          <w:rFonts w:ascii="Calibri" w:eastAsia="Times New Roman" w:hAnsi="Calibri" w:cs="Times New Roman"/>
          <w:szCs w:val="20"/>
          <w:lang w:val="en-GB" w:bidi="he-IL"/>
        </w:rPr>
        <w:t>. H</w:t>
      </w:r>
      <w:r w:rsidR="00961D5D">
        <w:rPr>
          <w:rFonts w:ascii="Calibri" w:eastAsia="Times New Roman" w:hAnsi="Calibri" w:cs="Times New Roman"/>
          <w:szCs w:val="20"/>
          <w:lang w:val="en-GB" w:bidi="he-IL"/>
        </w:rPr>
        <w:t>ere, it s</w:t>
      </w:r>
      <w:r w:rsidR="00044304">
        <w:rPr>
          <w:rFonts w:ascii="Calibri" w:eastAsia="Times New Roman" w:hAnsi="Calibri" w:cs="Times New Roman"/>
          <w:szCs w:val="20"/>
          <w:lang w:val="en-GB" w:bidi="he-IL"/>
        </w:rPr>
        <w:t>eems that 12:1 is back-tracking.</w:t>
      </w:r>
      <w:r w:rsidR="00961D5D" w:rsidRPr="00961D5D">
        <w:rPr>
          <w:rFonts w:ascii="Calibri" w:eastAsia="Times New Roman" w:hAnsi="Calibri" w:cs="Times New Roman"/>
          <w:szCs w:val="20"/>
          <w:vertAlign w:val="superscript"/>
          <w:lang w:val="en-GB" w:bidi="he-IL"/>
        </w:rPr>
        <w:footnoteReference w:id="40"/>
      </w:r>
      <w:r w:rsidR="00044304">
        <w:rPr>
          <w:rFonts w:ascii="Calibri" w:eastAsia="Times New Roman" w:hAnsi="Calibri" w:cs="Times New Roman"/>
          <w:szCs w:val="20"/>
          <w:lang w:val="en-GB" w:bidi="he-IL"/>
        </w:rPr>
        <w:t xml:space="preserve"> </w:t>
      </w:r>
      <w:r w:rsidR="00793330">
        <w:rPr>
          <w:rFonts w:ascii="Calibri" w:eastAsia="Times New Roman" w:hAnsi="Calibri" w:cs="Times New Roman"/>
          <w:szCs w:val="20"/>
          <w:lang w:val="en-GB" w:bidi="he-IL"/>
        </w:rPr>
        <w:t>Gen</w:t>
      </w:r>
      <w:r w:rsidR="00151A03">
        <w:rPr>
          <w:rFonts w:ascii="Calibri" w:eastAsia="Times New Roman" w:hAnsi="Calibri" w:cs="Times New Roman"/>
          <w:szCs w:val="20"/>
          <w:lang w:val="en-GB" w:bidi="he-IL"/>
        </w:rPr>
        <w:t xml:space="preserve"> 11:27—12:8</w:t>
      </w:r>
      <w:r w:rsidR="00044304" w:rsidRPr="00044304">
        <w:rPr>
          <w:rFonts w:ascii="Calibri" w:eastAsia="Times New Roman" w:hAnsi="Calibri" w:cs="Times New Roman"/>
          <w:szCs w:val="20"/>
          <w:lang w:val="en-GB" w:bidi="he-IL"/>
        </w:rPr>
        <w:t xml:space="preserve"> </w:t>
      </w:r>
      <w:r w:rsidR="00793330">
        <w:rPr>
          <w:rFonts w:ascii="Calibri" w:eastAsia="Times New Roman" w:hAnsi="Calibri" w:cs="Times New Roman"/>
          <w:szCs w:val="20"/>
          <w:lang w:val="en-GB" w:bidi="he-IL"/>
        </w:rPr>
        <w:t xml:space="preserve">then </w:t>
      </w:r>
      <w:r w:rsidR="00044304" w:rsidRPr="00044304">
        <w:rPr>
          <w:rFonts w:ascii="Calibri" w:eastAsia="Times New Roman" w:hAnsi="Calibri" w:cs="Times New Roman"/>
          <w:szCs w:val="20"/>
          <w:lang w:val="en-GB" w:bidi="he-IL"/>
        </w:rPr>
        <w:t>incorporates one of those occasions when Genesis abandons chronological order to tie off one section of the story before focusing on where the story has taken a new turn in the meanwhile. Terah and his decision-making is the past. He’s dead even though he is still alive.</w:t>
      </w:r>
      <w:r w:rsidR="00044304" w:rsidRPr="00044304">
        <w:rPr>
          <w:rFonts w:ascii="Calibri" w:eastAsia="Times New Roman" w:hAnsi="Calibri" w:cs="Times New Roman"/>
          <w:szCs w:val="20"/>
          <w:vertAlign w:val="superscript"/>
          <w:lang w:val="en-GB" w:bidi="he-IL"/>
        </w:rPr>
        <w:footnoteReference w:id="41"/>
      </w:r>
      <w:r w:rsidR="00044304" w:rsidRPr="00044304">
        <w:rPr>
          <w:rFonts w:ascii="Calibri" w:eastAsia="Times New Roman" w:hAnsi="Calibri" w:cs="Times New Roman"/>
          <w:szCs w:val="20"/>
          <w:lang w:val="en-GB" w:bidi="he-IL"/>
        </w:rPr>
        <w:t xml:space="preserve"> </w:t>
      </w:r>
      <w:r w:rsidR="009D5325" w:rsidRPr="00151A03">
        <w:rPr>
          <w:rFonts w:ascii="Calibri" w:eastAsia="Times New Roman" w:hAnsi="Calibri" w:cs="Times New Roman"/>
          <w:szCs w:val="20"/>
          <w:lang w:val="en-GB" w:bidi="he-IL"/>
        </w:rPr>
        <w:t>What Yahweh has now said to Abraham is the future.</w:t>
      </w:r>
      <w:r w:rsidR="009D5325">
        <w:rPr>
          <w:rFonts w:ascii="Calibri" w:eastAsia="Times New Roman" w:hAnsi="Calibri" w:cs="Times New Roman"/>
          <w:szCs w:val="20"/>
          <w:lang w:val="en-GB" w:bidi="he-IL"/>
        </w:rPr>
        <w:t xml:space="preserve"> Abraham now has to be the decision-maker. Thus</w:t>
      </w:r>
      <w:r w:rsidR="00151A03" w:rsidRPr="00151A03">
        <w:rPr>
          <w:rFonts w:ascii="Calibri" w:eastAsia="Times New Roman" w:hAnsi="Calibri" w:cs="Times New Roman"/>
          <w:szCs w:val="20"/>
          <w:lang w:val="en-GB" w:bidi="he-IL"/>
        </w:rPr>
        <w:t xml:space="preserve"> “human agency plays a real role” in the restoring of hum</w:t>
      </w:r>
      <w:r w:rsidR="00793330">
        <w:rPr>
          <w:rFonts w:ascii="Calibri" w:eastAsia="Times New Roman" w:hAnsi="Calibri" w:cs="Times New Roman"/>
          <w:szCs w:val="20"/>
          <w:lang w:val="en-GB" w:bidi="he-IL"/>
        </w:rPr>
        <w:t xml:space="preserve">anity, </w:t>
      </w:r>
      <w:r w:rsidR="009D5325">
        <w:rPr>
          <w:rFonts w:ascii="Calibri" w:eastAsia="Times New Roman" w:hAnsi="Calibri" w:cs="Times New Roman"/>
          <w:szCs w:val="20"/>
          <w:lang w:val="en-GB" w:bidi="he-IL"/>
        </w:rPr>
        <w:t>yet human</w:t>
      </w:r>
      <w:r w:rsidR="00793330">
        <w:rPr>
          <w:rFonts w:ascii="Calibri" w:eastAsia="Times New Roman" w:hAnsi="Calibri" w:cs="Times New Roman"/>
          <w:szCs w:val="20"/>
          <w:lang w:val="en-GB" w:bidi="he-IL"/>
        </w:rPr>
        <w:t xml:space="preserve"> initiative plays less</w:t>
      </w:r>
      <w:r w:rsidR="00151A03" w:rsidRPr="00151A03">
        <w:rPr>
          <w:rFonts w:ascii="Calibri" w:eastAsia="Times New Roman" w:hAnsi="Calibri" w:cs="Times New Roman"/>
          <w:szCs w:val="20"/>
          <w:lang w:val="en-GB" w:bidi="he-IL"/>
        </w:rPr>
        <w:t>; Abraham’s action is “responsive, not originative.”</w:t>
      </w:r>
      <w:r w:rsidR="00151A03" w:rsidRPr="00151A03">
        <w:rPr>
          <w:rFonts w:ascii="Calibri" w:eastAsia="Times New Roman" w:hAnsi="Calibri" w:cs="Times New Roman"/>
          <w:szCs w:val="20"/>
          <w:vertAlign w:val="superscript"/>
          <w:lang w:val="en-GB" w:bidi="he-IL"/>
        </w:rPr>
        <w:footnoteReference w:id="42"/>
      </w:r>
      <w:r w:rsidR="00151A03" w:rsidRPr="00151A03">
        <w:rPr>
          <w:rFonts w:ascii="Calibri" w:eastAsia="Times New Roman" w:hAnsi="Calibri" w:cs="Times New Roman"/>
          <w:szCs w:val="20"/>
          <w:lang w:val="en-GB" w:bidi="he-IL"/>
        </w:rPr>
        <w:t xml:space="preserve"> And in order to</w:t>
      </w:r>
      <w:r w:rsidR="00151A03" w:rsidRPr="00151A03">
        <w:rPr>
          <w:rFonts w:ascii="Calibri" w:eastAsia="Times New Roman" w:hAnsi="Calibri" w:cs="Times New Roman"/>
          <w:szCs w:val="20"/>
          <w:lang w:bidi="he-IL"/>
        </w:rPr>
        <w:t xml:space="preserve"> fulfill</w:t>
      </w:r>
      <w:r w:rsidR="00793330">
        <w:rPr>
          <w:rFonts w:ascii="Calibri" w:eastAsia="Times New Roman" w:hAnsi="Calibri" w:cs="Times New Roman"/>
          <w:szCs w:val="20"/>
          <w:lang w:val="en-GB" w:bidi="he-IL"/>
        </w:rPr>
        <w:t xml:space="preserve"> God’s commission, Abraham doesn’</w:t>
      </w:r>
      <w:r w:rsidR="00151A03" w:rsidRPr="00151A03">
        <w:rPr>
          <w:rFonts w:ascii="Calibri" w:eastAsia="Times New Roman" w:hAnsi="Calibri" w:cs="Times New Roman"/>
          <w:szCs w:val="20"/>
          <w:lang w:val="en-GB" w:bidi="he-IL"/>
        </w:rPr>
        <w:t>t have to do anything except go, and let God</w:t>
      </w:r>
      <w:r w:rsidR="00151A03" w:rsidRPr="00151A03">
        <w:rPr>
          <w:rFonts w:ascii="Calibri" w:eastAsia="Times New Roman" w:hAnsi="Calibri" w:cs="Times New Roman"/>
          <w:szCs w:val="20"/>
          <w:lang w:bidi="he-IL"/>
        </w:rPr>
        <w:t xml:space="preserve"> fulfill</w:t>
      </w:r>
      <w:r w:rsidR="009D5325">
        <w:rPr>
          <w:rFonts w:ascii="Calibri" w:eastAsia="Times New Roman" w:hAnsi="Calibri" w:cs="Times New Roman"/>
          <w:szCs w:val="20"/>
          <w:lang w:val="en-GB" w:bidi="he-IL"/>
        </w:rPr>
        <w:t xml:space="preserve"> his promises (h</w:t>
      </w:r>
      <w:r w:rsidR="00151A03" w:rsidRPr="00151A03">
        <w:rPr>
          <w:rFonts w:ascii="Calibri" w:eastAsia="Times New Roman" w:hAnsi="Calibri" w:cs="Times New Roman"/>
          <w:szCs w:val="20"/>
          <w:lang w:val="en-GB" w:bidi="he-IL"/>
        </w:rPr>
        <w:t>e is not responsible for furthering God’s kingdom or bringing it in or extending it or working for it</w:t>
      </w:r>
      <w:r w:rsidR="009D5325">
        <w:rPr>
          <w:rFonts w:ascii="Calibri" w:eastAsia="Times New Roman" w:hAnsi="Calibri" w:cs="Times New Roman"/>
          <w:szCs w:val="20"/>
          <w:lang w:val="en-GB" w:bidi="he-IL"/>
        </w:rPr>
        <w:t>)</w:t>
      </w:r>
      <w:r w:rsidR="00151A03" w:rsidRPr="00151A03">
        <w:rPr>
          <w:rFonts w:ascii="Calibri" w:eastAsia="Times New Roman" w:hAnsi="Calibri" w:cs="Times New Roman"/>
          <w:szCs w:val="20"/>
          <w:lang w:val="en-GB" w:bidi="he-IL"/>
        </w:rPr>
        <w:t>.</w:t>
      </w:r>
      <w:r w:rsidR="00151A03">
        <w:rPr>
          <w:rFonts w:ascii="Calibri" w:eastAsia="Times New Roman" w:hAnsi="Calibri" w:cs="Times New Roman"/>
          <w:szCs w:val="20"/>
          <w:lang w:val="en-GB" w:bidi="he-IL"/>
        </w:rPr>
        <w:t xml:space="preserve"> Meanwhile,</w:t>
      </w:r>
      <w:r w:rsidR="00044304">
        <w:rPr>
          <w:rFonts w:ascii="Calibri" w:eastAsia="Times New Roman" w:hAnsi="Calibri" w:cs="Times New Roman"/>
          <w:szCs w:val="20"/>
          <w:lang w:val="en-GB" w:bidi="he-IL"/>
        </w:rPr>
        <w:t xml:space="preserve"> t</w:t>
      </w:r>
      <w:r w:rsidR="003F0B3C">
        <w:rPr>
          <w:rFonts w:ascii="Calibri" w:eastAsia="Times New Roman" w:hAnsi="Calibri" w:cs="Times New Roman"/>
          <w:szCs w:val="20"/>
          <w:lang w:val="en-GB" w:bidi="he-IL"/>
        </w:rPr>
        <w:t xml:space="preserve">he </w:t>
      </w:r>
      <w:r w:rsidR="00961D5D">
        <w:rPr>
          <w:rFonts w:ascii="Calibri" w:eastAsia="Times New Roman" w:hAnsi="Calibri" w:cs="Times New Roman"/>
          <w:szCs w:val="20"/>
          <w:lang w:val="en-GB" w:bidi="he-IL"/>
        </w:rPr>
        <w:t>rest of the family remain</w:t>
      </w:r>
      <w:r w:rsidR="009D5325">
        <w:rPr>
          <w:rFonts w:ascii="Calibri" w:eastAsia="Times New Roman" w:hAnsi="Calibri" w:cs="Times New Roman"/>
          <w:szCs w:val="20"/>
          <w:lang w:val="en-GB" w:bidi="he-IL"/>
        </w:rPr>
        <w:t xml:space="preserve">s </w:t>
      </w:r>
      <w:r w:rsidR="003F0B3C">
        <w:rPr>
          <w:rFonts w:ascii="Calibri" w:eastAsia="Times New Roman" w:hAnsi="Calibri" w:cs="Times New Roman"/>
          <w:szCs w:val="20"/>
          <w:lang w:val="en-GB" w:bidi="he-IL"/>
        </w:rPr>
        <w:t>esconsed in Harran</w:t>
      </w:r>
      <w:r w:rsidR="009D5325">
        <w:rPr>
          <w:rFonts w:ascii="Calibri" w:eastAsia="Times New Roman" w:hAnsi="Calibri" w:cs="Times New Roman"/>
          <w:szCs w:val="20"/>
          <w:lang w:val="en-GB" w:bidi="he-IL"/>
        </w:rPr>
        <w:t>, as</w:t>
      </w:r>
      <w:r w:rsidR="001D62CC">
        <w:rPr>
          <w:rFonts w:ascii="Calibri" w:eastAsia="Times New Roman" w:hAnsi="Calibri" w:cs="Times New Roman"/>
          <w:szCs w:val="20"/>
          <w:lang w:val="en-GB" w:bidi="he-IL"/>
        </w:rPr>
        <w:t xml:space="preserve"> the</w:t>
      </w:r>
      <w:r w:rsidR="00961D5D">
        <w:rPr>
          <w:rFonts w:ascii="Calibri" w:eastAsia="Times New Roman" w:hAnsi="Calibri" w:cs="Times New Roman"/>
          <w:szCs w:val="20"/>
          <w:lang w:val="en-GB" w:bidi="he-IL"/>
        </w:rPr>
        <w:t>ir</w:t>
      </w:r>
      <w:r w:rsidR="001D62CC">
        <w:rPr>
          <w:rFonts w:ascii="Calibri" w:eastAsia="Times New Roman" w:hAnsi="Calibri" w:cs="Times New Roman"/>
          <w:szCs w:val="20"/>
          <w:lang w:val="en-GB" w:bidi="he-IL"/>
        </w:rPr>
        <w:t xml:space="preserve"> subsequent location</w:t>
      </w:r>
      <w:r w:rsidR="00301BFA">
        <w:rPr>
          <w:rFonts w:ascii="Calibri" w:eastAsia="Times New Roman" w:hAnsi="Calibri" w:cs="Times New Roman"/>
          <w:szCs w:val="20"/>
          <w:lang w:val="en-GB" w:bidi="he-IL"/>
        </w:rPr>
        <w:t xml:space="preserve"> in this area</w:t>
      </w:r>
      <w:r w:rsidR="009D5325">
        <w:rPr>
          <w:rFonts w:ascii="Calibri" w:eastAsia="Times New Roman" w:hAnsi="Calibri" w:cs="Times New Roman"/>
          <w:szCs w:val="20"/>
          <w:lang w:val="en-GB" w:bidi="he-IL"/>
        </w:rPr>
        <w:t xml:space="preserve"> will presuppose</w:t>
      </w:r>
      <w:r w:rsidR="00044304">
        <w:rPr>
          <w:rFonts w:ascii="Calibri" w:eastAsia="Times New Roman" w:hAnsi="Calibri" w:cs="Times New Roman"/>
          <w:szCs w:val="20"/>
          <w:lang w:val="en-GB" w:bidi="he-IL"/>
        </w:rPr>
        <w:t>. W</w:t>
      </w:r>
      <w:r w:rsidR="009D5325">
        <w:rPr>
          <w:rFonts w:ascii="Calibri" w:eastAsia="Times New Roman" w:hAnsi="Calibri" w:cs="Times New Roman"/>
          <w:szCs w:val="20"/>
          <w:lang w:val="en-GB" w:bidi="he-IL"/>
        </w:rPr>
        <w:t>hereas Ur had once been</w:t>
      </w:r>
      <w:r w:rsidR="00961D5D">
        <w:rPr>
          <w:rFonts w:ascii="Calibri" w:eastAsia="Times New Roman" w:hAnsi="Calibri" w:cs="Times New Roman"/>
          <w:szCs w:val="20"/>
          <w:lang w:val="en-GB" w:bidi="he-IL"/>
        </w:rPr>
        <w:t xml:space="preserve"> their</w:t>
      </w:r>
      <w:r w:rsidR="001D62CC">
        <w:rPr>
          <w:rFonts w:ascii="Calibri" w:eastAsia="Times New Roman" w:hAnsi="Calibri" w:cs="Times New Roman"/>
          <w:szCs w:val="20"/>
          <w:lang w:val="en-GB" w:bidi="he-IL"/>
        </w:rPr>
        <w:t xml:space="preserve"> </w:t>
      </w:r>
      <w:r w:rsidR="003D56BA">
        <w:rPr>
          <w:rFonts w:ascii="Calibri" w:eastAsia="Times New Roman" w:hAnsi="Calibri" w:cs="Times New Roman"/>
          <w:szCs w:val="20"/>
          <w:lang w:val="en-GB" w:bidi="he-IL"/>
        </w:rPr>
        <w:t>“</w:t>
      </w:r>
      <w:r w:rsidR="001D62CC">
        <w:rPr>
          <w:rFonts w:ascii="Calibri" w:eastAsia="Times New Roman" w:hAnsi="Calibri" w:cs="Times New Roman"/>
          <w:szCs w:val="20"/>
          <w:lang w:val="en-GB" w:bidi="he-IL"/>
        </w:rPr>
        <w:t>homeland</w:t>
      </w:r>
      <w:r w:rsidR="003D56BA">
        <w:rPr>
          <w:rFonts w:ascii="Calibri" w:eastAsia="Times New Roman" w:hAnsi="Calibri" w:cs="Times New Roman"/>
          <w:szCs w:val="20"/>
          <w:lang w:val="en-GB" w:bidi="he-IL"/>
        </w:rPr>
        <w:t>”</w:t>
      </w:r>
      <w:r w:rsidR="007575E4">
        <w:rPr>
          <w:rFonts w:ascii="Calibri" w:eastAsia="Times New Roman" w:hAnsi="Calibri" w:cs="Times New Roman"/>
          <w:szCs w:val="20"/>
          <w:lang w:val="en-GB" w:bidi="he-IL"/>
        </w:rPr>
        <w:t xml:space="preserve"> (11:28), Harran now is</w:t>
      </w:r>
      <w:r w:rsidR="00961D5D">
        <w:rPr>
          <w:rFonts w:ascii="Calibri" w:eastAsia="Times New Roman" w:hAnsi="Calibri" w:cs="Times New Roman"/>
          <w:szCs w:val="20"/>
          <w:lang w:val="en-GB" w:bidi="he-IL"/>
        </w:rPr>
        <w:t xml:space="preserve"> (</w:t>
      </w:r>
      <w:r w:rsidR="007575E4">
        <w:rPr>
          <w:rFonts w:ascii="Calibri" w:eastAsia="Times New Roman" w:hAnsi="Calibri" w:cs="Times New Roman"/>
          <w:szCs w:val="20"/>
          <w:lang w:val="en-GB" w:bidi="he-IL"/>
        </w:rPr>
        <w:t>24:4, 7)</w:t>
      </w:r>
      <w:r w:rsidR="00044304">
        <w:rPr>
          <w:rFonts w:ascii="Calibri" w:eastAsia="Times New Roman" w:hAnsi="Calibri" w:cs="Times New Roman"/>
          <w:szCs w:val="20"/>
          <w:lang w:val="en-GB" w:bidi="he-IL"/>
        </w:rPr>
        <w:t>, and</w:t>
      </w:r>
      <w:r w:rsidR="00961D5D">
        <w:rPr>
          <w:rFonts w:ascii="Calibri" w:eastAsia="Times New Roman" w:hAnsi="Calibri" w:cs="Times New Roman"/>
          <w:szCs w:val="20"/>
          <w:lang w:val="en-GB" w:bidi="he-IL"/>
        </w:rPr>
        <w:t xml:space="preserve"> it is in Harran that Yahweh speaks to Abraham and sets him on the move. </w:t>
      </w:r>
      <w:r w:rsidR="00250E38">
        <w:rPr>
          <w:rFonts w:ascii="Calibri" w:eastAsia="Times New Roman" w:hAnsi="Calibri" w:cs="Times New Roman"/>
          <w:szCs w:val="20"/>
          <w:lang w:val="en-GB" w:bidi="he-IL"/>
        </w:rPr>
        <w:t>We can then only guess at the relationship between Terah’s decision to take his family to</w:t>
      </w:r>
      <w:r w:rsidR="00044304">
        <w:rPr>
          <w:rFonts w:ascii="Calibri" w:eastAsia="Times New Roman" w:hAnsi="Calibri" w:cs="Times New Roman"/>
          <w:szCs w:val="20"/>
          <w:lang w:val="en-GB" w:bidi="he-IL"/>
        </w:rPr>
        <w:t xml:space="preserve"> Canaan and Yahweh’s bidding </w:t>
      </w:r>
      <w:r w:rsidR="00250E38">
        <w:rPr>
          <w:rFonts w:ascii="Calibri" w:eastAsia="Times New Roman" w:hAnsi="Calibri" w:cs="Times New Roman"/>
          <w:szCs w:val="20"/>
          <w:lang w:val="en-GB" w:bidi="he-IL"/>
        </w:rPr>
        <w:t>Abraham to go there</w:t>
      </w:r>
      <w:r w:rsidR="00854699">
        <w:rPr>
          <w:rFonts w:ascii="Calibri" w:eastAsia="Times New Roman" w:hAnsi="Calibri" w:cs="Times New Roman"/>
          <w:szCs w:val="20"/>
          <w:lang w:val="en-GB" w:bidi="he-IL"/>
        </w:rPr>
        <w:t xml:space="preserve"> (but see 15:7)</w:t>
      </w:r>
      <w:r w:rsidR="00250E38">
        <w:rPr>
          <w:rFonts w:ascii="Calibri" w:eastAsia="Times New Roman" w:hAnsi="Calibri" w:cs="Times New Roman"/>
          <w:szCs w:val="20"/>
          <w:lang w:val="en-GB" w:bidi="he-IL"/>
        </w:rPr>
        <w:t>.</w:t>
      </w:r>
      <w:r w:rsidR="00044304">
        <w:rPr>
          <w:rFonts w:ascii="Calibri" w:eastAsia="Times New Roman" w:hAnsi="Calibri" w:cs="Times New Roman"/>
          <w:szCs w:val="20"/>
          <w:lang w:val="en-GB" w:bidi="he-IL"/>
        </w:rPr>
        <w:t xml:space="preserve"> </w:t>
      </w:r>
      <w:r w:rsidR="001E0D7A" w:rsidRPr="001E0D7A">
        <w:rPr>
          <w:rFonts w:ascii="Calibri" w:eastAsia="Times New Roman" w:hAnsi="Calibri" w:cs="Times New Roman"/>
          <w:szCs w:val="20"/>
          <w:lang w:val="en-GB" w:bidi="he-IL"/>
        </w:rPr>
        <w:t>A</w:t>
      </w:r>
      <w:r w:rsidR="001E0D7A">
        <w:rPr>
          <w:rFonts w:ascii="Calibri" w:eastAsia="Times New Roman" w:hAnsi="Calibri" w:cs="Times New Roman"/>
          <w:szCs w:val="20"/>
          <w:lang w:val="en-GB" w:bidi="he-IL"/>
        </w:rPr>
        <w:t>nd a</w:t>
      </w:r>
      <w:r w:rsidR="009D5325">
        <w:rPr>
          <w:rFonts w:ascii="Calibri" w:eastAsia="Times New Roman" w:hAnsi="Calibri" w:cs="Times New Roman"/>
          <w:szCs w:val="20"/>
          <w:lang w:val="en-GB" w:bidi="he-IL"/>
        </w:rPr>
        <w:t>lthough we know about</w:t>
      </w:r>
      <w:r w:rsidR="001E0D7A" w:rsidRPr="001E0D7A">
        <w:rPr>
          <w:rFonts w:ascii="Calibri" w:eastAsia="Times New Roman" w:hAnsi="Calibri" w:cs="Times New Roman"/>
          <w:szCs w:val="20"/>
          <w:lang w:val="en-GB" w:bidi="he-IL"/>
        </w:rPr>
        <w:t xml:space="preserve"> </w:t>
      </w:r>
      <w:r w:rsidR="009D5325">
        <w:rPr>
          <w:rFonts w:ascii="Calibri" w:eastAsia="Times New Roman" w:hAnsi="Calibri" w:cs="Times New Roman"/>
          <w:szCs w:val="20"/>
          <w:lang w:val="en-GB" w:bidi="he-IL"/>
        </w:rPr>
        <w:t xml:space="preserve">Abraham </w:t>
      </w:r>
      <w:r w:rsidR="00793330">
        <w:rPr>
          <w:rFonts w:ascii="Calibri" w:eastAsia="Times New Roman" w:hAnsi="Calibri" w:cs="Times New Roman"/>
          <w:szCs w:val="20"/>
          <w:lang w:val="en-GB" w:bidi="he-IL"/>
        </w:rPr>
        <w:t>from 11:27-31, we don’</w:t>
      </w:r>
      <w:r w:rsidR="001E0D7A" w:rsidRPr="001E0D7A">
        <w:rPr>
          <w:rFonts w:ascii="Calibri" w:eastAsia="Times New Roman" w:hAnsi="Calibri" w:cs="Times New Roman"/>
          <w:szCs w:val="20"/>
          <w:lang w:val="en-GB" w:bidi="he-IL"/>
        </w:rPr>
        <w:t>t know anything of his character or of any reason why Yahweh should have settled on him.</w:t>
      </w:r>
      <w:r w:rsidR="001E0D7A" w:rsidRPr="001E0D7A">
        <w:rPr>
          <w:rFonts w:ascii="Calibri" w:eastAsia="Times New Roman" w:hAnsi="Calibri" w:cs="Times New Roman"/>
          <w:szCs w:val="20"/>
          <w:vertAlign w:val="superscript"/>
          <w:lang w:val="en-GB" w:bidi="he-IL"/>
        </w:rPr>
        <w:footnoteReference w:id="43"/>
      </w:r>
      <w:r w:rsidR="009D5325">
        <w:rPr>
          <w:rFonts w:ascii="Calibri" w:eastAsia="Times New Roman" w:hAnsi="Calibri" w:cs="Times New Roman"/>
          <w:szCs w:val="20"/>
          <w:lang w:val="en-GB" w:bidi="he-IL"/>
        </w:rPr>
        <w:t xml:space="preserve"> </w:t>
      </w:r>
      <w:r w:rsidR="00185E29" w:rsidRPr="00185E29">
        <w:rPr>
          <w:rFonts w:ascii="Calibri" w:eastAsia="Times New Roman" w:hAnsi="Calibri" w:cs="Times New Roman"/>
          <w:szCs w:val="20"/>
          <w:lang w:bidi="he-IL"/>
        </w:rPr>
        <w:t>God’s “cho</w:t>
      </w:r>
      <w:r w:rsidR="00185E29">
        <w:rPr>
          <w:rFonts w:ascii="Calibri" w:eastAsia="Times New Roman" w:hAnsi="Calibri" w:cs="Times New Roman"/>
          <w:szCs w:val="20"/>
          <w:lang w:bidi="he-IL"/>
        </w:rPr>
        <w:t>osing” or “election” of Abraham</w:t>
      </w:r>
      <w:r w:rsidR="00EA4963">
        <w:rPr>
          <w:rFonts w:ascii="Calibri" w:eastAsia="Times New Roman" w:hAnsi="Calibri" w:cs="Times New Roman"/>
          <w:szCs w:val="20"/>
          <w:lang w:val="en-GB" w:bidi="he-IL"/>
        </w:rPr>
        <w:t xml:space="preserve"> </w:t>
      </w:r>
      <w:r w:rsidR="00185E29">
        <w:rPr>
          <w:rFonts w:ascii="Calibri" w:eastAsia="Times New Roman" w:hAnsi="Calibri" w:cs="Times New Roman"/>
          <w:szCs w:val="20"/>
          <w:lang w:val="en-GB" w:bidi="he-IL"/>
        </w:rPr>
        <w:t>(though Genesis does not use this</w:t>
      </w:r>
      <w:r w:rsidR="00EA4963">
        <w:rPr>
          <w:rFonts w:ascii="Calibri" w:eastAsia="Times New Roman" w:hAnsi="Calibri" w:cs="Times New Roman"/>
          <w:szCs w:val="20"/>
          <w:lang w:val="en-GB" w:bidi="he-IL"/>
        </w:rPr>
        <w:t xml:space="preserve"> word) does not imply </w:t>
      </w:r>
      <w:r w:rsidR="00793330">
        <w:rPr>
          <w:rFonts w:ascii="Calibri" w:eastAsia="Times New Roman" w:hAnsi="Calibri" w:cs="Times New Roman"/>
          <w:szCs w:val="20"/>
          <w:lang w:val="en-GB" w:bidi="he-IL"/>
        </w:rPr>
        <w:t xml:space="preserve">(e.g.) </w:t>
      </w:r>
      <w:r w:rsidR="00F72871">
        <w:rPr>
          <w:rFonts w:ascii="Calibri" w:eastAsia="Times New Roman" w:hAnsi="Calibri" w:cs="Times New Roman"/>
          <w:szCs w:val="20"/>
          <w:lang w:val="en-GB" w:bidi="he-IL"/>
        </w:rPr>
        <w:t xml:space="preserve">ethnic superiority, </w:t>
      </w:r>
      <w:r w:rsidR="00EA4963">
        <w:rPr>
          <w:rFonts w:ascii="Calibri" w:eastAsia="Times New Roman" w:hAnsi="Calibri" w:cs="Times New Roman"/>
          <w:szCs w:val="20"/>
          <w:lang w:val="en-GB" w:bidi="he-IL"/>
        </w:rPr>
        <w:t>as Deut 9:</w:t>
      </w:r>
      <w:r w:rsidR="00F72871">
        <w:rPr>
          <w:rFonts w:ascii="Calibri" w:eastAsia="Times New Roman" w:hAnsi="Calibri" w:cs="Times New Roman"/>
          <w:szCs w:val="20"/>
          <w:lang w:val="en-GB" w:bidi="he-IL"/>
        </w:rPr>
        <w:t>4-6 will make explicit</w:t>
      </w:r>
      <w:r w:rsidR="00185E29">
        <w:rPr>
          <w:rFonts w:ascii="Calibri" w:eastAsia="Times New Roman" w:hAnsi="Calibri" w:cs="Times New Roman"/>
          <w:szCs w:val="20"/>
          <w:lang w:val="en-GB" w:bidi="he-IL"/>
        </w:rPr>
        <w:t>.</w:t>
      </w:r>
      <w:r w:rsidR="00441FF8">
        <w:rPr>
          <w:rFonts w:ascii="Calibri" w:eastAsia="Times New Roman" w:hAnsi="Calibri" w:cs="Times New Roman"/>
          <w:szCs w:val="20"/>
          <w:lang w:val="en-GB" w:bidi="he-IL"/>
        </w:rPr>
        <w:t xml:space="preserve"> And paradoxically, his apparently being the eldest son might seem to disqualify him, whereas the “conspiracy of nature and circumstance” seems to</w:t>
      </w:r>
      <w:r w:rsidR="00441FF8" w:rsidRPr="00793330">
        <w:rPr>
          <w:rFonts w:ascii="Calibri" w:eastAsia="Times New Roman" w:hAnsi="Calibri" w:cs="Times New Roman"/>
          <w:szCs w:val="20"/>
          <w:lang w:bidi="he-IL"/>
        </w:rPr>
        <w:t xml:space="preserve"> favor</w:t>
      </w:r>
      <w:r w:rsidR="00441FF8">
        <w:rPr>
          <w:rFonts w:ascii="Calibri" w:eastAsia="Times New Roman" w:hAnsi="Calibri" w:cs="Times New Roman"/>
          <w:szCs w:val="20"/>
          <w:lang w:val="en-GB" w:bidi="he-IL"/>
        </w:rPr>
        <w:t xml:space="preserve"> Lot (Nahor has been left behind in Ur, Sarai is infertile, and Lot’s father is dead).</w:t>
      </w:r>
      <w:r w:rsidR="00441FF8">
        <w:rPr>
          <w:rStyle w:val="FootnoteReference"/>
          <w:rFonts w:ascii="Calibri" w:eastAsia="Times New Roman" w:hAnsi="Calibri" w:cs="Times New Roman"/>
          <w:szCs w:val="20"/>
          <w:lang w:val="en-GB" w:bidi="he-IL"/>
        </w:rPr>
        <w:footnoteReference w:id="44"/>
      </w:r>
    </w:p>
    <w:p w14:paraId="68445F0D" w14:textId="29B1E2B5" w:rsidR="0057558A" w:rsidRDefault="00441FF8" w:rsidP="0057558A">
      <w:pPr>
        <w:rPr>
          <w:rFonts w:ascii="Calibri" w:eastAsia="Times New Roman" w:hAnsi="Calibri" w:cs="Times New Roman"/>
          <w:szCs w:val="20"/>
          <w:lang w:val="en-GB" w:bidi="he-IL"/>
        </w:rPr>
      </w:pPr>
      <w:r>
        <w:rPr>
          <w:rFonts w:ascii="Calibri" w:eastAsia="Times New Roman" w:hAnsi="Calibri" w:cs="Times New Roman"/>
          <w:szCs w:val="20"/>
          <w:lang w:val="en-GB" w:bidi="he-IL"/>
        </w:rPr>
        <w:t>But</w:t>
      </w:r>
      <w:r w:rsidR="00DE67B2">
        <w:rPr>
          <w:rFonts w:ascii="Calibri" w:eastAsia="Times New Roman" w:hAnsi="Calibri" w:cs="Times New Roman"/>
          <w:szCs w:val="20"/>
          <w:lang w:val="en-GB" w:bidi="he-IL"/>
        </w:rPr>
        <w:t xml:space="preserve"> </w:t>
      </w:r>
      <w:r w:rsidR="005463C7">
        <w:rPr>
          <w:rFonts w:ascii="Calibri" w:eastAsia="Times New Roman" w:hAnsi="Calibri" w:cs="Times New Roman"/>
          <w:szCs w:val="20"/>
          <w:lang w:val="en-GB" w:bidi="he-IL"/>
        </w:rPr>
        <w:t xml:space="preserve">Yahweh tells Abraham what he is </w:t>
      </w:r>
      <w:r w:rsidR="001E0D7A">
        <w:rPr>
          <w:rFonts w:ascii="Calibri" w:eastAsia="Times New Roman" w:hAnsi="Calibri" w:cs="Times New Roman"/>
          <w:szCs w:val="20"/>
          <w:lang w:val="en-GB" w:bidi="he-IL"/>
        </w:rPr>
        <w:t>now to do</w:t>
      </w:r>
      <w:r w:rsidR="005463C7">
        <w:rPr>
          <w:rFonts w:ascii="Calibri" w:eastAsia="Times New Roman" w:hAnsi="Calibri" w:cs="Times New Roman"/>
          <w:szCs w:val="20"/>
          <w:lang w:val="en-GB" w:bidi="he-IL"/>
        </w:rPr>
        <w:t xml:space="preserve">. </w:t>
      </w:r>
      <w:r w:rsidR="0057558A" w:rsidRPr="0057558A">
        <w:rPr>
          <w:rFonts w:ascii="Calibri" w:eastAsia="Times New Roman" w:hAnsi="Calibri" w:cs="Times New Roman"/>
          <w:szCs w:val="20"/>
          <w:lang w:val="en-GB" w:bidi="he-IL"/>
        </w:rPr>
        <w:t>It’s conventional to refer to the “call” of Abraham; the expression comes in Isa 51:2 and Heb 11:8, though not here. If it is a call it is a peremptory one, like Paul’s call to be an apostle (Rom 1:1; 1 Cor 1:1)</w:t>
      </w:r>
      <w:r w:rsidR="00793330">
        <w:rPr>
          <w:rFonts w:ascii="Calibri" w:eastAsia="Times New Roman" w:hAnsi="Calibri" w:cs="Times New Roman"/>
          <w:szCs w:val="20"/>
          <w:lang w:val="en-GB" w:bidi="he-IL"/>
        </w:rPr>
        <w:t>,</w:t>
      </w:r>
      <w:r w:rsidR="0057558A" w:rsidRPr="0057558A">
        <w:rPr>
          <w:rFonts w:ascii="Calibri" w:eastAsia="Times New Roman" w:hAnsi="Calibri" w:cs="Times New Roman"/>
          <w:szCs w:val="20"/>
          <w:lang w:val="en-GB" w:bidi="he-IL"/>
        </w:rPr>
        <w:t xml:space="preserve"> which involved blinding him and throwing him off his horse. God’s call is more a summons</w:t>
      </w:r>
      <w:r>
        <w:rPr>
          <w:rFonts w:ascii="Calibri" w:eastAsia="Times New Roman" w:hAnsi="Calibri" w:cs="Times New Roman"/>
          <w:szCs w:val="20"/>
          <w:lang w:val="en-GB" w:bidi="he-IL"/>
        </w:rPr>
        <w:t>. It</w:t>
      </w:r>
      <w:r w:rsidR="0057558A" w:rsidRPr="0057558A">
        <w:rPr>
          <w:rFonts w:ascii="Calibri" w:eastAsia="Times New Roman" w:hAnsi="Calibri" w:cs="Times New Roman"/>
          <w:szCs w:val="20"/>
          <w:lang w:val="en-GB" w:bidi="he-IL"/>
        </w:rPr>
        <w:t xml:space="preserve"> means God telling someone what to do, like a master his servant. It’s not an invitation. It may involve hating father and the rest of one’s family (Luke 14:26).</w:t>
      </w:r>
      <w:r w:rsidR="0057558A" w:rsidRPr="0057558A">
        <w:rPr>
          <w:rFonts w:ascii="Calibri" w:eastAsia="Times New Roman" w:hAnsi="Calibri" w:cs="Times New Roman"/>
          <w:szCs w:val="20"/>
          <w:vertAlign w:val="superscript"/>
          <w:lang w:val="en-GB" w:bidi="he-IL"/>
        </w:rPr>
        <w:footnoteReference w:id="45"/>
      </w:r>
      <w:r w:rsidR="0057558A" w:rsidRPr="0057558A">
        <w:rPr>
          <w:rFonts w:ascii="Calibri" w:eastAsia="Times New Roman" w:hAnsi="Calibri" w:cs="Times New Roman"/>
          <w:szCs w:val="20"/>
          <w:lang w:val="en-GB" w:bidi="he-IL"/>
        </w:rPr>
        <w:t xml:space="preserve"> </w:t>
      </w:r>
      <w:r w:rsidR="00793330">
        <w:rPr>
          <w:rFonts w:ascii="Calibri" w:eastAsia="Times New Roman" w:hAnsi="Calibri" w:cs="Times New Roman"/>
          <w:szCs w:val="20"/>
          <w:lang w:val="en-GB" w:bidi="he-IL"/>
        </w:rPr>
        <w:t>This</w:t>
      </w:r>
      <w:r w:rsidR="005463C7">
        <w:rPr>
          <w:rFonts w:ascii="Calibri" w:eastAsia="Times New Roman" w:hAnsi="Calibri" w:cs="Times New Roman"/>
          <w:szCs w:val="20"/>
          <w:lang w:val="en-GB" w:bidi="he-IL"/>
        </w:rPr>
        <w:t xml:space="preserve"> </w:t>
      </w:r>
      <w:r w:rsidR="003D56BA">
        <w:rPr>
          <w:rFonts w:ascii="Calibri" w:eastAsia="Times New Roman" w:hAnsi="Calibri" w:cs="Times New Roman"/>
          <w:szCs w:val="20"/>
          <w:lang w:val="en-GB" w:bidi="he-IL"/>
        </w:rPr>
        <w:t>“</w:t>
      </w:r>
      <w:r w:rsidR="005463C7">
        <w:rPr>
          <w:rFonts w:ascii="Calibri" w:eastAsia="Times New Roman" w:hAnsi="Calibri" w:cs="Times New Roman"/>
          <w:szCs w:val="20"/>
          <w:lang w:val="en-GB" w:bidi="he-IL"/>
        </w:rPr>
        <w:t>Yahweh said</w:t>
      </w:r>
      <w:r w:rsidR="003D56BA">
        <w:rPr>
          <w:rFonts w:ascii="Calibri" w:eastAsia="Times New Roman" w:hAnsi="Calibri" w:cs="Times New Roman"/>
          <w:szCs w:val="20"/>
          <w:lang w:val="en-GB" w:bidi="he-IL"/>
        </w:rPr>
        <w:t>”</w:t>
      </w:r>
      <w:r w:rsidR="00793330">
        <w:rPr>
          <w:rFonts w:ascii="Calibri" w:eastAsia="Times New Roman" w:hAnsi="Calibri" w:cs="Times New Roman"/>
          <w:szCs w:val="20"/>
          <w:lang w:val="en-GB" w:bidi="he-IL"/>
        </w:rPr>
        <w:t xml:space="preserve"> resembles</w:t>
      </w:r>
      <w:r w:rsidR="00753184">
        <w:rPr>
          <w:rFonts w:ascii="Calibri" w:eastAsia="Times New Roman" w:hAnsi="Calibri" w:cs="Times New Roman"/>
          <w:szCs w:val="20"/>
          <w:lang w:val="en-GB" w:bidi="he-IL"/>
        </w:rPr>
        <w:t xml:space="preserve"> the one that tells Cain to master wrongdoing or tells Noah to get into his container ship. </w:t>
      </w:r>
      <w:r w:rsidR="00DE67B2">
        <w:rPr>
          <w:rFonts w:ascii="Calibri" w:eastAsia="Times New Roman" w:hAnsi="Calibri" w:cs="Times New Roman"/>
          <w:szCs w:val="20"/>
          <w:lang w:val="en-GB" w:bidi="he-IL"/>
        </w:rPr>
        <w:t xml:space="preserve">It’s irrational and demanding like Yahweh’s original command to Adam and Eve. </w:t>
      </w:r>
      <w:r>
        <w:rPr>
          <w:rFonts w:ascii="Calibri" w:eastAsia="Times New Roman" w:hAnsi="Calibri" w:cs="Times New Roman"/>
          <w:szCs w:val="20"/>
          <w:lang w:val="en-GB" w:bidi="he-IL"/>
        </w:rPr>
        <w:t>Yahweh</w:t>
      </w:r>
      <w:r w:rsidR="00753184">
        <w:rPr>
          <w:rFonts w:ascii="Calibri" w:eastAsia="Times New Roman" w:hAnsi="Calibri" w:cs="Times New Roman"/>
          <w:szCs w:val="20"/>
          <w:lang w:val="en-GB" w:bidi="he-IL"/>
        </w:rPr>
        <w:t xml:space="preserve"> </w:t>
      </w:r>
      <w:r>
        <w:rPr>
          <w:rFonts w:ascii="Calibri" w:eastAsia="Times New Roman" w:hAnsi="Calibri" w:cs="Times New Roman"/>
          <w:szCs w:val="20"/>
          <w:lang w:val="en-GB" w:bidi="he-IL"/>
        </w:rPr>
        <w:t>is not suggesting that Abraham might like to</w:t>
      </w:r>
      <w:r w:rsidR="00753184">
        <w:rPr>
          <w:rFonts w:ascii="Calibri" w:eastAsia="Times New Roman" w:hAnsi="Calibri" w:cs="Times New Roman"/>
          <w:szCs w:val="20"/>
          <w:lang w:val="en-GB" w:bidi="he-IL"/>
        </w:rPr>
        <w:t xml:space="preserve"> think about a possible relocation or a possible vocation. </w:t>
      </w:r>
      <w:r>
        <w:rPr>
          <w:rFonts w:ascii="Calibri" w:eastAsia="Times New Roman" w:hAnsi="Calibri" w:cs="Times New Roman"/>
          <w:szCs w:val="20"/>
          <w:lang w:val="en-GB" w:bidi="he-IL"/>
        </w:rPr>
        <w:lastRenderedPageBreak/>
        <w:t>He’s</w:t>
      </w:r>
      <w:r w:rsidR="00793330">
        <w:rPr>
          <w:rFonts w:ascii="Calibri" w:eastAsia="Times New Roman" w:hAnsi="Calibri" w:cs="Times New Roman"/>
          <w:szCs w:val="20"/>
          <w:lang w:val="en-GB" w:bidi="he-IL"/>
        </w:rPr>
        <w:t xml:space="preserve"> </w:t>
      </w:r>
      <w:r>
        <w:rPr>
          <w:rFonts w:ascii="Calibri" w:eastAsia="Times New Roman" w:hAnsi="Calibri" w:cs="Times New Roman"/>
          <w:szCs w:val="20"/>
          <w:lang w:val="en-GB" w:bidi="he-IL"/>
        </w:rPr>
        <w:t>giving an order</w:t>
      </w:r>
      <w:r w:rsidR="00DE67B2">
        <w:rPr>
          <w:rFonts w:ascii="Calibri" w:eastAsia="Times New Roman" w:hAnsi="Calibri" w:cs="Times New Roman"/>
          <w:szCs w:val="20"/>
          <w:lang w:val="en-GB" w:bidi="he-IL"/>
        </w:rPr>
        <w:t xml:space="preserve">. </w:t>
      </w:r>
      <w:r w:rsidR="00793330">
        <w:rPr>
          <w:rFonts w:ascii="Calibri" w:eastAsia="Times New Roman" w:hAnsi="Calibri" w:cs="Times New Roman"/>
          <w:szCs w:val="20"/>
          <w:lang w:val="en-GB" w:bidi="he-IL"/>
        </w:rPr>
        <w:t>And it’</w:t>
      </w:r>
      <w:r w:rsidR="00753184">
        <w:rPr>
          <w:rFonts w:ascii="Calibri" w:eastAsia="Times New Roman" w:hAnsi="Calibri" w:cs="Times New Roman"/>
          <w:szCs w:val="20"/>
          <w:lang w:val="en-GB" w:bidi="he-IL"/>
        </w:rPr>
        <w:t>s devastating in its negativity. Yahweh piles up the sacrifice he is demanding: your country; not only your country but your homeland; not only your homeland but your family.</w:t>
      </w:r>
      <w:r w:rsidR="00B7479A">
        <w:rPr>
          <w:rStyle w:val="FootnoteReference"/>
          <w:rFonts w:ascii="Calibri" w:eastAsia="Times New Roman" w:hAnsi="Calibri" w:cs="Times New Roman"/>
          <w:szCs w:val="20"/>
          <w:lang w:val="en-GB" w:bidi="he-IL"/>
        </w:rPr>
        <w:footnoteReference w:id="46"/>
      </w:r>
      <w:r w:rsidR="00753184">
        <w:rPr>
          <w:rFonts w:ascii="Calibri" w:eastAsia="Times New Roman" w:hAnsi="Calibri" w:cs="Times New Roman"/>
          <w:szCs w:val="20"/>
          <w:lang w:val="en-GB" w:bidi="he-IL"/>
        </w:rPr>
        <w:t xml:space="preserve"> </w:t>
      </w:r>
      <w:r w:rsidR="00302308">
        <w:rPr>
          <w:rFonts w:ascii="Calibri" w:eastAsia="Times New Roman" w:hAnsi="Calibri" w:cs="Times New Roman"/>
          <w:szCs w:val="20"/>
          <w:lang w:val="en-GB" w:bidi="he-IL"/>
        </w:rPr>
        <w:t>The words</w:t>
      </w:r>
      <w:r>
        <w:rPr>
          <w:rFonts w:ascii="Calibri" w:eastAsia="Times New Roman" w:hAnsi="Calibri" w:cs="Times New Roman"/>
          <w:szCs w:val="20"/>
          <w:lang w:val="en-GB" w:bidi="he-IL"/>
        </w:rPr>
        <w:t xml:space="preserve">’ overlapping reference </w:t>
      </w:r>
      <w:r w:rsidR="00302308">
        <w:rPr>
          <w:rFonts w:ascii="Calibri" w:eastAsia="Times New Roman" w:hAnsi="Calibri" w:cs="Times New Roman"/>
          <w:szCs w:val="20"/>
          <w:lang w:val="en-GB" w:bidi="he-IL"/>
        </w:rPr>
        <w:t>adds to their impact.</w:t>
      </w:r>
      <w:r w:rsidR="00CD0A4E">
        <w:rPr>
          <w:rFonts w:ascii="Calibri" w:eastAsia="Times New Roman" w:hAnsi="Calibri" w:cs="Times New Roman"/>
          <w:szCs w:val="20"/>
          <w:lang w:val="en-GB" w:bidi="he-IL"/>
        </w:rPr>
        <w:t xml:space="preserve"> </w:t>
      </w:r>
      <w:r w:rsidR="001E0D7A">
        <w:rPr>
          <w:rFonts w:ascii="Calibri" w:eastAsia="Times New Roman" w:hAnsi="Calibri" w:cs="Times New Roman"/>
          <w:szCs w:val="20"/>
          <w:lang w:val="en-GB" w:bidi="he-IL"/>
        </w:rPr>
        <w:t>They recall the comment that a man abandon</w:t>
      </w:r>
      <w:r w:rsidR="003534A4">
        <w:rPr>
          <w:rFonts w:ascii="Calibri" w:eastAsia="Times New Roman" w:hAnsi="Calibri" w:cs="Times New Roman"/>
          <w:szCs w:val="20"/>
          <w:lang w:val="en-GB" w:bidi="he-IL"/>
        </w:rPr>
        <w:t xml:space="preserve">s his father and mother (2:24). </w:t>
      </w:r>
      <w:r>
        <w:rPr>
          <w:rFonts w:ascii="Calibri" w:eastAsia="Times New Roman" w:hAnsi="Calibri" w:cs="Times New Roman"/>
          <w:szCs w:val="20"/>
          <w:lang w:val="en-GB" w:bidi="he-IL"/>
        </w:rPr>
        <w:t>Yahweh’s</w:t>
      </w:r>
      <w:r w:rsidR="00AB5B2C" w:rsidRPr="00AB5B2C">
        <w:rPr>
          <w:rFonts w:ascii="Calibri" w:eastAsia="Times New Roman" w:hAnsi="Calibri" w:cs="Times New Roman"/>
          <w:szCs w:val="20"/>
          <w:lang w:val="en-GB" w:bidi="he-IL"/>
        </w:rPr>
        <w:t xml:space="preserve"> commission is </w:t>
      </w:r>
      <w:r w:rsidR="00AB5B2C">
        <w:rPr>
          <w:rFonts w:ascii="Calibri" w:eastAsia="Times New Roman" w:hAnsi="Calibri" w:cs="Times New Roman"/>
          <w:szCs w:val="20"/>
          <w:lang w:val="en-GB" w:bidi="he-IL"/>
        </w:rPr>
        <w:t>thus</w:t>
      </w:r>
      <w:r w:rsidR="00AB5B2C" w:rsidRPr="00AB5B2C">
        <w:rPr>
          <w:rFonts w:ascii="Calibri" w:eastAsia="Times New Roman" w:hAnsi="Calibri" w:cs="Times New Roman"/>
          <w:szCs w:val="20"/>
          <w:lang w:val="en-GB" w:bidi="he-IL"/>
        </w:rPr>
        <w:t xml:space="preserve"> demanding. Home is safe and protected. Leaving home means abandoning that security.</w:t>
      </w:r>
      <w:r w:rsidR="00AB5B2C" w:rsidRPr="00AB5B2C">
        <w:rPr>
          <w:rFonts w:ascii="Calibri" w:eastAsia="Times New Roman" w:hAnsi="Calibri" w:cs="Times New Roman"/>
          <w:szCs w:val="20"/>
          <w:vertAlign w:val="superscript"/>
          <w:lang w:val="en-GB" w:bidi="he-IL"/>
        </w:rPr>
        <w:footnoteReference w:id="47"/>
      </w:r>
      <w:r w:rsidR="00AB5B2C" w:rsidRPr="00AB5B2C">
        <w:rPr>
          <w:rFonts w:ascii="Calibri" w:eastAsia="Times New Roman" w:hAnsi="Calibri" w:cs="Times New Roman"/>
          <w:szCs w:val="20"/>
          <w:lang w:val="en-GB" w:bidi="he-IL"/>
        </w:rPr>
        <w:t xml:space="preserve"> </w:t>
      </w:r>
      <w:r w:rsidR="00AB5B2C">
        <w:rPr>
          <w:rFonts w:ascii="Calibri" w:eastAsia="Times New Roman" w:hAnsi="Calibri" w:cs="Times New Roman"/>
          <w:szCs w:val="20"/>
          <w:lang w:val="en-GB" w:bidi="he-IL"/>
        </w:rPr>
        <w:t>But p</w:t>
      </w:r>
      <w:r w:rsidR="00B1080D">
        <w:rPr>
          <w:rFonts w:ascii="Calibri" w:eastAsia="Times New Roman" w:hAnsi="Calibri" w:cs="Times New Roman"/>
          <w:szCs w:val="20"/>
          <w:lang w:val="en-GB" w:bidi="he-IL"/>
        </w:rPr>
        <w:t xml:space="preserve">recisely because Abraham’s name is </w:t>
      </w:r>
      <w:r w:rsidR="00AB5B2C">
        <w:rPr>
          <w:rFonts w:ascii="Calibri" w:eastAsia="Times New Roman" w:hAnsi="Calibri" w:cs="Times New Roman"/>
          <w:szCs w:val="20"/>
          <w:lang w:val="en-GB" w:bidi="he-IL"/>
        </w:rPr>
        <w:t xml:space="preserve">to be </w:t>
      </w:r>
      <w:r w:rsidR="00B1080D">
        <w:rPr>
          <w:rFonts w:ascii="Calibri" w:eastAsia="Times New Roman" w:hAnsi="Calibri" w:cs="Times New Roman"/>
          <w:szCs w:val="20"/>
          <w:lang w:val="en-GB" w:bidi="he-IL"/>
        </w:rPr>
        <w:t>turned into a name of blessing</w:t>
      </w:r>
      <w:r w:rsidR="00AB5B2C">
        <w:rPr>
          <w:rFonts w:ascii="Calibri" w:eastAsia="Times New Roman" w:hAnsi="Calibri" w:cs="Times New Roman"/>
          <w:szCs w:val="20"/>
          <w:lang w:val="en-GB" w:bidi="he-IL"/>
        </w:rPr>
        <w:t xml:space="preserve"> for all earth’s kin-groups</w:t>
      </w:r>
      <w:r w:rsidR="00B1080D">
        <w:rPr>
          <w:rFonts w:ascii="Calibri" w:eastAsia="Times New Roman" w:hAnsi="Calibri" w:cs="Times New Roman"/>
          <w:szCs w:val="20"/>
          <w:lang w:val="en-GB" w:bidi="he-IL"/>
        </w:rPr>
        <w:t xml:space="preserve">, he has to leave his </w:t>
      </w:r>
      <w:r w:rsidR="001E0D7A">
        <w:rPr>
          <w:rFonts w:ascii="Calibri" w:eastAsia="Times New Roman" w:hAnsi="Calibri" w:cs="Times New Roman"/>
          <w:szCs w:val="20"/>
          <w:lang w:val="en-GB" w:bidi="he-IL"/>
        </w:rPr>
        <w:t xml:space="preserve">own </w:t>
      </w:r>
      <w:r w:rsidR="00B1080D">
        <w:rPr>
          <w:rFonts w:ascii="Calibri" w:eastAsia="Times New Roman" w:hAnsi="Calibri" w:cs="Times New Roman"/>
          <w:szCs w:val="20"/>
          <w:lang w:val="en-GB" w:bidi="he-IL"/>
        </w:rPr>
        <w:t>country, his homeland, and his father’s household.</w:t>
      </w:r>
      <w:r w:rsidR="00B1080D">
        <w:rPr>
          <w:rStyle w:val="FootnoteReference"/>
          <w:rFonts w:ascii="Calibri" w:eastAsia="Times New Roman" w:hAnsi="Calibri" w:cs="Times New Roman"/>
          <w:szCs w:val="20"/>
          <w:lang w:val="en-GB" w:bidi="he-IL"/>
        </w:rPr>
        <w:footnoteReference w:id="48"/>
      </w:r>
      <w:r w:rsidR="00AB5B2C">
        <w:rPr>
          <w:rFonts w:ascii="Calibri" w:eastAsia="Times New Roman" w:hAnsi="Calibri" w:cs="Times New Roman"/>
          <w:szCs w:val="20"/>
          <w:lang w:val="en-GB" w:bidi="he-IL"/>
        </w:rPr>
        <w:t xml:space="preserve"> </w:t>
      </w:r>
    </w:p>
    <w:p w14:paraId="21FF6AEA" w14:textId="77777777" w:rsidR="00AB5B2C" w:rsidRDefault="00A45140" w:rsidP="00DA695A">
      <w:pPr>
        <w:rPr>
          <w:rFonts w:ascii="Calibri" w:eastAsia="Times New Roman" w:hAnsi="Calibri" w:cs="Times New Roman"/>
          <w:szCs w:val="20"/>
          <w:lang w:val="en-GB" w:bidi="he-IL"/>
        </w:rPr>
      </w:pPr>
      <w:r>
        <w:rPr>
          <w:rFonts w:ascii="Calibri" w:eastAsia="Times New Roman" w:hAnsi="Calibri" w:cs="Times New Roman"/>
          <w:szCs w:val="20"/>
          <w:lang w:val="en-GB" w:bidi="he-IL"/>
        </w:rPr>
        <w:t>T</w:t>
      </w:r>
      <w:r w:rsidR="00A47C25">
        <w:rPr>
          <w:rFonts w:ascii="Calibri" w:eastAsia="Times New Roman" w:hAnsi="Calibri" w:cs="Times New Roman"/>
          <w:szCs w:val="20"/>
          <w:lang w:val="en-GB" w:bidi="he-IL"/>
        </w:rPr>
        <w:t xml:space="preserve">he only information he gets about where he is going </w:t>
      </w:r>
      <w:r>
        <w:rPr>
          <w:rFonts w:ascii="Calibri" w:eastAsia="Times New Roman" w:hAnsi="Calibri" w:cs="Times New Roman"/>
          <w:szCs w:val="20"/>
          <w:lang w:val="en-GB" w:bidi="he-IL"/>
        </w:rPr>
        <w:t>(vv. 1b-2) is that it’</w:t>
      </w:r>
      <w:r w:rsidR="00A47C25">
        <w:rPr>
          <w:rFonts w:ascii="Calibri" w:eastAsia="Times New Roman" w:hAnsi="Calibri" w:cs="Times New Roman"/>
          <w:szCs w:val="20"/>
          <w:lang w:val="en-GB" w:bidi="he-IL"/>
        </w:rPr>
        <w:t>s a country that Yahweh will enable him to see</w:t>
      </w:r>
      <w:r w:rsidR="00BF0F83">
        <w:rPr>
          <w:rFonts w:ascii="Calibri" w:eastAsia="Times New Roman" w:hAnsi="Calibri" w:cs="Times New Roman"/>
          <w:szCs w:val="20"/>
          <w:lang w:val="en-GB" w:bidi="he-IL"/>
        </w:rPr>
        <w:t xml:space="preserve"> in due course. Oh, thanks! It’</w:t>
      </w:r>
      <w:r w:rsidR="00A47C25">
        <w:rPr>
          <w:rFonts w:ascii="Calibri" w:eastAsia="Times New Roman" w:hAnsi="Calibri" w:cs="Times New Roman"/>
          <w:szCs w:val="20"/>
          <w:lang w:val="en-GB" w:bidi="he-IL"/>
        </w:rPr>
        <w:t xml:space="preserve">s another hint that </w:t>
      </w:r>
      <w:r w:rsidR="00BF0F83">
        <w:rPr>
          <w:rFonts w:ascii="Calibri" w:eastAsia="Times New Roman" w:hAnsi="Calibri" w:cs="Times New Roman"/>
          <w:szCs w:val="20"/>
          <w:lang w:val="en-GB" w:bidi="he-IL"/>
        </w:rPr>
        <w:t xml:space="preserve">while </w:t>
      </w:r>
      <w:r w:rsidR="00AB5B2C">
        <w:rPr>
          <w:rFonts w:ascii="Calibri" w:eastAsia="Times New Roman" w:hAnsi="Calibri" w:cs="Times New Roman"/>
          <w:szCs w:val="20"/>
          <w:lang w:val="en-GB" w:bidi="he-IL"/>
        </w:rPr>
        <w:t>the narrator knows</w:t>
      </w:r>
      <w:r w:rsidR="00A47C25">
        <w:rPr>
          <w:rFonts w:ascii="Calibri" w:eastAsia="Times New Roman" w:hAnsi="Calibri" w:cs="Times New Roman"/>
          <w:szCs w:val="20"/>
          <w:lang w:val="en-GB" w:bidi="he-IL"/>
        </w:rPr>
        <w:t xml:space="preserve"> that the fam</w:t>
      </w:r>
      <w:r w:rsidR="00AB5B2C">
        <w:rPr>
          <w:rFonts w:ascii="Calibri" w:eastAsia="Times New Roman" w:hAnsi="Calibri" w:cs="Times New Roman"/>
          <w:szCs w:val="20"/>
          <w:lang w:val="en-GB" w:bidi="he-IL"/>
        </w:rPr>
        <w:t>ily is</w:t>
      </w:r>
      <w:r w:rsidR="00BF0F83">
        <w:rPr>
          <w:rFonts w:ascii="Calibri" w:eastAsia="Times New Roman" w:hAnsi="Calibri" w:cs="Times New Roman"/>
          <w:szCs w:val="20"/>
          <w:lang w:val="en-GB" w:bidi="he-IL"/>
        </w:rPr>
        <w:t xml:space="preserve"> on their way to Canaan (11:31), </w:t>
      </w:r>
      <w:r w:rsidR="00A47C25">
        <w:rPr>
          <w:rFonts w:ascii="Calibri" w:eastAsia="Times New Roman" w:hAnsi="Calibri" w:cs="Times New Roman"/>
          <w:szCs w:val="20"/>
          <w:lang w:val="en-GB" w:bidi="he-IL"/>
        </w:rPr>
        <w:t>no one else did</w:t>
      </w:r>
      <w:r w:rsidR="00BF0F83">
        <w:rPr>
          <w:rFonts w:ascii="Calibri" w:eastAsia="Times New Roman" w:hAnsi="Calibri" w:cs="Times New Roman"/>
          <w:szCs w:val="20"/>
          <w:lang w:val="en-GB" w:bidi="he-IL"/>
        </w:rPr>
        <w:t xml:space="preserve">, when they left Ur or when they left Harran. </w:t>
      </w:r>
      <w:r w:rsidR="00A47C25">
        <w:rPr>
          <w:rFonts w:ascii="Calibri" w:eastAsia="Times New Roman" w:hAnsi="Calibri" w:cs="Times New Roman"/>
          <w:szCs w:val="20"/>
          <w:lang w:val="en-GB" w:bidi="he-IL"/>
        </w:rPr>
        <w:t xml:space="preserve">Abraham leaves not knowing where he </w:t>
      </w:r>
      <w:r>
        <w:rPr>
          <w:rFonts w:ascii="Calibri" w:eastAsia="Times New Roman" w:hAnsi="Calibri" w:cs="Times New Roman"/>
          <w:szCs w:val="20"/>
          <w:lang w:val="en-GB" w:bidi="he-IL"/>
        </w:rPr>
        <w:t xml:space="preserve">is going (Heb 11:8). </w:t>
      </w:r>
      <w:r w:rsidR="006B464D">
        <w:rPr>
          <w:rFonts w:ascii="Calibri" w:eastAsia="Times New Roman" w:hAnsi="Calibri" w:cs="Times New Roman"/>
          <w:szCs w:val="20"/>
          <w:lang w:val="en-GB" w:bidi="he-IL"/>
        </w:rPr>
        <w:t>People listening to the story who collude with the narrator, too, live in suspense for a verse or three</w:t>
      </w:r>
      <w:r w:rsidR="00BF0F83">
        <w:rPr>
          <w:rFonts w:ascii="Calibri" w:eastAsia="Times New Roman" w:hAnsi="Calibri" w:cs="Times New Roman"/>
          <w:szCs w:val="20"/>
          <w:lang w:val="en-GB" w:bidi="he-IL"/>
        </w:rPr>
        <w:t xml:space="preserve"> about where the journey will take him</w:t>
      </w:r>
      <w:r w:rsidR="006B464D">
        <w:rPr>
          <w:rFonts w:ascii="Calibri" w:eastAsia="Times New Roman" w:hAnsi="Calibri" w:cs="Times New Roman"/>
          <w:szCs w:val="20"/>
          <w:lang w:val="en-GB" w:bidi="he-IL"/>
        </w:rPr>
        <w:t>.</w:t>
      </w:r>
      <w:r w:rsidR="00CE1FCC">
        <w:rPr>
          <w:rStyle w:val="FootnoteReference"/>
          <w:rFonts w:ascii="Calibri" w:eastAsia="Times New Roman" w:hAnsi="Calibri" w:cs="Times New Roman"/>
          <w:szCs w:val="20"/>
          <w:lang w:val="en-GB" w:bidi="he-IL"/>
        </w:rPr>
        <w:footnoteReference w:id="49"/>
      </w:r>
      <w:r w:rsidR="00221510">
        <w:rPr>
          <w:rFonts w:ascii="Calibri" w:eastAsia="Times New Roman" w:hAnsi="Calibri" w:cs="Times New Roman"/>
          <w:szCs w:val="20"/>
          <w:lang w:val="en-GB" w:bidi="he-IL"/>
        </w:rPr>
        <w:t xml:space="preserve"> </w:t>
      </w:r>
    </w:p>
    <w:p w14:paraId="5EB549C7" w14:textId="01166067" w:rsidR="00302308" w:rsidRPr="0013008C" w:rsidRDefault="00221510" w:rsidP="00DA695A">
      <w:pPr>
        <w:rPr>
          <w:rFonts w:ascii="Calibri" w:eastAsia="Times New Roman" w:hAnsi="Calibri" w:cs="Times New Roman"/>
          <w:szCs w:val="20"/>
          <w:lang w:bidi="he-IL"/>
        </w:rPr>
      </w:pPr>
      <w:r>
        <w:rPr>
          <w:rFonts w:ascii="Calibri" w:eastAsia="Times New Roman" w:hAnsi="Calibri" w:cs="Times New Roman"/>
          <w:szCs w:val="20"/>
          <w:lang w:val="en-GB" w:bidi="he-IL"/>
        </w:rPr>
        <w:t>God gives</w:t>
      </w:r>
      <w:r w:rsidR="00441FF8">
        <w:rPr>
          <w:rFonts w:ascii="Calibri" w:eastAsia="Times New Roman" w:hAnsi="Calibri" w:cs="Times New Roman"/>
          <w:szCs w:val="20"/>
          <w:lang w:val="en-GB" w:bidi="he-IL"/>
        </w:rPr>
        <w:t xml:space="preserve"> Abraham no inducements in terms</w:t>
      </w:r>
      <w:r>
        <w:rPr>
          <w:rFonts w:ascii="Calibri" w:eastAsia="Times New Roman" w:hAnsi="Calibri" w:cs="Times New Roman"/>
          <w:szCs w:val="20"/>
          <w:lang w:val="en-GB" w:bidi="he-IL"/>
        </w:rPr>
        <w:t xml:space="preserve"> of a land flowing with milk and honey.</w:t>
      </w:r>
      <w:r>
        <w:rPr>
          <w:rStyle w:val="FootnoteReference"/>
          <w:rFonts w:ascii="Calibri" w:eastAsia="Times New Roman" w:hAnsi="Calibri" w:cs="Times New Roman"/>
          <w:szCs w:val="20"/>
          <w:lang w:val="en-GB" w:bidi="he-IL"/>
        </w:rPr>
        <w:footnoteReference w:id="50"/>
      </w:r>
      <w:r>
        <w:rPr>
          <w:rFonts w:ascii="Calibri" w:eastAsia="Times New Roman" w:hAnsi="Calibri" w:cs="Times New Roman"/>
          <w:szCs w:val="20"/>
          <w:lang w:val="en-GB" w:bidi="he-IL"/>
        </w:rPr>
        <w:t xml:space="preserve"> </w:t>
      </w:r>
      <w:r w:rsidR="00AB5B2C">
        <w:rPr>
          <w:rFonts w:ascii="Calibri" w:eastAsia="Times New Roman" w:hAnsi="Calibri" w:cs="Times New Roman"/>
          <w:szCs w:val="20"/>
          <w:lang w:val="en-GB" w:bidi="he-IL"/>
        </w:rPr>
        <w:t>But Abraham</w:t>
      </w:r>
      <w:r w:rsidR="00A45140">
        <w:rPr>
          <w:rFonts w:ascii="Calibri" w:eastAsia="Times New Roman" w:hAnsi="Calibri" w:cs="Times New Roman"/>
          <w:szCs w:val="20"/>
          <w:lang w:val="en-GB" w:bidi="he-IL"/>
        </w:rPr>
        <w:t xml:space="preserve"> goes with promises from Yahweh. The first is that he will become a big nation. </w:t>
      </w:r>
      <w:r w:rsidR="00AB5B2C">
        <w:rPr>
          <w:rFonts w:ascii="Calibri" w:eastAsia="Times New Roman" w:hAnsi="Calibri" w:cs="Times New Roman"/>
          <w:szCs w:val="20"/>
          <w:lang w:val="en-GB" w:bidi="he-IL"/>
        </w:rPr>
        <w:t>It’</w:t>
      </w:r>
      <w:r w:rsidR="006C7DBA">
        <w:rPr>
          <w:rFonts w:ascii="Calibri" w:eastAsia="Times New Roman" w:hAnsi="Calibri" w:cs="Times New Roman"/>
          <w:szCs w:val="20"/>
          <w:lang w:val="en-GB" w:bidi="he-IL"/>
        </w:rPr>
        <w:t xml:space="preserve">s surprising that God thus uses the word </w:t>
      </w:r>
      <w:r w:rsidR="006C7DBA">
        <w:rPr>
          <w:rFonts w:ascii="Calibri" w:eastAsia="Times New Roman" w:hAnsi="Calibri" w:cs="Times New Roman"/>
          <w:i/>
          <w:szCs w:val="20"/>
          <w:lang w:val="en-GB" w:bidi="he-IL"/>
        </w:rPr>
        <w:t xml:space="preserve">gôy </w:t>
      </w:r>
      <w:r w:rsidR="006C7DBA">
        <w:rPr>
          <w:rFonts w:ascii="Calibri" w:eastAsia="Times New Roman" w:hAnsi="Calibri" w:cs="Times New Roman"/>
          <w:szCs w:val="20"/>
          <w:lang w:val="en-GB" w:bidi="he-IL"/>
        </w:rPr>
        <w:t xml:space="preserve">rather than the word </w:t>
      </w:r>
      <w:r w:rsidR="006C7DBA">
        <w:rPr>
          <w:rFonts w:ascii="Calibri" w:eastAsia="Times New Roman" w:hAnsi="Calibri" w:cs="Times New Roman"/>
          <w:i/>
          <w:szCs w:val="20"/>
          <w:lang w:val="en-GB" w:bidi="he-IL"/>
        </w:rPr>
        <w:t>‘am</w:t>
      </w:r>
      <w:r w:rsidR="006C7DBA">
        <w:rPr>
          <w:rFonts w:ascii="Calibri" w:eastAsia="Times New Roman" w:hAnsi="Calibri" w:cs="Times New Roman"/>
          <w:szCs w:val="20"/>
          <w:lang w:val="en-GB" w:bidi="he-IL"/>
        </w:rPr>
        <w:t>, “people.” It was the latter word that came in 11:6; one might have e</w:t>
      </w:r>
      <w:r w:rsidR="00527AF8">
        <w:rPr>
          <w:rFonts w:ascii="Calibri" w:eastAsia="Times New Roman" w:hAnsi="Calibri" w:cs="Times New Roman"/>
          <w:szCs w:val="20"/>
          <w:lang w:val="en-GB" w:bidi="he-IL"/>
        </w:rPr>
        <w:t>xpected the term</w:t>
      </w:r>
      <w:r w:rsidR="006C7DBA">
        <w:rPr>
          <w:rFonts w:ascii="Calibri" w:eastAsia="Times New Roman" w:hAnsi="Calibri" w:cs="Times New Roman"/>
          <w:szCs w:val="20"/>
          <w:lang w:val="en-GB" w:bidi="he-IL"/>
        </w:rPr>
        <w:t>s to come th</w:t>
      </w:r>
      <w:r w:rsidR="00AB5B2C">
        <w:rPr>
          <w:rFonts w:ascii="Calibri" w:eastAsia="Times New Roman" w:hAnsi="Calibri" w:cs="Times New Roman"/>
          <w:szCs w:val="20"/>
          <w:lang w:val="en-GB" w:bidi="he-IL"/>
        </w:rPr>
        <w:t>e</w:t>
      </w:r>
      <w:r w:rsidR="006C7DBA">
        <w:rPr>
          <w:rFonts w:ascii="Calibri" w:eastAsia="Times New Roman" w:hAnsi="Calibri" w:cs="Times New Roman"/>
          <w:szCs w:val="20"/>
          <w:lang w:val="en-GB" w:bidi="he-IL"/>
        </w:rPr>
        <w:t xml:space="preserve"> other way around.</w:t>
      </w:r>
      <w:r w:rsidR="006C7DBA">
        <w:rPr>
          <w:rStyle w:val="FootnoteReference"/>
          <w:rFonts w:ascii="Calibri" w:eastAsia="Times New Roman" w:hAnsi="Calibri" w:cs="Times New Roman"/>
          <w:szCs w:val="20"/>
          <w:lang w:val="en-GB" w:bidi="he-IL"/>
        </w:rPr>
        <w:footnoteReference w:id="51"/>
      </w:r>
      <w:r w:rsidR="00AB5B2C">
        <w:rPr>
          <w:rFonts w:ascii="Calibri" w:eastAsia="Times New Roman" w:hAnsi="Calibri" w:cs="Times New Roman"/>
          <w:szCs w:val="20"/>
          <w:lang w:val="en-GB" w:bidi="he-IL"/>
        </w:rPr>
        <w:t xml:space="preserve"> </w:t>
      </w:r>
      <w:r w:rsidR="0013008C" w:rsidRPr="0013008C">
        <w:rPr>
          <w:rFonts w:ascii="Calibri" w:eastAsia="Times New Roman" w:hAnsi="Calibri" w:cs="Times New Roman"/>
          <w:szCs w:val="20"/>
          <w:lang w:bidi="he-IL"/>
        </w:rPr>
        <w:t>Genesis implies some ambivalence about what might be called the polity of a people.</w:t>
      </w:r>
      <w:r w:rsidR="0013008C" w:rsidRPr="0013008C">
        <w:rPr>
          <w:rFonts w:ascii="Calibri" w:eastAsia="Times New Roman" w:hAnsi="Calibri" w:cs="Times New Roman"/>
          <w:szCs w:val="20"/>
          <w:vertAlign w:val="superscript"/>
          <w:lang w:bidi="he-IL"/>
        </w:rPr>
        <w:footnoteReference w:id="52"/>
      </w:r>
      <w:r w:rsidR="0013008C" w:rsidRPr="0013008C">
        <w:rPr>
          <w:rFonts w:ascii="Calibri" w:eastAsia="Times New Roman" w:hAnsi="Calibri" w:cs="Times New Roman"/>
          <w:szCs w:val="20"/>
          <w:lang w:bidi="he-IL"/>
        </w:rPr>
        <w:t xml:space="preserve"> Abraham’s o</w:t>
      </w:r>
      <w:r w:rsidR="00241D90">
        <w:rPr>
          <w:rFonts w:ascii="Calibri" w:eastAsia="Times New Roman" w:hAnsi="Calibri" w:cs="Times New Roman"/>
          <w:szCs w:val="20"/>
          <w:lang w:bidi="he-IL"/>
        </w:rPr>
        <w:t>ffspring is not a nation, but</w:t>
      </w:r>
      <w:r w:rsidR="0013008C" w:rsidRPr="0013008C">
        <w:rPr>
          <w:rFonts w:ascii="Calibri" w:eastAsia="Times New Roman" w:hAnsi="Calibri" w:cs="Times New Roman"/>
          <w:szCs w:val="20"/>
          <w:lang w:bidi="he-IL"/>
        </w:rPr>
        <w:t xml:space="preserve"> it is to become one. The other nation</w:t>
      </w:r>
      <w:r w:rsidR="0013008C">
        <w:rPr>
          <w:rFonts w:ascii="Calibri" w:eastAsia="Times New Roman" w:hAnsi="Calibri" w:cs="Times New Roman"/>
          <w:szCs w:val="20"/>
          <w:lang w:bidi="he-IL"/>
        </w:rPr>
        <w:t xml:space="preserve">s are kin-groups, like Abraham. </w:t>
      </w:r>
      <w:r w:rsidR="0013008C">
        <w:rPr>
          <w:rFonts w:ascii="Calibri" w:eastAsia="Times New Roman" w:hAnsi="Calibri" w:cs="Times New Roman"/>
          <w:szCs w:val="20"/>
          <w:lang w:val="en-GB" w:bidi="he-IL"/>
        </w:rPr>
        <w:t xml:space="preserve">The promise about becoming a </w:t>
      </w:r>
      <w:r w:rsidR="00241D90">
        <w:rPr>
          <w:rFonts w:ascii="Calibri" w:eastAsia="Times New Roman" w:hAnsi="Calibri" w:cs="Times New Roman"/>
          <w:szCs w:val="20"/>
          <w:lang w:val="en-GB" w:bidi="he-IL"/>
        </w:rPr>
        <w:t xml:space="preserve">people or a </w:t>
      </w:r>
      <w:r w:rsidR="0013008C">
        <w:rPr>
          <w:rFonts w:ascii="Calibri" w:eastAsia="Times New Roman" w:hAnsi="Calibri" w:cs="Times New Roman"/>
          <w:szCs w:val="20"/>
          <w:lang w:val="en-GB" w:bidi="he-IL"/>
        </w:rPr>
        <w:t>nation is</w:t>
      </w:r>
      <w:r w:rsidR="00AB5B2C">
        <w:rPr>
          <w:rFonts w:ascii="Calibri" w:eastAsia="Times New Roman" w:hAnsi="Calibri" w:cs="Times New Roman"/>
          <w:szCs w:val="20"/>
          <w:lang w:val="en-GB" w:bidi="he-IL"/>
        </w:rPr>
        <w:t xml:space="preserve"> implausible</w:t>
      </w:r>
      <w:r w:rsidR="00A45140">
        <w:rPr>
          <w:rFonts w:ascii="Calibri" w:eastAsia="Times New Roman" w:hAnsi="Calibri" w:cs="Times New Roman"/>
          <w:szCs w:val="20"/>
          <w:lang w:val="en-GB" w:bidi="he-IL"/>
        </w:rPr>
        <w:t xml:space="preserve">, especially for a man whose wife cannot have children. </w:t>
      </w:r>
      <w:r w:rsidR="00302308">
        <w:rPr>
          <w:rFonts w:ascii="Calibri" w:eastAsia="Times New Roman" w:hAnsi="Calibri" w:cs="Times New Roman"/>
          <w:szCs w:val="20"/>
          <w:lang w:val="en-GB" w:bidi="he-IL"/>
        </w:rPr>
        <w:t xml:space="preserve">Whether it would </w:t>
      </w:r>
      <w:r w:rsidR="00BF0F83">
        <w:rPr>
          <w:rFonts w:ascii="Calibri" w:eastAsia="Times New Roman" w:hAnsi="Calibri" w:cs="Times New Roman"/>
          <w:szCs w:val="20"/>
          <w:lang w:val="en-GB" w:bidi="he-IL"/>
        </w:rPr>
        <w:t xml:space="preserve">be </w:t>
      </w:r>
      <w:r w:rsidR="00AB5B2C">
        <w:rPr>
          <w:rFonts w:ascii="Calibri" w:eastAsia="Times New Roman" w:hAnsi="Calibri" w:cs="Times New Roman"/>
          <w:szCs w:val="20"/>
          <w:lang w:val="en-GB" w:bidi="he-IL"/>
        </w:rPr>
        <w:t>implausible for people listening to the</w:t>
      </w:r>
      <w:r w:rsidR="00302308">
        <w:rPr>
          <w:rFonts w:ascii="Calibri" w:eastAsia="Times New Roman" w:hAnsi="Calibri" w:cs="Times New Roman"/>
          <w:szCs w:val="20"/>
          <w:lang w:val="en-GB" w:bidi="he-IL"/>
        </w:rPr>
        <w:t xml:space="preserve"> story would depend on when they lived. </w:t>
      </w:r>
      <w:r w:rsidR="00BF0F83">
        <w:rPr>
          <w:rFonts w:ascii="Calibri" w:eastAsia="Times New Roman" w:hAnsi="Calibri" w:cs="Times New Roman"/>
          <w:szCs w:val="20"/>
          <w:lang w:val="en-GB" w:bidi="he-IL"/>
        </w:rPr>
        <w:t xml:space="preserve">In </w:t>
      </w:r>
      <w:r w:rsidR="00BF0F83" w:rsidRPr="00BF0F83">
        <w:rPr>
          <w:rFonts w:ascii="Calibri" w:eastAsia="Times New Roman" w:hAnsi="Calibri" w:cs="Times New Roman"/>
          <w:szCs w:val="20"/>
          <w:lang w:val="en-GB" w:bidi="he-IL"/>
        </w:rPr>
        <w:t>Moses’</w:t>
      </w:r>
      <w:r w:rsidR="00BF0F83">
        <w:rPr>
          <w:rFonts w:ascii="Calibri" w:eastAsia="Times New Roman" w:hAnsi="Calibri" w:cs="Times New Roman"/>
          <w:szCs w:val="20"/>
          <w:lang w:val="en-GB" w:bidi="he-IL"/>
        </w:rPr>
        <w:t>s</w:t>
      </w:r>
      <w:r w:rsidR="00BF0F83" w:rsidRPr="00BF0F83">
        <w:rPr>
          <w:rFonts w:ascii="Calibri" w:eastAsia="Times New Roman" w:hAnsi="Calibri" w:cs="Times New Roman"/>
          <w:szCs w:val="20"/>
          <w:lang w:val="en-GB" w:bidi="he-IL"/>
        </w:rPr>
        <w:t xml:space="preserve"> day </w:t>
      </w:r>
      <w:r w:rsidR="0057368E">
        <w:rPr>
          <w:rFonts w:ascii="Calibri" w:eastAsia="Times New Roman" w:hAnsi="Calibri" w:cs="Times New Roman"/>
          <w:szCs w:val="20"/>
          <w:lang w:val="en-GB" w:bidi="he-IL"/>
        </w:rPr>
        <w:t>Abraham’s de</w:t>
      </w:r>
      <w:r w:rsidR="00AB5B2C">
        <w:rPr>
          <w:rFonts w:ascii="Calibri" w:eastAsia="Times New Roman" w:hAnsi="Calibri" w:cs="Times New Roman"/>
          <w:szCs w:val="20"/>
          <w:lang w:val="en-GB" w:bidi="he-IL"/>
        </w:rPr>
        <w:t xml:space="preserve">scendants have become a nation, </w:t>
      </w:r>
      <w:r w:rsidR="0057368E">
        <w:rPr>
          <w:rFonts w:ascii="Calibri" w:eastAsia="Times New Roman" w:hAnsi="Calibri" w:cs="Times New Roman"/>
          <w:szCs w:val="20"/>
          <w:lang w:val="en-GB" w:bidi="he-IL"/>
        </w:rPr>
        <w:t xml:space="preserve">a substantial people that one can </w:t>
      </w:r>
      <w:r w:rsidR="00BF0F83">
        <w:rPr>
          <w:rFonts w:ascii="Calibri" w:eastAsia="Times New Roman" w:hAnsi="Calibri" w:cs="Times New Roman"/>
          <w:szCs w:val="20"/>
          <w:lang w:val="en-GB" w:bidi="he-IL"/>
        </w:rPr>
        <w:t>t</w:t>
      </w:r>
      <w:r w:rsidR="00AB5B2C">
        <w:rPr>
          <w:rFonts w:ascii="Calibri" w:eastAsia="Times New Roman" w:hAnsi="Calibri" w:cs="Times New Roman"/>
          <w:szCs w:val="20"/>
          <w:lang w:val="en-GB" w:bidi="he-IL"/>
        </w:rPr>
        <w:t>hink of as a political entity</w:t>
      </w:r>
      <w:r w:rsidR="00241D90">
        <w:rPr>
          <w:rFonts w:ascii="Calibri" w:eastAsia="Times New Roman" w:hAnsi="Calibri" w:cs="Times New Roman"/>
          <w:szCs w:val="20"/>
          <w:lang w:val="en-GB" w:bidi="he-IL"/>
        </w:rPr>
        <w:t xml:space="preserve"> </w:t>
      </w:r>
      <w:r w:rsidR="0057368E">
        <w:rPr>
          <w:rFonts w:ascii="Calibri" w:eastAsia="Times New Roman" w:hAnsi="Calibri" w:cs="Times New Roman"/>
          <w:szCs w:val="20"/>
          <w:lang w:val="en-GB" w:bidi="he-IL"/>
        </w:rPr>
        <w:t xml:space="preserve">(e.g., Exod </w:t>
      </w:r>
      <w:r w:rsidR="00BF0F83">
        <w:rPr>
          <w:rFonts w:ascii="Calibri" w:eastAsia="Times New Roman" w:hAnsi="Calibri" w:cs="Times New Roman"/>
          <w:szCs w:val="20"/>
          <w:lang w:val="en-GB" w:bidi="he-IL"/>
        </w:rPr>
        <w:t>1:7; 19:6). I</w:t>
      </w:r>
      <w:r w:rsidR="00302308">
        <w:rPr>
          <w:rFonts w:ascii="Calibri" w:eastAsia="Times New Roman" w:hAnsi="Calibri" w:cs="Times New Roman"/>
          <w:szCs w:val="20"/>
          <w:lang w:val="en-GB" w:bidi="he-IL"/>
        </w:rPr>
        <w:t xml:space="preserve">n David or Solomon’s day, or </w:t>
      </w:r>
      <w:r w:rsidR="00BF0F83">
        <w:rPr>
          <w:rFonts w:ascii="Calibri" w:eastAsia="Times New Roman" w:hAnsi="Calibri" w:cs="Times New Roman"/>
          <w:szCs w:val="20"/>
          <w:lang w:val="en-GB" w:bidi="he-IL"/>
        </w:rPr>
        <w:t xml:space="preserve">in </w:t>
      </w:r>
      <w:r w:rsidR="00302308">
        <w:rPr>
          <w:rFonts w:ascii="Calibri" w:eastAsia="Times New Roman" w:hAnsi="Calibri" w:cs="Times New Roman"/>
          <w:szCs w:val="20"/>
          <w:lang w:val="en-GB" w:bidi="he-IL"/>
        </w:rPr>
        <w:t>Omri’s</w:t>
      </w:r>
      <w:r w:rsidR="00BF0F83">
        <w:rPr>
          <w:rFonts w:ascii="Calibri" w:eastAsia="Times New Roman" w:hAnsi="Calibri" w:cs="Times New Roman"/>
          <w:szCs w:val="20"/>
          <w:lang w:val="en-GB" w:bidi="he-IL"/>
        </w:rPr>
        <w:t xml:space="preserve"> day</w:t>
      </w:r>
      <w:r w:rsidR="00302308">
        <w:rPr>
          <w:rFonts w:ascii="Calibri" w:eastAsia="Times New Roman" w:hAnsi="Calibri" w:cs="Times New Roman"/>
          <w:szCs w:val="20"/>
          <w:lang w:val="en-GB" w:bidi="he-IL"/>
        </w:rPr>
        <w:t xml:space="preserve">, </w:t>
      </w:r>
      <w:r w:rsidR="00BF0F83">
        <w:rPr>
          <w:rFonts w:ascii="Calibri" w:eastAsia="Times New Roman" w:hAnsi="Calibri" w:cs="Times New Roman"/>
          <w:szCs w:val="20"/>
          <w:lang w:val="en-GB" w:bidi="he-IL"/>
        </w:rPr>
        <w:t>this</w:t>
      </w:r>
      <w:r w:rsidR="0057368E">
        <w:rPr>
          <w:rFonts w:ascii="Calibri" w:eastAsia="Times New Roman" w:hAnsi="Calibri" w:cs="Times New Roman"/>
          <w:szCs w:val="20"/>
          <w:lang w:val="en-GB" w:bidi="he-IL"/>
        </w:rPr>
        <w:t xml:space="preserve"> record of Yahweh’s words</w:t>
      </w:r>
      <w:r w:rsidR="00302308">
        <w:rPr>
          <w:rFonts w:ascii="Calibri" w:eastAsia="Times New Roman" w:hAnsi="Calibri" w:cs="Times New Roman"/>
          <w:szCs w:val="20"/>
          <w:lang w:val="en-GB" w:bidi="he-IL"/>
        </w:rPr>
        <w:t xml:space="preserve"> would in</w:t>
      </w:r>
      <w:r w:rsidR="00BF0F83">
        <w:rPr>
          <w:rFonts w:ascii="Calibri" w:eastAsia="Times New Roman" w:hAnsi="Calibri" w:cs="Times New Roman"/>
          <w:szCs w:val="20"/>
          <w:lang w:val="en-GB" w:bidi="he-IL"/>
        </w:rPr>
        <w:t xml:space="preserve">vite people to rejoice </w:t>
      </w:r>
      <w:r w:rsidR="001F4615">
        <w:rPr>
          <w:rFonts w:ascii="Calibri" w:eastAsia="Times New Roman" w:hAnsi="Calibri" w:cs="Times New Roman"/>
          <w:szCs w:val="20"/>
          <w:lang w:val="en-GB" w:bidi="he-IL"/>
        </w:rPr>
        <w:t xml:space="preserve">in what Yahweh has done in fulfilling his promise. Through Judah’s history and into the exile </w:t>
      </w:r>
      <w:r w:rsidR="00CD0A4E">
        <w:rPr>
          <w:rFonts w:ascii="Calibri" w:eastAsia="Times New Roman" w:hAnsi="Calibri" w:cs="Times New Roman"/>
          <w:szCs w:val="20"/>
          <w:lang w:val="en-GB" w:bidi="he-IL"/>
        </w:rPr>
        <w:t xml:space="preserve">(see Isa 51:2) </w:t>
      </w:r>
      <w:r w:rsidR="001F4615">
        <w:rPr>
          <w:rFonts w:ascii="Calibri" w:eastAsia="Times New Roman" w:hAnsi="Calibri" w:cs="Times New Roman"/>
          <w:szCs w:val="20"/>
          <w:lang w:val="en-GB" w:bidi="he-IL"/>
        </w:rPr>
        <w:t>and during the Second Temple period it would raise the question whether it was a promise Yahweh was really going to</w:t>
      </w:r>
      <w:r w:rsidR="001F4615" w:rsidRPr="001F4615">
        <w:rPr>
          <w:rFonts w:ascii="Calibri" w:eastAsia="Times New Roman" w:hAnsi="Calibri" w:cs="Times New Roman"/>
          <w:szCs w:val="20"/>
          <w:lang w:bidi="he-IL"/>
        </w:rPr>
        <w:t xml:space="preserve"> fulfill</w:t>
      </w:r>
      <w:r w:rsidR="00BF0F83">
        <w:rPr>
          <w:rFonts w:ascii="Calibri" w:eastAsia="Times New Roman" w:hAnsi="Calibri" w:cs="Times New Roman"/>
          <w:szCs w:val="20"/>
          <w:lang w:bidi="he-IL"/>
        </w:rPr>
        <w:t xml:space="preserve"> for them</w:t>
      </w:r>
      <w:r w:rsidR="001F4615">
        <w:rPr>
          <w:rFonts w:ascii="Calibri" w:eastAsia="Times New Roman" w:hAnsi="Calibri" w:cs="Times New Roman"/>
          <w:szCs w:val="20"/>
          <w:lang w:val="en-GB" w:bidi="he-IL"/>
        </w:rPr>
        <w:t xml:space="preserve">. </w:t>
      </w:r>
      <w:r w:rsidR="0057368E">
        <w:rPr>
          <w:rFonts w:ascii="Calibri" w:eastAsia="Times New Roman" w:hAnsi="Calibri" w:cs="Times New Roman"/>
          <w:szCs w:val="20"/>
          <w:lang w:val="en-GB" w:bidi="he-IL"/>
        </w:rPr>
        <w:t xml:space="preserve">The same </w:t>
      </w:r>
      <w:r w:rsidR="00AB5B2C">
        <w:rPr>
          <w:rFonts w:ascii="Calibri" w:eastAsia="Times New Roman" w:hAnsi="Calibri" w:cs="Times New Roman"/>
          <w:szCs w:val="20"/>
          <w:lang w:val="en-GB" w:bidi="he-IL"/>
        </w:rPr>
        <w:t>question would arise regarding</w:t>
      </w:r>
      <w:r w:rsidR="0057368E">
        <w:rPr>
          <w:rFonts w:ascii="Calibri" w:eastAsia="Times New Roman" w:hAnsi="Calibri" w:cs="Times New Roman"/>
          <w:szCs w:val="20"/>
          <w:lang w:val="en-GB" w:bidi="he-IL"/>
        </w:rPr>
        <w:t xml:space="preserve"> the idea of having a big name. </w:t>
      </w:r>
    </w:p>
    <w:p w14:paraId="6BDC4F07" w14:textId="139A3399" w:rsidR="00EF778B" w:rsidRPr="00EF778B" w:rsidRDefault="00A45140" w:rsidP="00EF778B">
      <w:pPr>
        <w:rPr>
          <w:lang w:bidi="he-IL"/>
        </w:rPr>
      </w:pPr>
      <w:r>
        <w:rPr>
          <w:rFonts w:ascii="Calibri" w:eastAsia="Times New Roman" w:hAnsi="Calibri" w:cs="Times New Roman"/>
          <w:szCs w:val="20"/>
          <w:lang w:val="en-GB" w:bidi="he-IL"/>
        </w:rPr>
        <w:t xml:space="preserve">Yahweh underscores the implausibility </w:t>
      </w:r>
      <w:r w:rsidR="00BF0F83">
        <w:rPr>
          <w:rFonts w:ascii="Calibri" w:eastAsia="Times New Roman" w:hAnsi="Calibri" w:cs="Times New Roman"/>
          <w:szCs w:val="20"/>
          <w:lang w:val="en-GB" w:bidi="he-IL"/>
        </w:rPr>
        <w:t xml:space="preserve">of his promise </w:t>
      </w:r>
      <w:r>
        <w:rPr>
          <w:rFonts w:ascii="Calibri" w:eastAsia="Times New Roman" w:hAnsi="Calibri" w:cs="Times New Roman"/>
          <w:szCs w:val="20"/>
          <w:lang w:val="en-GB" w:bidi="he-IL"/>
        </w:rPr>
        <w:t xml:space="preserve">when he goes on to make explicit that he will bless Abraham, because </w:t>
      </w:r>
      <w:r w:rsidR="00AB5B2C">
        <w:rPr>
          <w:rFonts w:ascii="Calibri" w:eastAsia="Times New Roman" w:hAnsi="Calibri" w:cs="Times New Roman"/>
          <w:szCs w:val="20"/>
          <w:lang w:val="en-GB" w:bidi="he-IL"/>
        </w:rPr>
        <w:t>“</w:t>
      </w:r>
      <w:r>
        <w:rPr>
          <w:rFonts w:ascii="Calibri" w:eastAsia="Times New Roman" w:hAnsi="Calibri" w:cs="Times New Roman"/>
          <w:szCs w:val="20"/>
          <w:lang w:val="en-GB" w:bidi="he-IL"/>
        </w:rPr>
        <w:t>blessing</w:t>
      </w:r>
      <w:r w:rsidR="00AB5B2C">
        <w:rPr>
          <w:rFonts w:ascii="Calibri" w:eastAsia="Times New Roman" w:hAnsi="Calibri" w:cs="Times New Roman"/>
          <w:szCs w:val="20"/>
          <w:lang w:val="en-GB" w:bidi="he-IL"/>
        </w:rPr>
        <w:t>” itself</w:t>
      </w:r>
      <w:r>
        <w:rPr>
          <w:rFonts w:ascii="Calibri" w:eastAsia="Times New Roman" w:hAnsi="Calibri" w:cs="Times New Roman"/>
          <w:szCs w:val="20"/>
          <w:lang w:val="en-GB" w:bidi="he-IL"/>
        </w:rPr>
        <w:t xml:space="preserve"> means numerical fruitfulness. </w:t>
      </w:r>
      <w:r w:rsidR="00302308">
        <w:rPr>
          <w:rFonts w:ascii="Calibri" w:eastAsia="Times New Roman" w:hAnsi="Calibri" w:cs="Times New Roman"/>
          <w:szCs w:val="20"/>
          <w:lang w:val="en-GB" w:bidi="he-IL"/>
        </w:rPr>
        <w:t>To judge from the repetitions, blessing is the key word in the promise in vv. 2-3.</w:t>
      </w:r>
      <w:r w:rsidR="003D56BA">
        <w:rPr>
          <w:rFonts w:ascii="Calibri" w:eastAsia="Times New Roman" w:hAnsi="Calibri" w:cs="Times New Roman"/>
          <w:szCs w:val="20"/>
          <w:lang w:val="en-GB" w:bidi="he-IL"/>
        </w:rPr>
        <w:t>”</w:t>
      </w:r>
      <w:r w:rsidR="00CD0A4E">
        <w:rPr>
          <w:rFonts w:ascii="Calibri" w:eastAsia="Times New Roman" w:hAnsi="Calibri" w:cs="Times New Roman"/>
          <w:szCs w:val="20"/>
          <w:lang w:val="en-GB" w:bidi="he-IL"/>
        </w:rPr>
        <w:t>Yahweh showers Abraham with blessings.</w:t>
      </w:r>
      <w:r w:rsidR="003D56BA">
        <w:rPr>
          <w:rFonts w:ascii="Calibri" w:eastAsia="Times New Roman" w:hAnsi="Calibri" w:cs="Times New Roman"/>
          <w:szCs w:val="20"/>
          <w:lang w:val="en-GB" w:bidi="he-IL"/>
        </w:rPr>
        <w:t>”</w:t>
      </w:r>
      <w:r w:rsidR="00CD0A4E">
        <w:rPr>
          <w:rStyle w:val="FootnoteReference"/>
          <w:rFonts w:ascii="Calibri" w:eastAsia="Times New Roman" w:hAnsi="Calibri" w:cs="Times New Roman"/>
          <w:szCs w:val="20"/>
          <w:lang w:val="en-GB" w:bidi="he-IL"/>
        </w:rPr>
        <w:footnoteReference w:id="53"/>
      </w:r>
      <w:r w:rsidR="00727890">
        <w:rPr>
          <w:rFonts w:ascii="Calibri" w:eastAsia="Times New Roman" w:hAnsi="Calibri" w:cs="Times New Roman"/>
          <w:szCs w:val="20"/>
          <w:lang w:val="en-GB" w:bidi="he-IL"/>
        </w:rPr>
        <w:t xml:space="preserve"> </w:t>
      </w:r>
      <w:r w:rsidR="00AB5B2C">
        <w:rPr>
          <w:rFonts w:ascii="Calibri" w:eastAsia="Times New Roman" w:hAnsi="Calibri" w:cs="Times New Roman"/>
          <w:szCs w:val="20"/>
          <w:lang w:val="en-GB" w:bidi="he-IL"/>
        </w:rPr>
        <w:t>T</w:t>
      </w:r>
      <w:r w:rsidR="00BF0F83">
        <w:rPr>
          <w:rFonts w:ascii="Calibri" w:eastAsia="Times New Roman" w:hAnsi="Calibri" w:cs="Times New Roman"/>
          <w:szCs w:val="20"/>
          <w:lang w:val="en-GB" w:bidi="he-IL"/>
        </w:rPr>
        <w:t>his</w:t>
      </w:r>
      <w:r w:rsidR="00AB5B2C">
        <w:rPr>
          <w:rFonts w:ascii="Calibri" w:eastAsia="Times New Roman" w:hAnsi="Calibri" w:cs="Times New Roman"/>
          <w:szCs w:val="20"/>
          <w:lang w:val="en-GB" w:bidi="he-IL"/>
        </w:rPr>
        <w:t xml:space="preserve"> promise </w:t>
      </w:r>
      <w:r w:rsidR="00C307E3">
        <w:rPr>
          <w:rFonts w:ascii="Calibri" w:eastAsia="Times New Roman" w:hAnsi="Calibri" w:cs="Times New Roman"/>
          <w:szCs w:val="20"/>
          <w:lang w:val="en-GB" w:bidi="he-IL"/>
        </w:rPr>
        <w:t>takes up God’s action in 1:28 and 9:1. The extent of the fulfilment of the promise (Yahweh impl</w:t>
      </w:r>
      <w:r w:rsidR="00BF0F83">
        <w:rPr>
          <w:rFonts w:ascii="Calibri" w:eastAsia="Times New Roman" w:hAnsi="Calibri" w:cs="Times New Roman"/>
          <w:szCs w:val="20"/>
          <w:lang w:val="en-GB" w:bidi="he-IL"/>
        </w:rPr>
        <w:t>ies) will mean other people being</w:t>
      </w:r>
      <w:r w:rsidR="00C307E3">
        <w:rPr>
          <w:rFonts w:ascii="Calibri" w:eastAsia="Times New Roman" w:hAnsi="Calibri" w:cs="Times New Roman"/>
          <w:szCs w:val="20"/>
          <w:lang w:val="en-GB" w:bidi="he-IL"/>
        </w:rPr>
        <w:t xml:space="preserve"> astonished. The tower-builders in Gen 11 had wanted to make a name for themselves but had o</w:t>
      </w:r>
      <w:r w:rsidR="00AB5B2C">
        <w:rPr>
          <w:rFonts w:ascii="Calibri" w:eastAsia="Times New Roman" w:hAnsi="Calibri" w:cs="Times New Roman"/>
          <w:szCs w:val="20"/>
          <w:lang w:val="en-GB" w:bidi="he-IL"/>
        </w:rPr>
        <w:t>nly succeeded in a way they did</w:t>
      </w:r>
      <w:r w:rsidR="00C307E3">
        <w:rPr>
          <w:rFonts w:ascii="Calibri" w:eastAsia="Times New Roman" w:hAnsi="Calibri" w:cs="Times New Roman"/>
          <w:szCs w:val="20"/>
          <w:lang w:val="en-GB" w:bidi="he-IL"/>
        </w:rPr>
        <w:t>n</w:t>
      </w:r>
      <w:r w:rsidR="00AB5B2C">
        <w:rPr>
          <w:rFonts w:ascii="Calibri" w:eastAsia="Times New Roman" w:hAnsi="Calibri" w:cs="Times New Roman"/>
          <w:szCs w:val="20"/>
          <w:lang w:val="en-GB" w:bidi="he-IL"/>
        </w:rPr>
        <w:t>’</w:t>
      </w:r>
      <w:r w:rsidR="00C307E3">
        <w:rPr>
          <w:rFonts w:ascii="Calibri" w:eastAsia="Times New Roman" w:hAnsi="Calibri" w:cs="Times New Roman"/>
          <w:szCs w:val="20"/>
          <w:lang w:val="en-GB" w:bidi="he-IL"/>
        </w:rPr>
        <w:t>t intend. Yahwe</w:t>
      </w:r>
      <w:r w:rsidR="00BF0F83">
        <w:rPr>
          <w:rFonts w:ascii="Calibri" w:eastAsia="Times New Roman" w:hAnsi="Calibri" w:cs="Times New Roman"/>
          <w:szCs w:val="20"/>
          <w:lang w:val="en-GB" w:bidi="he-IL"/>
        </w:rPr>
        <w:t>h himself will do it for the person</w:t>
      </w:r>
      <w:r w:rsidR="00C307E3">
        <w:rPr>
          <w:rFonts w:ascii="Calibri" w:eastAsia="Times New Roman" w:hAnsi="Calibri" w:cs="Times New Roman"/>
          <w:szCs w:val="20"/>
          <w:lang w:val="en-GB" w:bidi="he-IL"/>
        </w:rPr>
        <w:t xml:space="preserve"> who is not seeking it. It will </w:t>
      </w:r>
      <w:r w:rsidR="00BF0F83">
        <w:rPr>
          <w:rFonts w:ascii="Calibri" w:eastAsia="Times New Roman" w:hAnsi="Calibri" w:cs="Times New Roman"/>
          <w:szCs w:val="20"/>
          <w:lang w:val="en-GB" w:bidi="he-IL"/>
        </w:rPr>
        <w:t xml:space="preserve">thus </w:t>
      </w:r>
      <w:r w:rsidR="00C307E3">
        <w:rPr>
          <w:rFonts w:ascii="Calibri" w:eastAsia="Times New Roman" w:hAnsi="Calibri" w:cs="Times New Roman"/>
          <w:szCs w:val="20"/>
          <w:lang w:val="en-GB" w:bidi="he-IL"/>
        </w:rPr>
        <w:t>mean he becomes a bl</w:t>
      </w:r>
      <w:r w:rsidR="00BF0F83">
        <w:rPr>
          <w:rFonts w:ascii="Calibri" w:eastAsia="Times New Roman" w:hAnsi="Calibri" w:cs="Times New Roman"/>
          <w:szCs w:val="20"/>
          <w:lang w:val="en-GB" w:bidi="he-IL"/>
        </w:rPr>
        <w:t>essing, which</w:t>
      </w:r>
      <w:r w:rsidR="009320E1">
        <w:rPr>
          <w:rFonts w:ascii="Calibri" w:eastAsia="Times New Roman" w:hAnsi="Calibri" w:cs="Times New Roman"/>
          <w:szCs w:val="20"/>
          <w:lang w:val="en-GB" w:bidi="he-IL"/>
        </w:rPr>
        <w:t xml:space="preserve"> means being the kind of person whose name gets used in prayers for blessing: </w:t>
      </w:r>
      <w:r w:rsidR="003D56BA">
        <w:rPr>
          <w:rFonts w:ascii="Calibri" w:eastAsia="Times New Roman" w:hAnsi="Calibri" w:cs="Times New Roman"/>
          <w:szCs w:val="20"/>
          <w:lang w:val="en-GB" w:bidi="he-IL"/>
        </w:rPr>
        <w:t>“</w:t>
      </w:r>
      <w:r w:rsidR="009320E1">
        <w:rPr>
          <w:rFonts w:ascii="Calibri" w:eastAsia="Times New Roman" w:hAnsi="Calibri" w:cs="Times New Roman"/>
          <w:szCs w:val="20"/>
          <w:lang w:val="en-GB" w:bidi="he-IL"/>
        </w:rPr>
        <w:t>May God bless you as he blessed x</w:t>
      </w:r>
      <w:r w:rsidR="003D56BA">
        <w:rPr>
          <w:rFonts w:ascii="Calibri" w:eastAsia="Times New Roman" w:hAnsi="Calibri" w:cs="Times New Roman"/>
          <w:szCs w:val="20"/>
          <w:lang w:val="en-GB" w:bidi="he-IL"/>
        </w:rPr>
        <w:t>”</w:t>
      </w:r>
      <w:r w:rsidR="009320E1">
        <w:rPr>
          <w:rFonts w:ascii="Calibri" w:eastAsia="Times New Roman" w:hAnsi="Calibri" w:cs="Times New Roman"/>
          <w:szCs w:val="20"/>
          <w:lang w:val="en-GB" w:bidi="he-IL"/>
        </w:rPr>
        <w:t xml:space="preserve"> (cf. Prov 10:7; Ze</w:t>
      </w:r>
      <w:r w:rsidR="00BF0F83">
        <w:rPr>
          <w:rFonts w:ascii="Calibri" w:eastAsia="Times New Roman" w:hAnsi="Calibri" w:cs="Times New Roman"/>
          <w:szCs w:val="20"/>
          <w:lang w:val="en-GB" w:bidi="he-IL"/>
        </w:rPr>
        <w:t xml:space="preserve">ch 8:13). </w:t>
      </w:r>
      <w:r w:rsidR="009320E1">
        <w:rPr>
          <w:rFonts w:ascii="Calibri" w:eastAsia="Times New Roman" w:hAnsi="Calibri" w:cs="Times New Roman"/>
          <w:szCs w:val="20"/>
          <w:lang w:val="en-GB" w:bidi="he-IL"/>
        </w:rPr>
        <w:t>Abraham will become</w:t>
      </w:r>
      <w:r w:rsidR="001D1C18">
        <w:rPr>
          <w:rFonts w:ascii="Calibri" w:eastAsia="Times New Roman" w:hAnsi="Calibri" w:cs="Times New Roman"/>
          <w:szCs w:val="20"/>
          <w:lang w:val="en-GB" w:bidi="he-IL"/>
        </w:rPr>
        <w:t xml:space="preserve"> the gold standard of blessings. </w:t>
      </w:r>
      <w:r w:rsidR="00221510">
        <w:rPr>
          <w:rFonts w:ascii="Calibri" w:eastAsia="Times New Roman" w:hAnsi="Calibri" w:cs="Times New Roman"/>
          <w:szCs w:val="20"/>
          <w:lang w:val="en-GB" w:bidi="he-IL"/>
        </w:rPr>
        <w:t>“His blessings and his fame will be so great that they will spill over to benefit those around him.”</w:t>
      </w:r>
      <w:r w:rsidR="00221510">
        <w:rPr>
          <w:rStyle w:val="FootnoteReference"/>
          <w:rFonts w:ascii="Calibri" w:eastAsia="Times New Roman" w:hAnsi="Calibri" w:cs="Times New Roman"/>
          <w:szCs w:val="20"/>
          <w:lang w:val="en-GB" w:bidi="he-IL"/>
        </w:rPr>
        <w:footnoteReference w:id="54"/>
      </w:r>
      <w:r w:rsidR="002C19ED">
        <w:rPr>
          <w:rFonts w:ascii="Calibri" w:eastAsia="Times New Roman" w:hAnsi="Calibri" w:cs="Times New Roman"/>
          <w:szCs w:val="20"/>
          <w:lang w:val="en-GB" w:bidi="he-IL"/>
        </w:rPr>
        <w:t xml:space="preserve"> </w:t>
      </w:r>
    </w:p>
    <w:p w14:paraId="7DD0A36B" w14:textId="57C49B0A" w:rsidR="001D1C18" w:rsidRDefault="001D1C18" w:rsidP="00DA695A">
      <w:pPr>
        <w:rPr>
          <w:rFonts w:ascii="Calibri" w:eastAsia="Times New Roman" w:hAnsi="Calibri" w:cs="Times New Roman"/>
          <w:noProof/>
          <w:szCs w:val="20"/>
          <w:lang w:bidi="he-IL"/>
        </w:rPr>
      </w:pPr>
      <w:r>
        <w:rPr>
          <w:rFonts w:ascii="Calibri" w:eastAsia="Times New Roman" w:hAnsi="Calibri" w:cs="Times New Roman"/>
          <w:szCs w:val="20"/>
          <w:lang w:val="en-GB" w:bidi="he-IL"/>
        </w:rPr>
        <w:lastRenderedPageBreak/>
        <w:t xml:space="preserve">Yahweh goes </w:t>
      </w:r>
      <w:r w:rsidR="00B66C20">
        <w:rPr>
          <w:rFonts w:ascii="Calibri" w:eastAsia="Times New Roman" w:hAnsi="Calibri" w:cs="Times New Roman"/>
          <w:szCs w:val="20"/>
          <w:lang w:val="en-GB" w:bidi="he-IL"/>
        </w:rPr>
        <w:t xml:space="preserve">on (v. 3) to restate the </w:t>
      </w:r>
      <w:r w:rsidR="00BF0F83">
        <w:rPr>
          <w:rFonts w:ascii="Calibri" w:eastAsia="Times New Roman" w:hAnsi="Calibri" w:cs="Times New Roman"/>
          <w:szCs w:val="20"/>
          <w:lang w:val="en-GB" w:bidi="he-IL"/>
        </w:rPr>
        <w:t xml:space="preserve">point, further tweaking the significance </w:t>
      </w:r>
      <w:r w:rsidR="00B66C20">
        <w:rPr>
          <w:rFonts w:ascii="Calibri" w:eastAsia="Times New Roman" w:hAnsi="Calibri" w:cs="Times New Roman"/>
          <w:szCs w:val="20"/>
          <w:lang w:val="en-GB" w:bidi="he-IL"/>
        </w:rPr>
        <w:t>of the word blessing. There is a kind of blessing that only God can do—the kind that God promised in the first reference to blessing in v. 2. There is also a derived or derivative version of that blessing which some people can do, which is the opposite of the curs</w:t>
      </w:r>
      <w:r w:rsidR="00BF0F83">
        <w:rPr>
          <w:rFonts w:ascii="Calibri" w:eastAsia="Times New Roman" w:hAnsi="Calibri" w:cs="Times New Roman"/>
          <w:szCs w:val="20"/>
          <w:lang w:val="en-GB" w:bidi="he-IL"/>
        </w:rPr>
        <w:t>ing that Noah did in 9:25,</w:t>
      </w:r>
      <w:r w:rsidR="00B66C20">
        <w:rPr>
          <w:rFonts w:ascii="Calibri" w:eastAsia="Times New Roman" w:hAnsi="Calibri" w:cs="Times New Roman"/>
          <w:szCs w:val="20"/>
          <w:lang w:val="en-GB" w:bidi="he-IL"/>
        </w:rPr>
        <w:t xml:space="preserve"> the kind of blessing that Melkizedeq </w:t>
      </w:r>
      <w:r w:rsidR="00920EFA">
        <w:rPr>
          <w:rFonts w:ascii="Calibri" w:eastAsia="Times New Roman" w:hAnsi="Calibri" w:cs="Times New Roman"/>
          <w:szCs w:val="20"/>
          <w:lang w:val="en-GB" w:bidi="he-IL"/>
        </w:rPr>
        <w:t>or Aaron or Balaam will do (G</w:t>
      </w:r>
      <w:r w:rsidR="00BF0F83">
        <w:rPr>
          <w:rFonts w:ascii="Calibri" w:eastAsia="Times New Roman" w:hAnsi="Calibri" w:cs="Times New Roman"/>
          <w:szCs w:val="20"/>
          <w:lang w:val="en-GB" w:bidi="he-IL"/>
        </w:rPr>
        <w:t>en 14:19; Num 6:23; 22—23). Such people</w:t>
      </w:r>
      <w:r w:rsidR="00920EFA">
        <w:rPr>
          <w:rFonts w:ascii="Calibri" w:eastAsia="Times New Roman" w:hAnsi="Calibri" w:cs="Times New Roman"/>
          <w:szCs w:val="20"/>
          <w:lang w:val="en-GB" w:bidi="he-IL"/>
        </w:rPr>
        <w:t xml:space="preserve"> declare that someone will be b</w:t>
      </w:r>
      <w:r w:rsidR="00BF0F83">
        <w:rPr>
          <w:rFonts w:ascii="Calibri" w:eastAsia="Times New Roman" w:hAnsi="Calibri" w:cs="Times New Roman"/>
          <w:szCs w:val="20"/>
          <w:lang w:val="en-GB" w:bidi="he-IL"/>
        </w:rPr>
        <w:t>lessed by God, and it happens. T</w:t>
      </w:r>
      <w:r w:rsidR="00920EFA">
        <w:rPr>
          <w:rFonts w:ascii="Calibri" w:eastAsia="Times New Roman" w:hAnsi="Calibri" w:cs="Times New Roman"/>
          <w:szCs w:val="20"/>
          <w:lang w:val="en-GB" w:bidi="he-IL"/>
        </w:rPr>
        <w:t xml:space="preserve">here will be people who for one reason or another bless Abraham in this sense; and Yahweh will bless them. On the other hand, there will be an </w:t>
      </w:r>
      <w:r w:rsidR="00B32653">
        <w:rPr>
          <w:rFonts w:ascii="Calibri" w:eastAsia="Times New Roman" w:hAnsi="Calibri" w:cs="Times New Roman"/>
          <w:szCs w:val="20"/>
          <w:lang w:val="en-GB" w:bidi="he-IL"/>
        </w:rPr>
        <w:t xml:space="preserve">occasional </w:t>
      </w:r>
      <w:r w:rsidR="00920EFA">
        <w:rPr>
          <w:rFonts w:ascii="Calibri" w:eastAsia="Times New Roman" w:hAnsi="Calibri" w:cs="Times New Roman"/>
          <w:szCs w:val="20"/>
          <w:lang w:val="en-GB" w:bidi="he-IL"/>
        </w:rPr>
        <w:t xml:space="preserve">individual who diminishes Abraham, who declares that he is going to become nothing (it’s the word Yahweh used in 8:21). </w:t>
      </w:r>
      <w:r w:rsidR="00B32653">
        <w:rPr>
          <w:rFonts w:ascii="Calibri" w:eastAsia="Times New Roman" w:hAnsi="Calibri" w:cs="Times New Roman"/>
          <w:szCs w:val="20"/>
          <w:lang w:val="en-GB" w:bidi="he-IL"/>
        </w:rPr>
        <w:t xml:space="preserve">Yahweh will protect Abraham </w:t>
      </w:r>
      <w:r w:rsidR="00B32653" w:rsidRPr="00B32653">
        <w:rPr>
          <w:rFonts w:ascii="Calibri" w:eastAsia="Times New Roman" w:hAnsi="Calibri" w:cs="Times New Roman"/>
          <w:szCs w:val="20"/>
          <w:lang w:val="en-GB" w:bidi="he-IL"/>
        </w:rPr>
        <w:t>from the diminishing tha</w:t>
      </w:r>
      <w:r w:rsidR="00B32653">
        <w:rPr>
          <w:rFonts w:ascii="Calibri" w:eastAsia="Times New Roman" w:hAnsi="Calibri" w:cs="Times New Roman"/>
          <w:szCs w:val="20"/>
          <w:lang w:val="en-GB" w:bidi="he-IL"/>
        </w:rPr>
        <w:t xml:space="preserve">t this </w:t>
      </w:r>
      <w:r w:rsidR="00B32653" w:rsidRPr="00B32653">
        <w:rPr>
          <w:rFonts w:ascii="Calibri" w:eastAsia="Times New Roman" w:hAnsi="Calibri" w:cs="Times New Roman"/>
          <w:szCs w:val="20"/>
          <w:lang w:val="en-GB" w:bidi="he-IL"/>
        </w:rPr>
        <w:t xml:space="preserve">person desires. </w:t>
      </w:r>
      <w:r w:rsidR="00B32653">
        <w:rPr>
          <w:rFonts w:ascii="Calibri" w:eastAsia="Times New Roman" w:hAnsi="Calibri" w:cs="Times New Roman"/>
          <w:szCs w:val="20"/>
          <w:lang w:val="en-GB" w:bidi="he-IL"/>
        </w:rPr>
        <w:t xml:space="preserve">One might </w:t>
      </w:r>
      <w:r w:rsidR="00920EFA">
        <w:rPr>
          <w:rFonts w:ascii="Calibri" w:eastAsia="Times New Roman" w:hAnsi="Calibri" w:cs="Times New Roman"/>
          <w:szCs w:val="20"/>
          <w:lang w:val="en-GB" w:bidi="he-IL"/>
        </w:rPr>
        <w:t xml:space="preserve">expect Yahweh to say that he will diminish that person, but he actually says he will curse that person (as Noah did). </w:t>
      </w:r>
      <w:r w:rsidR="003D56BA">
        <w:rPr>
          <w:rFonts w:ascii="Calibri" w:eastAsia="Times New Roman" w:hAnsi="Calibri" w:cs="Times New Roman"/>
          <w:szCs w:val="20"/>
          <w:lang w:val="en-GB" w:bidi="he-IL"/>
        </w:rPr>
        <w:t>“</w:t>
      </w:r>
      <w:r w:rsidR="0057368E" w:rsidRPr="0057368E">
        <w:rPr>
          <w:rFonts w:ascii="Calibri" w:eastAsia="Times New Roman" w:hAnsi="Calibri" w:cs="Times New Roman"/>
          <w:szCs w:val="20"/>
          <w:lang w:bidi="he-IL"/>
        </w:rPr>
        <w:t>Yahweh does not command Abraham to go out in order to bring about curse, although tha</w:t>
      </w:r>
      <w:r w:rsidR="0057368E">
        <w:rPr>
          <w:rFonts w:ascii="Calibri" w:eastAsia="Times New Roman" w:hAnsi="Calibri" w:cs="Times New Roman"/>
          <w:szCs w:val="20"/>
          <w:lang w:bidi="he-IL"/>
        </w:rPr>
        <w:t>t may happen in the process.</w:t>
      </w:r>
      <w:r w:rsidR="003D56BA">
        <w:rPr>
          <w:rFonts w:ascii="Calibri" w:eastAsia="Times New Roman" w:hAnsi="Calibri" w:cs="Times New Roman"/>
          <w:szCs w:val="20"/>
          <w:lang w:bidi="he-IL"/>
        </w:rPr>
        <w:t>”</w:t>
      </w:r>
      <w:r w:rsidR="0057368E">
        <w:rPr>
          <w:rStyle w:val="FootnoteReference"/>
          <w:rFonts w:ascii="Calibri" w:eastAsia="Times New Roman" w:hAnsi="Calibri" w:cs="Times New Roman"/>
          <w:szCs w:val="20"/>
          <w:lang w:bidi="he-IL"/>
        </w:rPr>
        <w:footnoteReference w:id="55"/>
      </w:r>
      <w:r w:rsidR="005C26AC">
        <w:rPr>
          <w:rFonts w:ascii="Calibri" w:eastAsia="Times New Roman" w:hAnsi="Calibri" w:cs="Times New Roman"/>
          <w:szCs w:val="20"/>
          <w:lang w:bidi="he-IL"/>
        </w:rPr>
        <w:t xml:space="preserve"> </w:t>
      </w:r>
      <w:r w:rsidR="00B32653">
        <w:rPr>
          <w:rFonts w:ascii="Calibri" w:eastAsia="Times New Roman" w:hAnsi="Calibri" w:cs="Times New Roman"/>
          <w:szCs w:val="20"/>
          <w:lang w:val="en-GB" w:bidi="he-IL"/>
        </w:rPr>
        <w:t>T</w:t>
      </w:r>
      <w:r w:rsidR="00B32653" w:rsidRPr="00B32653">
        <w:rPr>
          <w:rFonts w:ascii="Calibri" w:eastAsia="Times New Roman" w:hAnsi="Calibri" w:cs="Times New Roman"/>
          <w:szCs w:val="20"/>
          <w:lang w:val="en-GB" w:bidi="he-IL"/>
        </w:rPr>
        <w:t>he p</w:t>
      </w:r>
      <w:r w:rsidR="00B32653">
        <w:rPr>
          <w:rFonts w:ascii="Calibri" w:eastAsia="Times New Roman" w:hAnsi="Calibri" w:cs="Times New Roman"/>
          <w:szCs w:val="20"/>
          <w:lang w:val="en-GB" w:bidi="he-IL"/>
        </w:rPr>
        <w:t>oint about the curse is to effect that</w:t>
      </w:r>
      <w:r w:rsidR="00B32653" w:rsidRPr="00B32653">
        <w:rPr>
          <w:rFonts w:ascii="Calibri" w:eastAsia="Times New Roman" w:hAnsi="Calibri" w:cs="Times New Roman"/>
          <w:szCs w:val="20"/>
          <w:lang w:val="en-GB" w:bidi="he-IL"/>
        </w:rPr>
        <w:t xml:space="preserve"> protection</w:t>
      </w:r>
      <w:r w:rsidR="00DC03D3">
        <w:rPr>
          <w:rFonts w:ascii="Calibri" w:eastAsia="Times New Roman" w:hAnsi="Calibri" w:cs="Times New Roman"/>
          <w:szCs w:val="20"/>
          <w:lang w:bidi="he-IL"/>
        </w:rPr>
        <w:t xml:space="preserve">. </w:t>
      </w:r>
      <w:r w:rsidR="00B32653">
        <w:rPr>
          <w:rFonts w:ascii="Calibri" w:eastAsia="Times New Roman" w:hAnsi="Calibri" w:cs="Times New Roman"/>
          <w:szCs w:val="20"/>
          <w:lang w:val="en-GB" w:bidi="he-IL"/>
        </w:rPr>
        <w:t>A blunter</w:t>
      </w:r>
      <w:r w:rsidR="005C26AC">
        <w:rPr>
          <w:rFonts w:ascii="Calibri" w:eastAsia="Times New Roman" w:hAnsi="Calibri" w:cs="Times New Roman"/>
          <w:szCs w:val="20"/>
          <w:lang w:val="en-GB" w:bidi="he-IL"/>
        </w:rPr>
        <w:t xml:space="preserve"> version of the promise will come on the lips of a foreigner at the other end of the story in the Torah, when the Israelites are about to arrive in Canaan (Num 24:9).</w:t>
      </w:r>
      <w:r w:rsidR="00DC03D3">
        <w:rPr>
          <w:rFonts w:ascii="Calibri" w:eastAsia="Times New Roman" w:hAnsi="Calibri" w:cs="Times New Roman"/>
          <w:szCs w:val="20"/>
          <w:lang w:val="en-GB" w:bidi="he-IL"/>
        </w:rPr>
        <w:t xml:space="preserve"> </w:t>
      </w:r>
      <w:r w:rsidR="00DC03D3">
        <w:rPr>
          <w:rFonts w:ascii="Calibri" w:eastAsia="Times New Roman" w:hAnsi="Calibri" w:cs="Times New Roman"/>
          <w:szCs w:val="20"/>
          <w:lang w:bidi="he-IL"/>
        </w:rPr>
        <w:t xml:space="preserve">But here, </w:t>
      </w:r>
      <w:r w:rsidR="00241D90">
        <w:rPr>
          <w:rFonts w:ascii="Calibri" w:eastAsia="Times New Roman" w:hAnsi="Calibri" w:cs="Times New Roman"/>
          <w:szCs w:val="20"/>
          <w:lang w:val="en-GB" w:bidi="he-IL"/>
        </w:rPr>
        <w:t>Yahweh further</w:t>
      </w:r>
      <w:r w:rsidR="00DC03D3" w:rsidRPr="00DC03D3">
        <w:rPr>
          <w:rFonts w:ascii="Calibri" w:eastAsia="Times New Roman" w:hAnsi="Calibri" w:cs="Times New Roman"/>
          <w:szCs w:val="20"/>
          <w:lang w:val="en-GB" w:bidi="he-IL"/>
        </w:rPr>
        <w:t xml:space="preserve"> restates the promise about Abraham becoming a blessing, and restates it in ultra-high definition rainbow</w:t>
      </w:r>
      <w:r w:rsidR="00DC03D3" w:rsidRPr="00DC03D3">
        <w:rPr>
          <w:rFonts w:ascii="Calibri" w:eastAsia="Times New Roman" w:hAnsi="Calibri" w:cs="Times New Roman"/>
          <w:szCs w:val="20"/>
          <w:lang w:bidi="he-IL"/>
        </w:rPr>
        <w:t xml:space="preserve"> colors</w:t>
      </w:r>
      <w:r w:rsidR="00DC03D3" w:rsidRPr="00DC03D3">
        <w:rPr>
          <w:rFonts w:ascii="Calibri" w:eastAsia="Times New Roman" w:hAnsi="Calibri" w:cs="Times New Roman"/>
          <w:szCs w:val="20"/>
          <w:lang w:val="en-GB" w:bidi="he-IL"/>
        </w:rPr>
        <w:t xml:space="preserve">. All the kin-groups of the earth will gain blessing by Abraham. They will not merely </w:t>
      </w:r>
      <w:r w:rsidR="00DC03D3" w:rsidRPr="00EA4963">
        <w:rPr>
          <w:rFonts w:ascii="Calibri" w:eastAsia="Times New Roman" w:hAnsi="Calibri" w:cs="Times New Roman"/>
          <w:noProof/>
          <w:szCs w:val="20"/>
          <w:lang w:bidi="he-IL"/>
        </w:rPr>
        <w:t>pray for blessing like Abraham’s; they will receive it becaus</w:t>
      </w:r>
      <w:r w:rsidR="00EF778B">
        <w:rPr>
          <w:rFonts w:ascii="Calibri" w:eastAsia="Times New Roman" w:hAnsi="Calibri" w:cs="Times New Roman"/>
          <w:noProof/>
          <w:szCs w:val="20"/>
          <w:lang w:bidi="he-IL"/>
        </w:rPr>
        <w:t>e of him. Genesis is not specific about how i</w:t>
      </w:r>
      <w:r w:rsidR="00DC03D3" w:rsidRPr="00EA4963">
        <w:rPr>
          <w:rFonts w:ascii="Calibri" w:eastAsia="Times New Roman" w:hAnsi="Calibri" w:cs="Times New Roman"/>
          <w:noProof/>
          <w:szCs w:val="20"/>
          <w:lang w:bidi="he-IL"/>
        </w:rPr>
        <w:t>t will happen, though it will occasionally tell stories that one might see as examples—the story of Joseph</w:t>
      </w:r>
      <w:r w:rsidR="00241D90">
        <w:rPr>
          <w:rFonts w:ascii="Calibri" w:eastAsia="Times New Roman" w:hAnsi="Calibri" w:cs="Times New Roman"/>
          <w:noProof/>
          <w:szCs w:val="20"/>
          <w:lang w:bidi="he-IL"/>
        </w:rPr>
        <w:t xml:space="preserve"> in Egypt is the fullest one</w:t>
      </w:r>
      <w:r w:rsidR="00DC03D3" w:rsidRPr="00EA4963">
        <w:rPr>
          <w:rFonts w:ascii="Calibri" w:eastAsia="Times New Roman" w:hAnsi="Calibri" w:cs="Times New Roman"/>
          <w:noProof/>
          <w:szCs w:val="20"/>
          <w:lang w:bidi="he-IL"/>
        </w:rPr>
        <w:t>.</w:t>
      </w:r>
      <w:r w:rsidR="00EA4963" w:rsidRPr="00EA4963">
        <w:rPr>
          <w:rFonts w:ascii="Calibri" w:eastAsia="Times New Roman" w:hAnsi="Calibri" w:cs="Times New Roman"/>
          <w:noProof/>
          <w:szCs w:val="20"/>
          <w:lang w:bidi="he-IL"/>
        </w:rPr>
        <w:t xml:space="preserve"> Paul will see the promise fulfilled in even more rainbow colors </w:t>
      </w:r>
      <w:r w:rsidR="00EA4963">
        <w:rPr>
          <w:rFonts w:ascii="Calibri" w:eastAsia="Times New Roman" w:hAnsi="Calibri" w:cs="Times New Roman"/>
          <w:noProof/>
          <w:szCs w:val="20"/>
          <w:lang w:bidi="he-IL"/>
        </w:rPr>
        <w:t>(Gal 3:8). What is clear here is that God’s “choosing” or “</w:t>
      </w:r>
      <w:r w:rsidR="00185E29">
        <w:rPr>
          <w:rFonts w:ascii="Calibri" w:eastAsia="Times New Roman" w:hAnsi="Calibri" w:cs="Times New Roman"/>
          <w:noProof/>
          <w:szCs w:val="20"/>
          <w:lang w:bidi="he-IL"/>
        </w:rPr>
        <w:t>election” of Abraham</w:t>
      </w:r>
      <w:r w:rsidR="00EA4963">
        <w:rPr>
          <w:rFonts w:ascii="Calibri" w:eastAsia="Times New Roman" w:hAnsi="Calibri" w:cs="Times New Roman"/>
          <w:noProof/>
          <w:szCs w:val="20"/>
          <w:lang w:bidi="he-IL"/>
        </w:rPr>
        <w:t xml:space="preserve"> is not designed ultimately to exclude other peoples but ultimately to include them. </w:t>
      </w:r>
      <w:r w:rsidR="00511F12">
        <w:rPr>
          <w:rFonts w:ascii="Calibri" w:eastAsia="Times New Roman" w:hAnsi="Calibri" w:cs="Times New Roman"/>
          <w:noProof/>
          <w:szCs w:val="20"/>
          <w:lang w:bidi="he-IL"/>
        </w:rPr>
        <w:t>Belonging to the non-elect does not imply belonging to the anti-elect.</w:t>
      </w:r>
      <w:r w:rsidR="00511F12">
        <w:rPr>
          <w:rStyle w:val="FootnoteReference"/>
          <w:rFonts w:ascii="Calibri" w:eastAsia="Times New Roman" w:hAnsi="Calibri" w:cs="Times New Roman"/>
          <w:noProof/>
          <w:szCs w:val="20"/>
          <w:lang w:bidi="he-IL"/>
        </w:rPr>
        <w:footnoteReference w:id="56"/>
      </w:r>
    </w:p>
    <w:p w14:paraId="40176E97" w14:textId="42B604D3" w:rsidR="00F8413F" w:rsidRPr="002C19ED" w:rsidRDefault="00F8413F" w:rsidP="00F8413F">
      <w:pPr>
        <w:rPr>
          <w:lang w:bidi="he-IL"/>
        </w:rPr>
      </w:pPr>
      <w:r>
        <w:rPr>
          <w:lang w:bidi="he-IL"/>
        </w:rPr>
        <w:t>“It is no small honour to be ‘Abraham’s seed.’”</w:t>
      </w:r>
      <w:r>
        <w:rPr>
          <w:rStyle w:val="FootnoteReference"/>
          <w:lang w:bidi="he-IL"/>
        </w:rPr>
        <w:footnoteReference w:id="57"/>
      </w:r>
      <w:r>
        <w:rPr>
          <w:lang w:bidi="he-IL"/>
        </w:rPr>
        <w:t xml:space="preserve"> Fortunately for Gentiles, you don’t have to be physically descended from Abraham in order to be his son or daughter; </w:t>
      </w:r>
      <w:r>
        <w:rPr>
          <w:lang w:val="en-GB" w:bidi="he-IL"/>
        </w:rPr>
        <w:t>o</w:t>
      </w:r>
      <w:r w:rsidRPr="002C19ED">
        <w:rPr>
          <w:lang w:val="en-GB" w:bidi="he-IL"/>
        </w:rPr>
        <w:t xml:space="preserve">ne </w:t>
      </w:r>
      <w:r>
        <w:rPr>
          <w:lang w:val="en-GB" w:bidi="he-IL"/>
        </w:rPr>
        <w:t>“natural” son of Abraham affirm</w:t>
      </w:r>
      <w:r w:rsidRPr="002C19ED">
        <w:rPr>
          <w:lang w:val="en-GB" w:bidi="he-IL"/>
        </w:rPr>
        <w:t xml:space="preserve">s that </w:t>
      </w:r>
      <w:r>
        <w:rPr>
          <w:lang w:bidi="he-IL"/>
        </w:rPr>
        <w:t xml:space="preserve">you can be adopted into his family, on the basis of trusting in God as Abraham did (Rom 4:16; Gal 3:7-9). </w:t>
      </w:r>
      <w:r w:rsidRPr="002C19ED">
        <w:rPr>
          <w:lang w:val="en-GB" w:bidi="he-IL"/>
        </w:rPr>
        <w:t>After Jesus’</w:t>
      </w:r>
      <w:r>
        <w:rPr>
          <w:lang w:val="en-GB" w:bidi="he-IL"/>
        </w:rPr>
        <w:t>s</w:t>
      </w:r>
      <w:r w:rsidRPr="002C19ED">
        <w:rPr>
          <w:lang w:val="en-GB" w:bidi="he-IL"/>
        </w:rPr>
        <w:t xml:space="preserve"> executi</w:t>
      </w:r>
      <w:r>
        <w:rPr>
          <w:lang w:val="en-GB" w:bidi="he-IL"/>
        </w:rPr>
        <w:t>on and resurrection God promises</w:t>
      </w:r>
      <w:r w:rsidRPr="002C19ED">
        <w:rPr>
          <w:lang w:val="en-GB" w:bidi="he-IL"/>
        </w:rPr>
        <w:t xml:space="preserve"> that the Jewish peopl</w:t>
      </w:r>
      <w:r>
        <w:rPr>
          <w:lang w:val="en-GB" w:bidi="he-IL"/>
        </w:rPr>
        <w:t>e would now see all the nations</w:t>
      </w:r>
      <w:r w:rsidRPr="002C19ED">
        <w:rPr>
          <w:lang w:val="en-GB" w:bidi="he-IL"/>
        </w:rPr>
        <w:t xml:space="preserve"> finding blessing through them</w:t>
      </w:r>
      <w:r>
        <w:rPr>
          <w:lang w:val="en-GB" w:bidi="he-IL"/>
        </w:rPr>
        <w:t xml:space="preserve"> and along with them, as he had said to Abraham</w:t>
      </w:r>
      <w:r w:rsidRPr="002C19ED">
        <w:rPr>
          <w:lang w:val="en-GB" w:bidi="he-IL"/>
        </w:rPr>
        <w:t xml:space="preserve"> (Acts 3:25</w:t>
      </w:r>
      <w:r>
        <w:rPr>
          <w:lang w:val="en-GB" w:bidi="he-IL"/>
        </w:rPr>
        <w:t>-26</w:t>
      </w:r>
      <w:r w:rsidRPr="002C19ED">
        <w:rPr>
          <w:lang w:val="en-GB" w:bidi="he-IL"/>
        </w:rPr>
        <w:t>).</w:t>
      </w:r>
      <w:r>
        <w:rPr>
          <w:rStyle w:val="FootnoteReference"/>
          <w:lang w:val="en-GB" w:bidi="he-IL"/>
        </w:rPr>
        <w:footnoteReference w:id="58"/>
      </w:r>
      <w:r w:rsidRPr="002C19ED">
        <w:rPr>
          <w:lang w:val="en-GB" w:bidi="he-IL"/>
        </w:rPr>
        <w:t xml:space="preserve"> And it happe</w:t>
      </w:r>
      <w:r>
        <w:rPr>
          <w:lang w:val="en-GB" w:bidi="he-IL"/>
        </w:rPr>
        <w:t>ns. P</w:t>
      </w:r>
      <w:r w:rsidRPr="002C19ED">
        <w:rPr>
          <w:lang w:val="en-GB" w:bidi="he-IL"/>
        </w:rPr>
        <w:t xml:space="preserve">eople who trust in Jesus and thus belong to him </w:t>
      </w:r>
      <w:r>
        <w:rPr>
          <w:lang w:val="en-GB" w:bidi="he-IL"/>
        </w:rPr>
        <w:t xml:space="preserve">do </w:t>
      </w:r>
      <w:r w:rsidRPr="002C19ED">
        <w:rPr>
          <w:lang w:val="en-GB" w:bidi="he-IL"/>
        </w:rPr>
        <w:t xml:space="preserve">count as the offspring of Abraham and are among the heirs of his promise, whatever their race or social position or gender. It is in the giving of the Spirit that the blessing of Abraham that was destined for all nations comes to them (Gal 3:8, 14, 28-29). </w:t>
      </w:r>
      <w:r w:rsidR="00241D90">
        <w:rPr>
          <w:lang w:bidi="he-IL"/>
        </w:rPr>
        <w:t>Unfortunately, they</w:t>
      </w:r>
      <w:r w:rsidRPr="002C19ED">
        <w:rPr>
          <w:lang w:bidi="he-IL"/>
        </w:rPr>
        <w:t xml:space="preserve"> then have to take seriously John the Baptizer</w:t>
      </w:r>
      <w:r w:rsidR="00241D90">
        <w:rPr>
          <w:lang w:bidi="he-IL"/>
        </w:rPr>
        <w:t>’s warning not to think that they are okay because they</w:t>
      </w:r>
      <w:r w:rsidRPr="002C19ED">
        <w:rPr>
          <w:lang w:bidi="he-IL"/>
        </w:rPr>
        <w:t xml:space="preserve"> are Abraham’s children (Matt 3:9).</w:t>
      </w:r>
    </w:p>
    <w:p w14:paraId="481A4505" w14:textId="3D38462E" w:rsidR="002E2F2C" w:rsidRDefault="002E2F2C" w:rsidP="00DA695A">
      <w:pPr>
        <w:rPr>
          <w:rFonts w:ascii="Calibri" w:eastAsia="Times New Roman" w:hAnsi="Calibri" w:cs="Times New Roman"/>
          <w:szCs w:val="20"/>
          <w:lang w:val="en-GB" w:bidi="he-IL"/>
        </w:rPr>
      </w:pPr>
      <w:r w:rsidRPr="00EA4963">
        <w:rPr>
          <w:rFonts w:ascii="Calibri" w:eastAsia="Times New Roman" w:hAnsi="Calibri" w:cs="Times New Roman"/>
          <w:b/>
          <w:noProof/>
          <w:szCs w:val="20"/>
          <w:lang w:bidi="he-IL"/>
        </w:rPr>
        <w:t>12:4</w:t>
      </w:r>
      <w:r w:rsidRPr="00EA4963">
        <w:rPr>
          <w:rFonts w:ascii="Calibri" w:eastAsia="Times New Roman" w:hAnsi="Calibri" w:cs="Times New Roman"/>
          <w:noProof/>
          <w:szCs w:val="20"/>
          <w:lang w:bidi="he-IL"/>
        </w:rPr>
        <w:t xml:space="preserve">. </w:t>
      </w:r>
      <w:r w:rsidR="00B32653" w:rsidRPr="00EA4963">
        <w:rPr>
          <w:rFonts w:ascii="Calibri" w:eastAsia="Times New Roman" w:hAnsi="Calibri" w:cs="Times New Roman"/>
          <w:noProof/>
          <w:szCs w:val="20"/>
          <w:lang w:bidi="he-IL"/>
        </w:rPr>
        <w:t>Yahweh says</w:t>
      </w:r>
      <w:r w:rsidR="00C438B3" w:rsidRPr="00EA4963">
        <w:rPr>
          <w:rFonts w:ascii="Calibri" w:eastAsia="Times New Roman" w:hAnsi="Calibri" w:cs="Times New Roman"/>
          <w:noProof/>
          <w:szCs w:val="20"/>
          <w:lang w:bidi="he-IL"/>
        </w:rPr>
        <w:t xml:space="preserve"> </w:t>
      </w:r>
      <w:r w:rsidR="003D56BA" w:rsidRPr="00EA4963">
        <w:rPr>
          <w:rFonts w:ascii="Calibri" w:eastAsia="Times New Roman" w:hAnsi="Calibri" w:cs="Times New Roman"/>
          <w:noProof/>
          <w:szCs w:val="20"/>
          <w:lang w:bidi="he-IL"/>
        </w:rPr>
        <w:t>“</w:t>
      </w:r>
      <w:r w:rsidR="00C438B3" w:rsidRPr="00EA4963">
        <w:rPr>
          <w:rFonts w:ascii="Calibri" w:eastAsia="Times New Roman" w:hAnsi="Calibri" w:cs="Times New Roman"/>
          <w:noProof/>
          <w:szCs w:val="20"/>
          <w:lang w:bidi="he-IL"/>
        </w:rPr>
        <w:t>go</w:t>
      </w:r>
      <w:r w:rsidR="003D56BA" w:rsidRPr="00EA4963">
        <w:rPr>
          <w:rFonts w:ascii="Calibri" w:eastAsia="Times New Roman" w:hAnsi="Calibri" w:cs="Times New Roman"/>
          <w:noProof/>
          <w:szCs w:val="20"/>
          <w:lang w:bidi="he-IL"/>
        </w:rPr>
        <w:t>”</w:t>
      </w:r>
      <w:r w:rsidR="00C438B3" w:rsidRPr="00EA4963">
        <w:rPr>
          <w:rFonts w:ascii="Calibri" w:eastAsia="Times New Roman" w:hAnsi="Calibri" w:cs="Times New Roman"/>
          <w:noProof/>
          <w:szCs w:val="20"/>
          <w:lang w:bidi="he-IL"/>
        </w:rPr>
        <w:t xml:space="preserve">; Abraham goes. </w:t>
      </w:r>
      <w:r w:rsidR="003D56BA" w:rsidRPr="00EA4963">
        <w:rPr>
          <w:rFonts w:ascii="Calibri" w:eastAsia="Times New Roman" w:hAnsi="Calibri" w:cs="Times New Roman"/>
          <w:noProof/>
          <w:szCs w:val="20"/>
          <w:lang w:bidi="he-IL"/>
        </w:rPr>
        <w:t>“</w:t>
      </w:r>
      <w:r w:rsidR="00DE67B2" w:rsidRPr="00EA4963">
        <w:rPr>
          <w:rFonts w:ascii="Calibri" w:eastAsia="Times New Roman" w:hAnsi="Calibri" w:cs="Times New Roman"/>
          <w:noProof/>
          <w:szCs w:val="20"/>
          <w:lang w:bidi="he-IL"/>
        </w:rPr>
        <w:t>Whom… would</w:t>
      </w:r>
      <w:r w:rsidR="00727890">
        <w:rPr>
          <w:rFonts w:ascii="Calibri" w:eastAsia="Times New Roman" w:hAnsi="Calibri" w:cs="Times New Roman"/>
          <w:noProof/>
          <w:szCs w:val="20"/>
          <w:lang w:bidi="he-IL"/>
        </w:rPr>
        <w:t xml:space="preserve"> </w:t>
      </w:r>
      <w:r w:rsidR="00DE67B2" w:rsidRPr="00EA4963">
        <w:rPr>
          <w:rFonts w:ascii="Calibri" w:eastAsia="Times New Roman" w:hAnsi="Calibri" w:cs="Times New Roman"/>
          <w:noProof/>
          <w:szCs w:val="20"/>
          <w:lang w:bidi="he-IL"/>
        </w:rPr>
        <w:t>these</w:t>
      </w:r>
      <w:r w:rsidR="00727890">
        <w:rPr>
          <w:rFonts w:ascii="Calibri" w:eastAsia="Times New Roman" w:hAnsi="Calibri" w:cs="Times New Roman"/>
          <w:noProof/>
          <w:szCs w:val="20"/>
          <w:lang w:bidi="he-IL"/>
        </w:rPr>
        <w:t xml:space="preserve"> </w:t>
      </w:r>
      <w:r w:rsidR="00DE67B2" w:rsidRPr="00EA4963">
        <w:rPr>
          <w:rFonts w:ascii="Calibri" w:eastAsia="Times New Roman" w:hAnsi="Calibri" w:cs="Times New Roman"/>
          <w:noProof/>
          <w:szCs w:val="20"/>
          <w:lang w:bidi="he-IL"/>
        </w:rPr>
        <w:t>words</w:t>
      </w:r>
      <w:r w:rsidR="00727890">
        <w:rPr>
          <w:rFonts w:ascii="Calibri" w:eastAsia="Times New Roman" w:hAnsi="Calibri" w:cs="Times New Roman"/>
          <w:noProof/>
          <w:szCs w:val="20"/>
          <w:lang w:bidi="he-IL"/>
        </w:rPr>
        <w:t xml:space="preserve"> </w:t>
      </w:r>
      <w:r w:rsidR="00DE67B2" w:rsidRPr="00EA4963">
        <w:rPr>
          <w:rFonts w:ascii="Calibri" w:eastAsia="Times New Roman" w:hAnsi="Calibri" w:cs="Times New Roman"/>
          <w:noProof/>
          <w:szCs w:val="20"/>
          <w:lang w:bidi="he-IL"/>
        </w:rPr>
        <w:t>not</w:t>
      </w:r>
      <w:r w:rsidR="00727890">
        <w:rPr>
          <w:rFonts w:ascii="Calibri" w:eastAsia="Times New Roman" w:hAnsi="Calibri" w:cs="Times New Roman"/>
          <w:noProof/>
          <w:szCs w:val="20"/>
          <w:lang w:bidi="he-IL"/>
        </w:rPr>
        <w:t xml:space="preserve"> </w:t>
      </w:r>
      <w:r w:rsidR="00DE67B2" w:rsidRPr="00EA4963">
        <w:rPr>
          <w:rFonts w:ascii="Calibri" w:eastAsia="Times New Roman" w:hAnsi="Calibri" w:cs="Times New Roman"/>
          <w:noProof/>
          <w:szCs w:val="20"/>
          <w:lang w:bidi="he-IL"/>
        </w:rPr>
        <w:t>have</w:t>
      </w:r>
      <w:r w:rsidR="00727890">
        <w:rPr>
          <w:rFonts w:ascii="Calibri" w:eastAsia="Times New Roman" w:hAnsi="Calibri" w:cs="Times New Roman"/>
          <w:noProof/>
          <w:szCs w:val="20"/>
          <w:lang w:bidi="he-IL"/>
        </w:rPr>
        <w:t xml:space="preserve"> </w:t>
      </w:r>
      <w:r w:rsidR="00DE67B2" w:rsidRPr="00EA4963">
        <w:rPr>
          <w:rFonts w:ascii="Calibri" w:eastAsia="Times New Roman" w:hAnsi="Calibri" w:cs="Times New Roman"/>
          <w:noProof/>
          <w:szCs w:val="20"/>
          <w:lang w:bidi="he-IL"/>
        </w:rPr>
        <w:t>disturbed?</w:t>
      </w:r>
      <w:r w:rsidR="00727890">
        <w:rPr>
          <w:rFonts w:ascii="Calibri" w:eastAsia="Times New Roman" w:hAnsi="Calibri" w:cs="Times New Roman"/>
          <w:noProof/>
          <w:szCs w:val="20"/>
          <w:lang w:bidi="he-IL"/>
        </w:rPr>
        <w:t xml:space="preserve"> </w:t>
      </w:r>
      <w:r w:rsidR="00DE67B2" w:rsidRPr="00EA4963">
        <w:rPr>
          <w:rFonts w:ascii="Calibri" w:eastAsia="Times New Roman" w:hAnsi="Calibri" w:cs="Times New Roman"/>
          <w:noProof/>
          <w:szCs w:val="20"/>
          <w:lang w:bidi="he-IL"/>
        </w:rPr>
        <w:t>He reveals to him neither the place nor the country.</w:t>
      </w:r>
      <w:r w:rsidR="003D56BA" w:rsidRPr="00EA4963">
        <w:rPr>
          <w:rFonts w:ascii="Calibri" w:eastAsia="Times New Roman" w:hAnsi="Calibri" w:cs="Times New Roman"/>
          <w:noProof/>
          <w:szCs w:val="20"/>
          <w:lang w:bidi="he-IL"/>
        </w:rPr>
        <w:t>”</w:t>
      </w:r>
      <w:r w:rsidR="00DE67B2" w:rsidRPr="00EA4963">
        <w:rPr>
          <w:rFonts w:ascii="Calibri" w:eastAsia="Times New Roman" w:hAnsi="Calibri" w:cs="Times New Roman"/>
          <w:noProof/>
          <w:szCs w:val="20"/>
          <w:lang w:bidi="he-IL"/>
        </w:rPr>
        <w:t xml:space="preserve"> But instead of asking, Abraham just goes.</w:t>
      </w:r>
      <w:r w:rsidR="00DE67B2" w:rsidRPr="00EA4963">
        <w:rPr>
          <w:rFonts w:ascii="Calibri" w:eastAsia="Times New Roman" w:hAnsi="Calibri" w:cs="Times New Roman"/>
          <w:noProof/>
          <w:szCs w:val="20"/>
          <w:vertAlign w:val="superscript"/>
          <w:lang w:bidi="he-IL"/>
        </w:rPr>
        <w:footnoteReference w:id="59"/>
      </w:r>
      <w:r w:rsidR="00DE67B2" w:rsidRPr="00EA4963">
        <w:rPr>
          <w:rFonts w:ascii="Calibri" w:eastAsia="Times New Roman" w:hAnsi="Calibri" w:cs="Times New Roman"/>
          <w:noProof/>
          <w:szCs w:val="20"/>
          <w:lang w:bidi="he-IL"/>
        </w:rPr>
        <w:t xml:space="preserve"> </w:t>
      </w:r>
      <w:r w:rsidR="00C438B3" w:rsidRPr="00EA4963">
        <w:rPr>
          <w:rFonts w:ascii="Calibri" w:eastAsia="Times New Roman" w:hAnsi="Calibri" w:cs="Times New Roman"/>
          <w:noProof/>
          <w:szCs w:val="20"/>
          <w:lang w:bidi="he-IL"/>
        </w:rPr>
        <w:t xml:space="preserve">The two occurrences of the verb </w:t>
      </w:r>
      <w:r w:rsidR="003D56BA" w:rsidRPr="00EA4963">
        <w:rPr>
          <w:rFonts w:ascii="Calibri" w:eastAsia="Times New Roman" w:hAnsi="Calibri" w:cs="Times New Roman"/>
          <w:noProof/>
          <w:szCs w:val="20"/>
          <w:lang w:bidi="he-IL"/>
        </w:rPr>
        <w:t>“</w:t>
      </w:r>
      <w:r w:rsidR="00B32653" w:rsidRPr="00EA4963">
        <w:rPr>
          <w:rFonts w:ascii="Calibri" w:eastAsia="Times New Roman" w:hAnsi="Calibri" w:cs="Times New Roman"/>
          <w:noProof/>
          <w:szCs w:val="20"/>
          <w:lang w:bidi="he-IL"/>
        </w:rPr>
        <w:t>go</w:t>
      </w:r>
      <w:r w:rsidR="003D56BA" w:rsidRPr="00EA4963">
        <w:rPr>
          <w:rFonts w:ascii="Calibri" w:eastAsia="Times New Roman" w:hAnsi="Calibri" w:cs="Times New Roman"/>
          <w:noProof/>
          <w:szCs w:val="20"/>
          <w:lang w:bidi="he-IL"/>
        </w:rPr>
        <w:t>”</w:t>
      </w:r>
      <w:r w:rsidR="00B32653" w:rsidRPr="00EA4963">
        <w:rPr>
          <w:rFonts w:ascii="Calibri" w:eastAsia="Times New Roman" w:hAnsi="Calibri" w:cs="Times New Roman"/>
          <w:noProof/>
          <w:szCs w:val="20"/>
          <w:lang w:bidi="he-IL"/>
        </w:rPr>
        <w:t xml:space="preserve"> </w:t>
      </w:r>
      <w:r w:rsidR="00C438B3" w:rsidRPr="00EA4963">
        <w:rPr>
          <w:rFonts w:ascii="Calibri" w:eastAsia="Times New Roman" w:hAnsi="Calibri" w:cs="Times New Roman"/>
          <w:noProof/>
          <w:szCs w:val="20"/>
          <w:lang w:bidi="he-IL"/>
        </w:rPr>
        <w:t xml:space="preserve">bookend vv. 1-4. </w:t>
      </w:r>
      <w:r w:rsidR="00C40E9F" w:rsidRPr="00EA4963">
        <w:rPr>
          <w:rFonts w:ascii="Calibri" w:eastAsia="Times New Roman" w:hAnsi="Calibri" w:cs="Times New Roman"/>
          <w:noProof/>
          <w:szCs w:val="20"/>
          <w:lang w:bidi="he-IL"/>
        </w:rPr>
        <w:t>The motif of obedience corresponds to this motif in the Noah story</w:t>
      </w:r>
      <w:r w:rsidR="003365F7" w:rsidRPr="00EA4963">
        <w:rPr>
          <w:rFonts w:ascii="Calibri" w:eastAsia="Times New Roman" w:hAnsi="Calibri" w:cs="Times New Roman"/>
          <w:noProof/>
          <w:szCs w:val="20"/>
          <w:lang w:bidi="he-IL"/>
        </w:rPr>
        <w:t xml:space="preserve"> (cf. 6:22; 7:5)</w:t>
      </w:r>
      <w:r w:rsidR="00C40E9F" w:rsidRPr="00EA4963">
        <w:rPr>
          <w:rFonts w:ascii="Calibri" w:eastAsia="Times New Roman" w:hAnsi="Calibri" w:cs="Times New Roman"/>
          <w:noProof/>
          <w:szCs w:val="20"/>
          <w:lang w:bidi="he-IL"/>
        </w:rPr>
        <w:t xml:space="preserve">. </w:t>
      </w:r>
      <w:r w:rsidR="00B8245A" w:rsidRPr="00EA4963">
        <w:rPr>
          <w:rFonts w:ascii="Calibri" w:eastAsia="Times New Roman" w:hAnsi="Calibri" w:cs="Times New Roman"/>
          <w:noProof/>
          <w:szCs w:val="20"/>
          <w:lang w:bidi="he-IL"/>
        </w:rPr>
        <w:t>Including Lot in the company a</w:t>
      </w:r>
      <w:r w:rsidR="00EF778B">
        <w:rPr>
          <w:rFonts w:ascii="Calibri" w:eastAsia="Times New Roman" w:hAnsi="Calibri" w:cs="Times New Roman"/>
          <w:noProof/>
          <w:szCs w:val="20"/>
          <w:lang w:bidi="he-IL"/>
        </w:rPr>
        <w:t>pparently does not conflict with</w:t>
      </w:r>
      <w:r w:rsidR="00B8245A" w:rsidRPr="00EA4963">
        <w:rPr>
          <w:rFonts w:ascii="Calibri" w:eastAsia="Times New Roman" w:hAnsi="Calibri" w:cs="Times New Roman"/>
          <w:noProof/>
          <w:szCs w:val="20"/>
          <w:lang w:bidi="he-IL"/>
        </w:rPr>
        <w:t xml:space="preserve"> the idea of doing as Yahweh had said; as Abraham’s nephew, he counts as a member of Abraham’s own household.</w:t>
      </w:r>
      <w:r w:rsidR="00044A8C">
        <w:rPr>
          <w:rStyle w:val="FootnoteReference"/>
          <w:rFonts w:ascii="Calibri" w:eastAsia="Times New Roman" w:hAnsi="Calibri" w:cs="Times New Roman"/>
          <w:noProof/>
          <w:szCs w:val="20"/>
          <w:lang w:bidi="he-IL"/>
        </w:rPr>
        <w:footnoteReference w:id="60"/>
      </w:r>
      <w:r w:rsidR="00EF778B">
        <w:rPr>
          <w:rFonts w:ascii="Calibri" w:eastAsia="Times New Roman" w:hAnsi="Calibri" w:cs="Times New Roman"/>
          <w:noProof/>
          <w:szCs w:val="20"/>
          <w:lang w:bidi="he-IL"/>
        </w:rPr>
        <w:t xml:space="preserve"> T</w:t>
      </w:r>
      <w:r w:rsidR="004223C7" w:rsidRPr="00EA4963">
        <w:rPr>
          <w:rFonts w:ascii="Calibri" w:eastAsia="Times New Roman" w:hAnsi="Calibri" w:cs="Times New Roman"/>
          <w:noProof/>
          <w:szCs w:val="20"/>
          <w:lang w:bidi="he-IL"/>
        </w:rPr>
        <w:t xml:space="preserve">he laconic summary </w:t>
      </w:r>
      <w:r w:rsidR="00EF778B">
        <w:rPr>
          <w:rFonts w:ascii="Calibri" w:eastAsia="Times New Roman" w:hAnsi="Calibri" w:cs="Times New Roman"/>
          <w:noProof/>
          <w:szCs w:val="20"/>
          <w:lang w:bidi="he-IL"/>
        </w:rPr>
        <w:t xml:space="preserve">again </w:t>
      </w:r>
      <w:r w:rsidR="004223C7" w:rsidRPr="00EA4963">
        <w:rPr>
          <w:rFonts w:ascii="Calibri" w:eastAsia="Times New Roman" w:hAnsi="Calibri" w:cs="Times New Roman"/>
          <w:noProof/>
          <w:szCs w:val="20"/>
          <w:lang w:bidi="he-IL"/>
        </w:rPr>
        <w:t>does not convey the magnitude of</w:t>
      </w:r>
      <w:r w:rsidR="00E810BA" w:rsidRPr="00EA4963">
        <w:rPr>
          <w:rFonts w:ascii="Calibri" w:eastAsia="Times New Roman" w:hAnsi="Calibri" w:cs="Times New Roman"/>
          <w:noProof/>
          <w:szCs w:val="20"/>
          <w:lang w:bidi="he-IL"/>
        </w:rPr>
        <w:t xml:space="preserve"> the venture. It mean</w:t>
      </w:r>
      <w:r w:rsidR="00EF778B">
        <w:rPr>
          <w:rFonts w:ascii="Calibri" w:eastAsia="Times New Roman" w:hAnsi="Calibri" w:cs="Times New Roman"/>
          <w:noProof/>
          <w:szCs w:val="20"/>
          <w:lang w:bidi="he-IL"/>
        </w:rPr>
        <w:t>s</w:t>
      </w:r>
      <w:r w:rsidR="00E810BA" w:rsidRPr="00EA4963">
        <w:rPr>
          <w:rFonts w:ascii="Calibri" w:eastAsia="Times New Roman" w:hAnsi="Calibri" w:cs="Times New Roman"/>
          <w:noProof/>
          <w:szCs w:val="20"/>
          <w:lang w:bidi="he-IL"/>
        </w:rPr>
        <w:t xml:space="preserve"> another 4</w:t>
      </w:r>
      <w:r w:rsidR="004223C7" w:rsidRPr="00EA4963">
        <w:rPr>
          <w:rFonts w:ascii="Calibri" w:eastAsia="Times New Roman" w:hAnsi="Calibri" w:cs="Times New Roman"/>
          <w:noProof/>
          <w:szCs w:val="20"/>
          <w:lang w:bidi="he-IL"/>
        </w:rPr>
        <w:t>00</w:t>
      </w:r>
      <w:r w:rsidR="00E810BA" w:rsidRPr="00EA4963">
        <w:rPr>
          <w:rFonts w:ascii="Calibri" w:eastAsia="Times New Roman" w:hAnsi="Calibri" w:cs="Times New Roman"/>
          <w:noProof/>
          <w:szCs w:val="20"/>
          <w:lang w:bidi="he-IL"/>
        </w:rPr>
        <w:t>-500</w:t>
      </w:r>
      <w:r w:rsidR="004223C7">
        <w:rPr>
          <w:rFonts w:ascii="Calibri" w:eastAsia="Times New Roman" w:hAnsi="Calibri" w:cs="Times New Roman"/>
          <w:szCs w:val="20"/>
          <w:lang w:val="en-GB" w:bidi="he-IL"/>
        </w:rPr>
        <w:t xml:space="preserve"> miles of travel, a perhaps </w:t>
      </w:r>
      <w:r w:rsidR="00B32653">
        <w:rPr>
          <w:rFonts w:ascii="Calibri" w:eastAsia="Times New Roman" w:hAnsi="Calibri" w:cs="Times New Roman"/>
          <w:szCs w:val="20"/>
          <w:lang w:val="en-GB" w:bidi="he-IL"/>
        </w:rPr>
        <w:t xml:space="preserve">a </w:t>
      </w:r>
      <w:r w:rsidR="004223C7">
        <w:rPr>
          <w:rFonts w:ascii="Calibri" w:eastAsia="Times New Roman" w:hAnsi="Calibri" w:cs="Times New Roman"/>
          <w:szCs w:val="20"/>
          <w:lang w:val="en-GB" w:bidi="he-IL"/>
        </w:rPr>
        <w:t xml:space="preserve">more demanding </w:t>
      </w:r>
      <w:r w:rsidR="00EF778B">
        <w:rPr>
          <w:rFonts w:ascii="Calibri" w:eastAsia="Times New Roman" w:hAnsi="Calibri" w:cs="Times New Roman"/>
          <w:szCs w:val="20"/>
          <w:lang w:val="en-GB" w:bidi="he-IL"/>
        </w:rPr>
        <w:t xml:space="preserve">(and perhaps more dangerous) </w:t>
      </w:r>
      <w:r w:rsidR="004223C7">
        <w:rPr>
          <w:rFonts w:ascii="Calibri" w:eastAsia="Times New Roman" w:hAnsi="Calibri" w:cs="Times New Roman"/>
          <w:szCs w:val="20"/>
          <w:lang w:val="en-GB" w:bidi="he-IL"/>
        </w:rPr>
        <w:t xml:space="preserve">journey that involved climbing </w:t>
      </w:r>
      <w:r w:rsidR="00B32653">
        <w:rPr>
          <w:rFonts w:ascii="Calibri" w:eastAsia="Times New Roman" w:hAnsi="Calibri" w:cs="Times New Roman"/>
          <w:szCs w:val="20"/>
          <w:lang w:val="en-GB" w:bidi="he-IL"/>
        </w:rPr>
        <w:t xml:space="preserve">some </w:t>
      </w:r>
      <w:r w:rsidR="004223C7">
        <w:rPr>
          <w:rFonts w:ascii="Calibri" w:eastAsia="Times New Roman" w:hAnsi="Calibri" w:cs="Times New Roman"/>
          <w:szCs w:val="20"/>
          <w:lang w:val="en-GB" w:bidi="he-IL"/>
        </w:rPr>
        <w:t>mountain ridges and descending into</w:t>
      </w:r>
      <w:r w:rsidR="00B32653">
        <w:rPr>
          <w:rFonts w:ascii="Calibri" w:eastAsia="Times New Roman" w:hAnsi="Calibri" w:cs="Times New Roman"/>
          <w:szCs w:val="20"/>
          <w:lang w:val="en-GB" w:bidi="he-IL"/>
        </w:rPr>
        <w:t xml:space="preserve"> some</w:t>
      </w:r>
      <w:r w:rsidR="00EF778B">
        <w:rPr>
          <w:rFonts w:ascii="Calibri" w:eastAsia="Times New Roman" w:hAnsi="Calibri" w:cs="Times New Roman"/>
          <w:szCs w:val="20"/>
          <w:lang w:val="en-GB" w:bidi="he-IL"/>
        </w:rPr>
        <w:t xml:space="preserve"> valleys</w:t>
      </w:r>
      <w:r w:rsidR="004223C7">
        <w:rPr>
          <w:rFonts w:ascii="Calibri" w:eastAsia="Times New Roman" w:hAnsi="Calibri" w:cs="Times New Roman"/>
          <w:szCs w:val="20"/>
          <w:lang w:val="en-GB" w:bidi="he-IL"/>
        </w:rPr>
        <w:t xml:space="preserve">. Towards the end, simply </w:t>
      </w:r>
      <w:r w:rsidR="004223C7">
        <w:rPr>
          <w:rFonts w:ascii="Calibri" w:eastAsia="Times New Roman" w:hAnsi="Calibri" w:cs="Times New Roman"/>
          <w:szCs w:val="20"/>
          <w:lang w:val="en-GB" w:bidi="he-IL"/>
        </w:rPr>
        <w:lastRenderedPageBreak/>
        <w:t>the descent from the Golan Heights into the depths of the Jordan Val</w:t>
      </w:r>
      <w:r w:rsidR="00EF778B">
        <w:rPr>
          <w:rFonts w:ascii="Calibri" w:eastAsia="Times New Roman" w:hAnsi="Calibri" w:cs="Times New Roman"/>
          <w:szCs w:val="20"/>
          <w:lang w:val="en-GB" w:bidi="he-IL"/>
        </w:rPr>
        <w:t>ley and up the other side of that</w:t>
      </w:r>
      <w:r w:rsidR="00241D90">
        <w:rPr>
          <w:rFonts w:ascii="Calibri" w:eastAsia="Times New Roman" w:hAnsi="Calibri" w:cs="Times New Roman"/>
          <w:szCs w:val="20"/>
          <w:lang w:val="en-GB" w:bidi="he-IL"/>
        </w:rPr>
        <w:t xml:space="preserve"> valley into Canaan proper </w:t>
      </w:r>
      <w:r w:rsidR="004223C7">
        <w:rPr>
          <w:rFonts w:ascii="Calibri" w:eastAsia="Times New Roman" w:hAnsi="Calibri" w:cs="Times New Roman"/>
          <w:szCs w:val="20"/>
          <w:lang w:val="en-GB" w:bidi="he-IL"/>
        </w:rPr>
        <w:t xml:space="preserve">at the point now called </w:t>
      </w:r>
      <w:r w:rsidR="00B577D5">
        <w:rPr>
          <w:rFonts w:ascii="Calibri" w:eastAsia="Times New Roman" w:hAnsi="Calibri" w:cs="Times New Roman"/>
          <w:szCs w:val="20"/>
          <w:lang w:val="en-GB" w:bidi="he-IL"/>
        </w:rPr>
        <w:t>the Bridge of Jacob’s Daughter--if we imagine them taking that route—</w:t>
      </w:r>
      <w:r w:rsidR="004223C7">
        <w:rPr>
          <w:rFonts w:ascii="Calibri" w:eastAsia="Times New Roman" w:hAnsi="Calibri" w:cs="Times New Roman"/>
          <w:szCs w:val="20"/>
          <w:lang w:val="en-GB" w:bidi="he-IL"/>
        </w:rPr>
        <w:t xml:space="preserve">would have been a nightmare as well as an excitement. </w:t>
      </w:r>
      <w:r w:rsidR="007D68DE">
        <w:rPr>
          <w:rFonts w:ascii="Calibri" w:eastAsia="Times New Roman" w:hAnsi="Calibri" w:cs="Times New Roman"/>
          <w:szCs w:val="20"/>
          <w:lang w:val="en-GB" w:bidi="he-IL"/>
        </w:rPr>
        <w:t>Given that t</w:t>
      </w:r>
      <w:r w:rsidR="00C40E9F">
        <w:rPr>
          <w:rFonts w:ascii="Calibri" w:eastAsia="Times New Roman" w:hAnsi="Calibri" w:cs="Times New Roman"/>
          <w:szCs w:val="20"/>
          <w:lang w:val="en-GB" w:bidi="he-IL"/>
        </w:rPr>
        <w:t>he ages in the Abraham story have moved closer to the ages t</w:t>
      </w:r>
      <w:r w:rsidR="00EF778B">
        <w:rPr>
          <w:rFonts w:ascii="Calibri" w:eastAsia="Times New Roman" w:hAnsi="Calibri" w:cs="Times New Roman"/>
          <w:szCs w:val="20"/>
          <w:lang w:val="en-GB" w:bidi="he-IL"/>
        </w:rPr>
        <w:t>hat would fit</w:t>
      </w:r>
      <w:r w:rsidR="007D68DE">
        <w:rPr>
          <w:rFonts w:ascii="Calibri" w:eastAsia="Times New Roman" w:hAnsi="Calibri" w:cs="Times New Roman"/>
          <w:szCs w:val="20"/>
          <w:lang w:val="en-GB" w:bidi="he-IL"/>
        </w:rPr>
        <w:t xml:space="preserve"> the listeners’ experience and that </w:t>
      </w:r>
      <w:r w:rsidR="00C40E9F">
        <w:rPr>
          <w:rFonts w:ascii="Calibri" w:eastAsia="Times New Roman" w:hAnsi="Calibri" w:cs="Times New Roman"/>
          <w:szCs w:val="20"/>
          <w:lang w:val="en-GB" w:bidi="he-IL"/>
        </w:rPr>
        <w:t>Abraham wil</w:t>
      </w:r>
      <w:r w:rsidR="007D68DE">
        <w:rPr>
          <w:rFonts w:ascii="Calibri" w:eastAsia="Times New Roman" w:hAnsi="Calibri" w:cs="Times New Roman"/>
          <w:szCs w:val="20"/>
          <w:lang w:val="en-GB" w:bidi="he-IL"/>
        </w:rPr>
        <w:t>l be 175 when he dies (25:7),</w:t>
      </w:r>
      <w:r w:rsidR="00C40E9F">
        <w:rPr>
          <w:rFonts w:ascii="Calibri" w:eastAsia="Times New Roman" w:hAnsi="Calibri" w:cs="Times New Roman"/>
          <w:szCs w:val="20"/>
          <w:lang w:val="en-GB" w:bidi="he-IL"/>
        </w:rPr>
        <w:t xml:space="preserve"> one could perhaps think of him </w:t>
      </w:r>
      <w:r w:rsidR="00B32653">
        <w:rPr>
          <w:rFonts w:ascii="Calibri" w:eastAsia="Times New Roman" w:hAnsi="Calibri" w:cs="Times New Roman"/>
          <w:szCs w:val="20"/>
          <w:lang w:val="en-GB" w:bidi="he-IL"/>
        </w:rPr>
        <w:t>as 35 or 40 in literal</w:t>
      </w:r>
      <w:r w:rsidR="00C40E9F">
        <w:rPr>
          <w:rFonts w:ascii="Calibri" w:eastAsia="Times New Roman" w:hAnsi="Calibri" w:cs="Times New Roman"/>
          <w:szCs w:val="20"/>
          <w:lang w:val="en-GB" w:bidi="he-IL"/>
        </w:rPr>
        <w:t xml:space="preserve"> terms at this point.</w:t>
      </w:r>
      <w:r w:rsidR="00727223">
        <w:rPr>
          <w:rFonts w:ascii="Calibri" w:eastAsia="Times New Roman" w:hAnsi="Calibri" w:cs="Times New Roman"/>
          <w:szCs w:val="20"/>
          <w:lang w:val="en-GB" w:bidi="he-IL"/>
        </w:rPr>
        <w:t xml:space="preserve"> </w:t>
      </w:r>
    </w:p>
    <w:p w14:paraId="32D6A21D" w14:textId="1A80A7EA" w:rsidR="002560AA" w:rsidRDefault="00C40E9F" w:rsidP="00DA695A">
      <w:pPr>
        <w:rPr>
          <w:rFonts w:ascii="Calibri" w:eastAsia="Times New Roman" w:hAnsi="Calibri" w:cs="Times New Roman"/>
          <w:szCs w:val="20"/>
          <w:lang w:val="en-GB" w:bidi="he-IL"/>
        </w:rPr>
      </w:pPr>
      <w:r>
        <w:rPr>
          <w:rFonts w:ascii="Calibri" w:eastAsia="Times New Roman" w:hAnsi="Calibri" w:cs="Times New Roman"/>
          <w:b/>
          <w:szCs w:val="20"/>
          <w:lang w:val="en-GB" w:bidi="he-IL"/>
        </w:rPr>
        <w:t>12:5-8.</w:t>
      </w:r>
      <w:r w:rsidR="004223C7">
        <w:rPr>
          <w:rFonts w:ascii="Calibri" w:eastAsia="Times New Roman" w:hAnsi="Calibri" w:cs="Times New Roman"/>
          <w:b/>
          <w:szCs w:val="20"/>
          <w:lang w:val="en-GB" w:bidi="he-IL"/>
        </w:rPr>
        <w:t xml:space="preserve"> </w:t>
      </w:r>
      <w:proofErr w:type="gramStart"/>
      <w:r w:rsidR="00DA0FD5">
        <w:rPr>
          <w:rFonts w:ascii="Calibri" w:eastAsia="Times New Roman" w:hAnsi="Calibri" w:cs="Times New Roman"/>
          <w:szCs w:val="20"/>
          <w:lang w:val="en-GB" w:bidi="he-IL"/>
        </w:rPr>
        <w:t>A</w:t>
      </w:r>
      <w:proofErr w:type="gramEnd"/>
      <w:r w:rsidR="00DA0FD5">
        <w:rPr>
          <w:rFonts w:ascii="Calibri" w:eastAsia="Times New Roman" w:hAnsi="Calibri" w:cs="Times New Roman"/>
          <w:szCs w:val="20"/>
          <w:lang w:val="en-GB" w:bidi="he-IL"/>
        </w:rPr>
        <w:t xml:space="preserve"> resumptive summary introduces </w:t>
      </w:r>
      <w:r w:rsidR="00DA0FD5" w:rsidRPr="00DA0FD5">
        <w:rPr>
          <w:rFonts w:ascii="Calibri" w:eastAsia="Times New Roman" w:hAnsi="Calibri" w:cs="Times New Roman"/>
          <w:szCs w:val="20"/>
          <w:lang w:val="en-GB" w:bidi="he-IL"/>
        </w:rPr>
        <w:t xml:space="preserve">the </w:t>
      </w:r>
      <w:r w:rsidR="00DA0FD5">
        <w:rPr>
          <w:rFonts w:ascii="Calibri" w:eastAsia="Times New Roman" w:hAnsi="Calibri" w:cs="Times New Roman"/>
          <w:szCs w:val="20"/>
          <w:lang w:val="en-GB" w:bidi="he-IL"/>
        </w:rPr>
        <w:t xml:space="preserve">more detailed </w:t>
      </w:r>
      <w:r w:rsidR="00DA0FD5" w:rsidRPr="00DA0FD5">
        <w:rPr>
          <w:rFonts w:ascii="Calibri" w:eastAsia="Times New Roman" w:hAnsi="Calibri" w:cs="Times New Roman"/>
          <w:szCs w:val="20"/>
          <w:lang w:val="en-GB" w:bidi="he-IL"/>
        </w:rPr>
        <w:t>account</w:t>
      </w:r>
      <w:r w:rsidR="00DA0FD5">
        <w:rPr>
          <w:rFonts w:ascii="Calibri" w:eastAsia="Times New Roman" w:hAnsi="Calibri" w:cs="Times New Roman"/>
          <w:b/>
          <w:szCs w:val="20"/>
          <w:lang w:val="en-GB" w:bidi="he-IL"/>
        </w:rPr>
        <w:t xml:space="preserve"> </w:t>
      </w:r>
      <w:r w:rsidR="00DA0FD5" w:rsidRPr="00DA0FD5">
        <w:rPr>
          <w:rFonts w:ascii="Calibri" w:eastAsia="Times New Roman" w:hAnsi="Calibri" w:cs="Times New Roman"/>
          <w:szCs w:val="20"/>
          <w:lang w:val="en-GB" w:bidi="he-IL"/>
        </w:rPr>
        <w:t>of the more significant</w:t>
      </w:r>
      <w:r w:rsidR="00DA0FD5">
        <w:rPr>
          <w:rFonts w:ascii="Calibri" w:eastAsia="Times New Roman" w:hAnsi="Calibri" w:cs="Times New Roman"/>
          <w:b/>
          <w:szCs w:val="20"/>
          <w:lang w:val="en-GB" w:bidi="he-IL"/>
        </w:rPr>
        <w:t xml:space="preserve"> </w:t>
      </w:r>
      <w:r w:rsidR="00DA0FD5">
        <w:rPr>
          <w:rFonts w:ascii="Calibri" w:eastAsia="Times New Roman" w:hAnsi="Calibri" w:cs="Times New Roman"/>
          <w:szCs w:val="20"/>
          <w:lang w:val="en-GB" w:bidi="he-IL"/>
        </w:rPr>
        <w:t>l</w:t>
      </w:r>
      <w:r w:rsidR="006676E0">
        <w:rPr>
          <w:rFonts w:ascii="Calibri" w:eastAsia="Times New Roman" w:hAnsi="Calibri" w:cs="Times New Roman"/>
          <w:szCs w:val="20"/>
          <w:lang w:val="en-GB" w:bidi="he-IL"/>
        </w:rPr>
        <w:t>at</w:t>
      </w:r>
      <w:r w:rsidR="00EF778B">
        <w:rPr>
          <w:rFonts w:ascii="Calibri" w:eastAsia="Times New Roman" w:hAnsi="Calibri" w:cs="Times New Roman"/>
          <w:szCs w:val="20"/>
          <w:lang w:val="en-GB" w:bidi="he-IL"/>
        </w:rPr>
        <w:t>ter stages of the</w:t>
      </w:r>
      <w:r w:rsidR="006676E0">
        <w:rPr>
          <w:rFonts w:ascii="Calibri" w:eastAsia="Times New Roman" w:hAnsi="Calibri" w:cs="Times New Roman"/>
          <w:szCs w:val="20"/>
          <w:lang w:val="en-GB" w:bidi="he-IL"/>
        </w:rPr>
        <w:t xml:space="preserve"> journey</w:t>
      </w:r>
      <w:r w:rsidR="00DA0FD5">
        <w:rPr>
          <w:rFonts w:ascii="Calibri" w:eastAsia="Times New Roman" w:hAnsi="Calibri" w:cs="Times New Roman"/>
          <w:szCs w:val="20"/>
          <w:lang w:val="en-GB" w:bidi="he-IL"/>
        </w:rPr>
        <w:t>. It makes explicit that they indeed took everything they p</w:t>
      </w:r>
      <w:r w:rsidR="00026CBC">
        <w:rPr>
          <w:rFonts w:ascii="Calibri" w:eastAsia="Times New Roman" w:hAnsi="Calibri" w:cs="Times New Roman"/>
          <w:szCs w:val="20"/>
          <w:lang w:val="en-GB" w:bidi="he-IL"/>
        </w:rPr>
        <w:t>ossessed. T</w:t>
      </w:r>
      <w:r w:rsidR="00DA0FD5">
        <w:rPr>
          <w:rFonts w:ascii="Calibri" w:eastAsia="Times New Roman" w:hAnsi="Calibri" w:cs="Times New Roman"/>
          <w:szCs w:val="20"/>
          <w:lang w:val="en-GB" w:bidi="he-IL"/>
        </w:rPr>
        <w:t xml:space="preserve">hey have </w:t>
      </w:r>
      <w:r w:rsidR="00026CBC">
        <w:rPr>
          <w:rFonts w:ascii="Calibri" w:eastAsia="Times New Roman" w:hAnsi="Calibri" w:cs="Times New Roman"/>
          <w:szCs w:val="20"/>
          <w:lang w:val="en-GB" w:bidi="he-IL"/>
        </w:rPr>
        <w:t xml:space="preserve">apparently </w:t>
      </w:r>
      <w:r w:rsidR="00DA0FD5">
        <w:rPr>
          <w:rFonts w:ascii="Calibri" w:eastAsia="Times New Roman" w:hAnsi="Calibri" w:cs="Times New Roman"/>
          <w:szCs w:val="20"/>
          <w:lang w:val="en-GB" w:bidi="he-IL"/>
        </w:rPr>
        <w:t>done well in Harran. While they are not permitted to stay there, they are not required to leave anything behind, though the need to take Lot and his flocks and herds and tents will cause complications later (13:5-7).</w:t>
      </w:r>
      <w:r w:rsidR="00EF778B">
        <w:rPr>
          <w:rFonts w:ascii="Calibri" w:eastAsia="Times New Roman" w:hAnsi="Calibri" w:cs="Times New Roman"/>
          <w:szCs w:val="20"/>
          <w:lang w:val="en-GB" w:bidi="he-IL"/>
        </w:rPr>
        <w:t xml:space="preserve"> The </w:t>
      </w:r>
      <w:r w:rsidR="00727223">
        <w:rPr>
          <w:rFonts w:ascii="Calibri" w:eastAsia="Times New Roman" w:hAnsi="Calibri" w:cs="Times New Roman"/>
          <w:szCs w:val="20"/>
          <w:lang w:val="en-GB" w:bidi="he-IL"/>
        </w:rPr>
        <w:t xml:space="preserve">other </w:t>
      </w:r>
      <w:r w:rsidR="00EF778B">
        <w:rPr>
          <w:rFonts w:ascii="Calibri" w:eastAsia="Times New Roman" w:hAnsi="Calibri" w:cs="Times New Roman"/>
          <w:szCs w:val="20"/>
          <w:lang w:val="en-GB" w:bidi="he-IL"/>
        </w:rPr>
        <w:t>people Abraham takes are presumably his</w:t>
      </w:r>
      <w:r w:rsidR="00571C19">
        <w:rPr>
          <w:rFonts w:ascii="Calibri" w:eastAsia="Times New Roman" w:hAnsi="Calibri" w:cs="Times New Roman"/>
          <w:szCs w:val="20"/>
          <w:lang w:val="en-GB" w:bidi="he-IL"/>
        </w:rPr>
        <w:t xml:space="preserve"> and Lot’s staff, people such as herdsmen (13:7) with their families. It’s quite an entourage, this wagon-train. </w:t>
      </w:r>
      <w:r w:rsidR="006676E0">
        <w:rPr>
          <w:rFonts w:ascii="Calibri" w:eastAsia="Times New Roman" w:hAnsi="Calibri" w:cs="Times New Roman"/>
          <w:szCs w:val="20"/>
          <w:lang w:val="en-GB" w:bidi="he-IL"/>
        </w:rPr>
        <w:t>Only now is there</w:t>
      </w:r>
      <w:r w:rsidR="00B32653">
        <w:rPr>
          <w:rFonts w:ascii="Calibri" w:eastAsia="Times New Roman" w:hAnsi="Calibri" w:cs="Times New Roman"/>
          <w:szCs w:val="20"/>
          <w:lang w:val="en-GB" w:bidi="he-IL"/>
        </w:rPr>
        <w:t xml:space="preserve"> </w:t>
      </w:r>
      <w:r w:rsidR="006E3853">
        <w:rPr>
          <w:rFonts w:ascii="Calibri" w:eastAsia="Times New Roman" w:hAnsi="Calibri" w:cs="Times New Roman"/>
          <w:szCs w:val="20"/>
          <w:lang w:val="en-GB" w:bidi="he-IL"/>
        </w:rPr>
        <w:t>reference to Canaan</w:t>
      </w:r>
      <w:r w:rsidR="00C32095">
        <w:rPr>
          <w:rFonts w:ascii="Calibri" w:eastAsia="Times New Roman" w:hAnsi="Calibri" w:cs="Times New Roman"/>
          <w:szCs w:val="20"/>
          <w:lang w:val="en-GB" w:bidi="he-IL"/>
        </w:rPr>
        <w:t xml:space="preserve"> as their destination</w:t>
      </w:r>
      <w:r w:rsidR="006E3853">
        <w:rPr>
          <w:rFonts w:ascii="Calibri" w:eastAsia="Times New Roman" w:hAnsi="Calibri" w:cs="Times New Roman"/>
          <w:szCs w:val="20"/>
          <w:lang w:val="en-GB" w:bidi="he-IL"/>
        </w:rPr>
        <w:t xml:space="preserve">. </w:t>
      </w:r>
      <w:r w:rsidR="00727223">
        <w:rPr>
          <w:rFonts w:ascii="Calibri" w:eastAsia="Times New Roman" w:hAnsi="Calibri" w:cs="Times New Roman"/>
          <w:szCs w:val="20"/>
          <w:lang w:val="en-GB" w:bidi="he-IL"/>
        </w:rPr>
        <w:t>The audience is</w:t>
      </w:r>
      <w:r w:rsidR="00C32095">
        <w:rPr>
          <w:rFonts w:ascii="Calibri" w:eastAsia="Times New Roman" w:hAnsi="Calibri" w:cs="Times New Roman"/>
          <w:szCs w:val="20"/>
          <w:lang w:val="en-GB" w:bidi="he-IL"/>
        </w:rPr>
        <w:t xml:space="preserve"> invited to imagine them having little clue where they were</w:t>
      </w:r>
      <w:r w:rsidR="006E3853">
        <w:rPr>
          <w:rFonts w:ascii="Calibri" w:eastAsia="Times New Roman" w:hAnsi="Calibri" w:cs="Times New Roman"/>
          <w:szCs w:val="20"/>
          <w:lang w:val="en-GB" w:bidi="he-IL"/>
        </w:rPr>
        <w:t xml:space="preserve"> going</w:t>
      </w:r>
      <w:r w:rsidR="00FA7F26">
        <w:rPr>
          <w:rFonts w:ascii="Calibri" w:eastAsia="Times New Roman" w:hAnsi="Calibri" w:cs="Times New Roman"/>
          <w:szCs w:val="20"/>
          <w:lang w:val="en-GB" w:bidi="he-IL"/>
        </w:rPr>
        <w:t xml:space="preserve"> until this point, a little</w:t>
      </w:r>
      <w:r w:rsidR="006E3853">
        <w:rPr>
          <w:rFonts w:ascii="Calibri" w:eastAsia="Times New Roman" w:hAnsi="Calibri" w:cs="Times New Roman"/>
          <w:szCs w:val="20"/>
          <w:lang w:val="en-GB" w:bidi="he-IL"/>
        </w:rPr>
        <w:t xml:space="preserve"> like the original </w:t>
      </w:r>
      <w:r w:rsidR="00C32095">
        <w:rPr>
          <w:rFonts w:ascii="Calibri" w:eastAsia="Times New Roman" w:hAnsi="Calibri" w:cs="Times New Roman"/>
          <w:szCs w:val="20"/>
          <w:lang w:val="en-GB" w:bidi="he-IL"/>
        </w:rPr>
        <w:t>North American pioneers making</w:t>
      </w:r>
      <w:r w:rsidR="006E3853">
        <w:rPr>
          <w:rFonts w:ascii="Calibri" w:eastAsia="Times New Roman" w:hAnsi="Calibri" w:cs="Times New Roman"/>
          <w:szCs w:val="20"/>
          <w:lang w:val="en-GB" w:bidi="he-IL"/>
        </w:rPr>
        <w:t xml:space="preserve"> the journey west. </w:t>
      </w:r>
    </w:p>
    <w:p w14:paraId="01EAE759" w14:textId="77777777" w:rsidR="00A2212A" w:rsidRDefault="00FA7F26" w:rsidP="00FA7F26">
      <w:pPr>
        <w:rPr>
          <w:rFonts w:ascii="Calibri" w:eastAsia="Times New Roman" w:hAnsi="Calibri" w:cs="Times New Roman"/>
          <w:szCs w:val="20"/>
          <w:lang w:val="en-GB" w:bidi="he-IL"/>
        </w:rPr>
      </w:pPr>
      <w:r>
        <w:rPr>
          <w:rFonts w:ascii="Calibri" w:eastAsia="Times New Roman" w:hAnsi="Calibri" w:cs="Times New Roman"/>
          <w:szCs w:val="20"/>
          <w:lang w:val="en-GB" w:bidi="he-IL"/>
        </w:rPr>
        <w:t xml:space="preserve">The </w:t>
      </w:r>
      <w:r w:rsidR="00026CBC">
        <w:rPr>
          <w:rFonts w:ascii="Calibri" w:eastAsia="Times New Roman" w:hAnsi="Calibri" w:cs="Times New Roman"/>
          <w:szCs w:val="20"/>
          <w:lang w:val="en-GB" w:bidi="he-IL"/>
        </w:rPr>
        <w:t>narrative hastens on</w:t>
      </w:r>
      <w:r>
        <w:rPr>
          <w:rFonts w:ascii="Calibri" w:eastAsia="Times New Roman" w:hAnsi="Calibri" w:cs="Times New Roman"/>
          <w:szCs w:val="20"/>
          <w:lang w:val="en-GB" w:bidi="he-IL"/>
        </w:rPr>
        <w:t xml:space="preserve"> (v. 6</w:t>
      </w:r>
      <w:r w:rsidR="00A2212A">
        <w:rPr>
          <w:rFonts w:ascii="Calibri" w:eastAsia="Times New Roman" w:hAnsi="Calibri" w:cs="Times New Roman"/>
          <w:szCs w:val="20"/>
          <w:lang w:val="en-GB" w:bidi="he-IL"/>
        </w:rPr>
        <w:t>a</w:t>
      </w:r>
      <w:r>
        <w:rPr>
          <w:rFonts w:ascii="Calibri" w:eastAsia="Times New Roman" w:hAnsi="Calibri" w:cs="Times New Roman"/>
          <w:szCs w:val="20"/>
          <w:lang w:val="en-GB" w:bidi="he-IL"/>
        </w:rPr>
        <w:t>)</w:t>
      </w:r>
      <w:r w:rsidR="00026CBC">
        <w:rPr>
          <w:rFonts w:ascii="Calibri" w:eastAsia="Times New Roman" w:hAnsi="Calibri" w:cs="Times New Roman"/>
          <w:szCs w:val="20"/>
          <w:lang w:val="en-GB" w:bidi="he-IL"/>
        </w:rPr>
        <w:t xml:space="preserve">, </w:t>
      </w:r>
      <w:r w:rsidR="00800729">
        <w:rPr>
          <w:rFonts w:ascii="Calibri" w:eastAsia="Times New Roman" w:hAnsi="Calibri" w:cs="Times New Roman"/>
          <w:szCs w:val="20"/>
          <w:lang w:val="en-GB" w:bidi="he-IL"/>
        </w:rPr>
        <w:t>by</w:t>
      </w:r>
      <w:r w:rsidR="00026CBC">
        <w:rPr>
          <w:rFonts w:ascii="Calibri" w:eastAsia="Times New Roman" w:hAnsi="Calibri" w:cs="Times New Roman"/>
          <w:szCs w:val="20"/>
          <w:lang w:val="en-GB" w:bidi="he-IL"/>
        </w:rPr>
        <w:t xml:space="preserve">passing </w:t>
      </w:r>
      <w:r>
        <w:rPr>
          <w:rFonts w:ascii="Calibri" w:eastAsia="Times New Roman" w:hAnsi="Calibri" w:cs="Times New Roman"/>
          <w:szCs w:val="20"/>
          <w:lang w:val="en-GB" w:bidi="he-IL"/>
        </w:rPr>
        <w:t>unnamed the great city of Hazor</w:t>
      </w:r>
      <w:r w:rsidR="00026CBC" w:rsidRPr="00026CBC">
        <w:rPr>
          <w:rFonts w:ascii="Calibri" w:eastAsia="Times New Roman" w:hAnsi="Calibri" w:cs="Times New Roman"/>
          <w:szCs w:val="20"/>
          <w:lang w:val="en-GB" w:bidi="he-IL"/>
        </w:rPr>
        <w:t xml:space="preserve">, </w:t>
      </w:r>
      <w:r w:rsidR="00026CBC">
        <w:rPr>
          <w:rFonts w:ascii="Calibri" w:eastAsia="Times New Roman" w:hAnsi="Calibri" w:cs="Times New Roman"/>
          <w:szCs w:val="20"/>
          <w:lang w:val="en-GB" w:bidi="he-IL"/>
        </w:rPr>
        <w:t>which overlooks the unnamed Lake Kinneret and guards this main route, and crossi</w:t>
      </w:r>
      <w:r>
        <w:rPr>
          <w:rFonts w:ascii="Calibri" w:eastAsia="Times New Roman" w:hAnsi="Calibri" w:cs="Times New Roman"/>
          <w:szCs w:val="20"/>
          <w:lang w:val="en-GB" w:bidi="he-IL"/>
        </w:rPr>
        <w:t>ng unnamed the Jezreel valley. The pioneers</w:t>
      </w:r>
      <w:r w:rsidR="00026CBC">
        <w:rPr>
          <w:rFonts w:ascii="Calibri" w:eastAsia="Times New Roman" w:hAnsi="Calibri" w:cs="Times New Roman"/>
          <w:szCs w:val="20"/>
          <w:lang w:val="en-GB" w:bidi="he-IL"/>
        </w:rPr>
        <w:t xml:space="preserve"> climb into the Samarian highlands to </w:t>
      </w:r>
      <w:r w:rsidR="002560AA" w:rsidRPr="002560AA">
        <w:rPr>
          <w:rFonts w:ascii="Calibri" w:eastAsia="Times New Roman" w:hAnsi="Calibri" w:cs="Times New Roman"/>
          <w:szCs w:val="20"/>
          <w:lang w:val="en-GB" w:bidi="he-IL"/>
        </w:rPr>
        <w:t>Shechem</w:t>
      </w:r>
      <w:r w:rsidR="002560AA">
        <w:rPr>
          <w:rFonts w:ascii="Calibri" w:eastAsia="Times New Roman" w:hAnsi="Calibri" w:cs="Times New Roman"/>
          <w:szCs w:val="20"/>
          <w:lang w:val="en-GB" w:bidi="he-IL"/>
        </w:rPr>
        <w:t xml:space="preserve"> </w:t>
      </w:r>
      <w:r w:rsidR="002560AA" w:rsidRPr="002560AA">
        <w:rPr>
          <w:rFonts w:ascii="Calibri" w:eastAsia="Times New Roman" w:hAnsi="Calibri" w:cs="Times New Roman"/>
          <w:szCs w:val="20"/>
          <w:lang w:val="en-GB" w:bidi="he-IL"/>
        </w:rPr>
        <w:t>between the two mountains where Joshua will proclaim Yahweh’s blessings and curses when he has enabled the Israelites to win their first key victories in Canaan (Josh 8:30-35; cf. Deut 11:29; 27:12</w:t>
      </w:r>
      <w:r>
        <w:rPr>
          <w:rFonts w:ascii="Calibri" w:eastAsia="Times New Roman" w:hAnsi="Calibri" w:cs="Times New Roman"/>
          <w:szCs w:val="20"/>
          <w:lang w:val="en-GB" w:bidi="he-IL"/>
        </w:rPr>
        <w:t xml:space="preserve">). </w:t>
      </w:r>
      <w:r w:rsidR="00C32095">
        <w:rPr>
          <w:rFonts w:ascii="Calibri" w:eastAsia="Times New Roman" w:hAnsi="Calibri" w:cs="Times New Roman"/>
          <w:szCs w:val="20"/>
          <w:lang w:val="en-GB" w:bidi="he-IL"/>
        </w:rPr>
        <w:t>For the audience i</w:t>
      </w:r>
      <w:r>
        <w:rPr>
          <w:rFonts w:ascii="Calibri" w:eastAsia="Times New Roman" w:hAnsi="Calibri" w:cs="Times New Roman"/>
          <w:szCs w:val="20"/>
          <w:lang w:val="en-GB" w:bidi="he-IL"/>
        </w:rPr>
        <w:t xml:space="preserve">t </w:t>
      </w:r>
      <w:r w:rsidR="002560AA">
        <w:rPr>
          <w:rFonts w:ascii="Calibri" w:eastAsia="Times New Roman" w:hAnsi="Calibri" w:cs="Times New Roman"/>
          <w:szCs w:val="20"/>
          <w:lang w:val="en-GB" w:bidi="he-IL"/>
        </w:rPr>
        <w:t xml:space="preserve">would be </w:t>
      </w:r>
      <w:r w:rsidR="00854A32">
        <w:rPr>
          <w:rFonts w:ascii="Calibri" w:eastAsia="Times New Roman" w:hAnsi="Calibri" w:cs="Times New Roman"/>
          <w:szCs w:val="20"/>
          <w:lang w:val="en-GB" w:bidi="he-IL"/>
        </w:rPr>
        <w:t xml:space="preserve">the first major place of significance </w:t>
      </w:r>
      <w:r w:rsidR="002560AA">
        <w:rPr>
          <w:rFonts w:ascii="Calibri" w:eastAsia="Times New Roman" w:hAnsi="Calibri" w:cs="Times New Roman"/>
          <w:szCs w:val="20"/>
          <w:lang w:val="en-GB" w:bidi="he-IL"/>
        </w:rPr>
        <w:t>that the wagon train</w:t>
      </w:r>
      <w:r w:rsidR="00854A32">
        <w:rPr>
          <w:rFonts w:ascii="Calibri" w:eastAsia="Times New Roman" w:hAnsi="Calibri" w:cs="Times New Roman"/>
          <w:szCs w:val="20"/>
          <w:lang w:val="en-GB" w:bidi="he-IL"/>
        </w:rPr>
        <w:t xml:space="preserve"> would reach</w:t>
      </w:r>
      <w:r w:rsidR="002560AA">
        <w:rPr>
          <w:rFonts w:ascii="Calibri" w:eastAsia="Times New Roman" w:hAnsi="Calibri" w:cs="Times New Roman"/>
          <w:szCs w:val="20"/>
          <w:lang w:val="en-GB" w:bidi="he-IL"/>
        </w:rPr>
        <w:t xml:space="preserve">. </w:t>
      </w:r>
      <w:r w:rsidR="00C32095">
        <w:rPr>
          <w:rFonts w:ascii="Calibri" w:eastAsia="Times New Roman" w:hAnsi="Calibri" w:cs="Times New Roman"/>
          <w:szCs w:val="20"/>
          <w:lang w:val="en-GB" w:bidi="he-IL"/>
        </w:rPr>
        <w:t>“S</w:t>
      </w:r>
      <w:r w:rsidR="00717891">
        <w:rPr>
          <w:rFonts w:ascii="Calibri" w:eastAsia="Times New Roman" w:hAnsi="Calibri" w:cs="Times New Roman"/>
          <w:szCs w:val="20"/>
          <w:lang w:val="en-GB" w:bidi="he-IL"/>
        </w:rPr>
        <w:t>ite</w:t>
      </w:r>
      <w:r w:rsidR="00C32095">
        <w:rPr>
          <w:rFonts w:ascii="Calibri" w:eastAsia="Times New Roman" w:hAnsi="Calibri" w:cs="Times New Roman"/>
          <w:szCs w:val="20"/>
          <w:lang w:val="en-GB" w:bidi="he-IL"/>
        </w:rPr>
        <w:t>”</w:t>
      </w:r>
      <w:r w:rsidR="00717891">
        <w:rPr>
          <w:rFonts w:ascii="Calibri" w:eastAsia="Times New Roman" w:hAnsi="Calibri" w:cs="Times New Roman"/>
          <w:szCs w:val="20"/>
          <w:lang w:val="en-GB" w:bidi="he-IL"/>
        </w:rPr>
        <w:t xml:space="preserve"> (</w:t>
      </w:r>
      <w:r w:rsidR="00717891">
        <w:rPr>
          <w:rFonts w:ascii="Calibri" w:eastAsia="Times New Roman" w:hAnsi="Calibri" w:cs="Times New Roman"/>
          <w:i/>
          <w:szCs w:val="20"/>
          <w:lang w:val="en-GB" w:bidi="he-IL"/>
        </w:rPr>
        <w:t>māqôm</w:t>
      </w:r>
      <w:r w:rsidR="00717891">
        <w:rPr>
          <w:rFonts w:ascii="Calibri" w:eastAsia="Times New Roman" w:hAnsi="Calibri" w:cs="Times New Roman"/>
          <w:szCs w:val="20"/>
          <w:lang w:val="en-GB" w:bidi="he-IL"/>
        </w:rPr>
        <w:t>) is the ordinary word for a place but also the word for a</w:t>
      </w:r>
      <w:r w:rsidR="00C32095">
        <w:rPr>
          <w:rFonts w:ascii="Calibri" w:eastAsia="Times New Roman" w:hAnsi="Calibri" w:cs="Times New Roman"/>
          <w:szCs w:val="20"/>
          <w:lang w:val="en-GB" w:bidi="he-IL"/>
        </w:rPr>
        <w:t xml:space="preserve"> place of worship, and this</w:t>
      </w:r>
      <w:r w:rsidR="00717891">
        <w:rPr>
          <w:rFonts w:ascii="Calibri" w:eastAsia="Times New Roman" w:hAnsi="Calibri" w:cs="Times New Roman"/>
          <w:szCs w:val="20"/>
          <w:lang w:val="en-GB" w:bidi="he-IL"/>
        </w:rPr>
        <w:t xml:space="preserve"> connotation </w:t>
      </w:r>
      <w:r w:rsidR="00C32095">
        <w:rPr>
          <w:rFonts w:ascii="Calibri" w:eastAsia="Times New Roman" w:hAnsi="Calibri" w:cs="Times New Roman"/>
          <w:szCs w:val="20"/>
          <w:lang w:val="en-GB" w:bidi="he-IL"/>
        </w:rPr>
        <w:t xml:space="preserve">will apply </w:t>
      </w:r>
      <w:r w:rsidR="00717891">
        <w:rPr>
          <w:rFonts w:ascii="Calibri" w:eastAsia="Times New Roman" w:hAnsi="Calibri" w:cs="Times New Roman"/>
          <w:szCs w:val="20"/>
          <w:lang w:val="en-GB" w:bidi="he-IL"/>
        </w:rPr>
        <w:t xml:space="preserve">in the expression </w:t>
      </w:r>
      <w:r w:rsidR="003D56BA">
        <w:rPr>
          <w:rFonts w:ascii="Calibri" w:eastAsia="Times New Roman" w:hAnsi="Calibri" w:cs="Times New Roman"/>
          <w:szCs w:val="20"/>
          <w:lang w:val="en-GB" w:bidi="he-IL"/>
        </w:rPr>
        <w:t>“</w:t>
      </w:r>
      <w:r w:rsidR="00717891">
        <w:rPr>
          <w:rFonts w:ascii="Calibri" w:eastAsia="Times New Roman" w:hAnsi="Calibri" w:cs="Times New Roman"/>
          <w:szCs w:val="20"/>
          <w:lang w:val="en-GB" w:bidi="he-IL"/>
        </w:rPr>
        <w:t>place at Shechem.</w:t>
      </w:r>
      <w:r w:rsidR="003D56BA">
        <w:rPr>
          <w:rFonts w:ascii="Calibri" w:eastAsia="Times New Roman" w:hAnsi="Calibri" w:cs="Times New Roman"/>
          <w:szCs w:val="20"/>
          <w:lang w:val="en-GB" w:bidi="he-IL"/>
        </w:rPr>
        <w:t>”</w:t>
      </w:r>
      <w:r w:rsidR="00717891">
        <w:rPr>
          <w:rFonts w:ascii="Calibri" w:eastAsia="Times New Roman" w:hAnsi="Calibri" w:cs="Times New Roman"/>
          <w:szCs w:val="20"/>
          <w:lang w:val="en-GB" w:bidi="he-IL"/>
        </w:rPr>
        <w:t xml:space="preserve"> At Tel Bal</w:t>
      </w:r>
      <w:r w:rsidR="00C32095">
        <w:rPr>
          <w:rFonts w:ascii="Calibri" w:eastAsia="Times New Roman" w:hAnsi="Calibri" w:cs="Times New Roman"/>
          <w:szCs w:val="20"/>
          <w:lang w:val="en-GB" w:bidi="he-IL"/>
        </w:rPr>
        <w:t xml:space="preserve">ata </w:t>
      </w:r>
      <w:r>
        <w:rPr>
          <w:rFonts w:ascii="Calibri" w:eastAsia="Times New Roman" w:hAnsi="Calibri" w:cs="Times New Roman"/>
          <w:szCs w:val="20"/>
          <w:lang w:val="en-GB" w:bidi="he-IL"/>
        </w:rPr>
        <w:t>on the edge of the modern city of Nablus</w:t>
      </w:r>
      <w:r w:rsidR="00717891">
        <w:rPr>
          <w:rFonts w:ascii="Calibri" w:eastAsia="Times New Roman" w:hAnsi="Calibri" w:cs="Times New Roman"/>
          <w:szCs w:val="20"/>
          <w:lang w:val="en-GB" w:bidi="he-IL"/>
        </w:rPr>
        <w:t xml:space="preserve">, </w:t>
      </w:r>
      <w:r w:rsidR="00C32095" w:rsidRPr="00C32095">
        <w:rPr>
          <w:rFonts w:ascii="Calibri" w:eastAsia="Times New Roman" w:hAnsi="Calibri" w:cs="Times New Roman"/>
          <w:szCs w:val="20"/>
          <w:lang w:val="en-GB" w:bidi="he-IL"/>
        </w:rPr>
        <w:t>the location</w:t>
      </w:r>
      <w:r w:rsidR="00C32095">
        <w:rPr>
          <w:rFonts w:ascii="Calibri" w:eastAsia="Times New Roman" w:hAnsi="Calibri" w:cs="Times New Roman"/>
          <w:szCs w:val="20"/>
          <w:lang w:val="en-GB" w:bidi="he-IL"/>
        </w:rPr>
        <w:t xml:space="preserve"> of ancient Shechem, </w:t>
      </w:r>
      <w:r w:rsidR="00717891">
        <w:rPr>
          <w:rFonts w:ascii="Calibri" w:eastAsia="Times New Roman" w:hAnsi="Calibri" w:cs="Times New Roman"/>
          <w:szCs w:val="20"/>
          <w:lang w:val="en-GB" w:bidi="he-IL"/>
        </w:rPr>
        <w:t xml:space="preserve">archaeologist George Ernest Wright re-erected a </w:t>
      </w:r>
      <w:r w:rsidR="003D56BA">
        <w:rPr>
          <w:rFonts w:ascii="Calibri" w:eastAsia="Times New Roman" w:hAnsi="Calibri" w:cs="Times New Roman"/>
          <w:szCs w:val="20"/>
          <w:lang w:val="en-GB" w:bidi="he-IL"/>
        </w:rPr>
        <w:t>“</w:t>
      </w:r>
      <w:r w:rsidR="006676E0">
        <w:rPr>
          <w:rFonts w:ascii="Calibri" w:eastAsia="Times New Roman" w:hAnsi="Calibri" w:cs="Times New Roman"/>
          <w:szCs w:val="20"/>
          <w:lang w:val="en-GB" w:bidi="he-IL"/>
        </w:rPr>
        <w:t>standing stone</w:t>
      </w:r>
      <w:r w:rsidR="003D56BA">
        <w:rPr>
          <w:rFonts w:ascii="Calibri" w:eastAsia="Times New Roman" w:hAnsi="Calibri" w:cs="Times New Roman"/>
          <w:szCs w:val="20"/>
          <w:lang w:val="en-GB" w:bidi="he-IL"/>
        </w:rPr>
        <w:t>”</w:t>
      </w:r>
      <w:r w:rsidR="006676E0">
        <w:rPr>
          <w:rFonts w:ascii="Calibri" w:eastAsia="Times New Roman" w:hAnsi="Calibri" w:cs="Times New Roman"/>
          <w:szCs w:val="20"/>
          <w:lang w:val="en-GB" w:bidi="he-IL"/>
        </w:rPr>
        <w:t xml:space="preserve"> which he inferred would have been there when Abraham arrived.</w:t>
      </w:r>
      <w:r>
        <w:rPr>
          <w:rStyle w:val="FootnoteReference"/>
          <w:rFonts w:ascii="Calibri" w:eastAsia="Times New Roman" w:hAnsi="Calibri" w:cs="Times New Roman"/>
          <w:szCs w:val="20"/>
          <w:lang w:val="en-GB" w:bidi="he-IL"/>
        </w:rPr>
        <w:footnoteReference w:id="61"/>
      </w:r>
      <w:r w:rsidR="00C32095">
        <w:rPr>
          <w:rFonts w:ascii="Calibri" w:eastAsia="Times New Roman" w:hAnsi="Calibri" w:cs="Times New Roman"/>
          <w:szCs w:val="20"/>
          <w:lang w:val="en-GB" w:bidi="he-IL"/>
        </w:rPr>
        <w:t xml:space="preserve"> People who stand on the site </w:t>
      </w:r>
      <w:r w:rsidR="006676E0">
        <w:rPr>
          <w:rFonts w:ascii="Calibri" w:eastAsia="Times New Roman" w:hAnsi="Calibri" w:cs="Times New Roman"/>
          <w:szCs w:val="20"/>
          <w:lang w:val="en-GB" w:bidi="he-IL"/>
        </w:rPr>
        <w:t xml:space="preserve">are looking at something that Abraham would have looked at. </w:t>
      </w:r>
      <w:r w:rsidR="009A4A4F">
        <w:rPr>
          <w:rFonts w:ascii="Calibri" w:eastAsia="Times New Roman" w:hAnsi="Calibri" w:cs="Times New Roman"/>
          <w:szCs w:val="20"/>
          <w:lang w:val="en-GB" w:bidi="he-IL"/>
        </w:rPr>
        <w:t>What Abraham also saw was a great oak or terebinth that evidently had some religious significance. It was a Teacher’s Oak, perhaps one under which a teacher would sit</w:t>
      </w:r>
      <w:r w:rsidR="00C32095">
        <w:rPr>
          <w:rFonts w:ascii="Calibri" w:eastAsia="Times New Roman" w:hAnsi="Calibri" w:cs="Times New Roman"/>
          <w:szCs w:val="20"/>
          <w:lang w:val="en-GB" w:bidi="he-IL"/>
        </w:rPr>
        <w:t>, as Deborah did (Judg 4:5). O</w:t>
      </w:r>
      <w:r w:rsidR="009A4A4F">
        <w:rPr>
          <w:rFonts w:ascii="Calibri" w:eastAsia="Times New Roman" w:hAnsi="Calibri" w:cs="Times New Roman"/>
          <w:szCs w:val="20"/>
          <w:lang w:val="en-GB" w:bidi="he-IL"/>
        </w:rPr>
        <w:t>ne way or another, great trees were places where God met with people and places that thus became sacred (cf. Gen 13:18; 14:13; 18:1; 35:8)</w:t>
      </w:r>
      <w:r w:rsidR="00DC35A2">
        <w:rPr>
          <w:rFonts w:ascii="Calibri" w:eastAsia="Times New Roman" w:hAnsi="Calibri" w:cs="Times New Roman"/>
          <w:szCs w:val="20"/>
          <w:lang w:val="en-GB" w:bidi="he-IL"/>
        </w:rPr>
        <w:t xml:space="preserve">, though none of Genesis’ references to trees </w:t>
      </w:r>
      <w:r w:rsidR="00C32095">
        <w:rPr>
          <w:rFonts w:ascii="Calibri" w:eastAsia="Times New Roman" w:hAnsi="Calibri" w:cs="Times New Roman"/>
          <w:szCs w:val="20"/>
          <w:lang w:val="en-GB" w:bidi="he-IL"/>
        </w:rPr>
        <w:t xml:space="preserve">specifically </w:t>
      </w:r>
      <w:r w:rsidR="00DC35A2">
        <w:rPr>
          <w:rFonts w:ascii="Calibri" w:eastAsia="Times New Roman" w:hAnsi="Calibri" w:cs="Times New Roman"/>
          <w:szCs w:val="20"/>
          <w:lang w:val="en-GB" w:bidi="he-IL"/>
        </w:rPr>
        <w:t>connect them with religious rites</w:t>
      </w:r>
      <w:r w:rsidR="009A4A4F">
        <w:rPr>
          <w:rFonts w:ascii="Calibri" w:eastAsia="Times New Roman" w:hAnsi="Calibri" w:cs="Times New Roman"/>
          <w:szCs w:val="20"/>
          <w:lang w:val="en-GB" w:bidi="he-IL"/>
        </w:rPr>
        <w:t>.</w:t>
      </w:r>
      <w:r w:rsidR="00DC35A2">
        <w:rPr>
          <w:rStyle w:val="FootnoteReference"/>
          <w:rFonts w:ascii="Calibri" w:eastAsia="Times New Roman" w:hAnsi="Calibri" w:cs="Times New Roman"/>
          <w:szCs w:val="20"/>
          <w:lang w:val="en-GB" w:bidi="he-IL"/>
        </w:rPr>
        <w:footnoteReference w:id="62"/>
      </w:r>
      <w:r w:rsidR="009A4A4F">
        <w:rPr>
          <w:rFonts w:ascii="Calibri" w:eastAsia="Times New Roman" w:hAnsi="Calibri" w:cs="Times New Roman"/>
          <w:szCs w:val="20"/>
          <w:lang w:val="en-GB" w:bidi="he-IL"/>
        </w:rPr>
        <w:t xml:space="preserve"> </w:t>
      </w:r>
    </w:p>
    <w:p w14:paraId="6F160F72" w14:textId="3DBD88A9" w:rsidR="00FA7F26" w:rsidRPr="00FA7F26" w:rsidRDefault="00A2212A" w:rsidP="00FA7F26">
      <w:pPr>
        <w:rPr>
          <w:rFonts w:ascii="Calibri" w:eastAsia="Times New Roman" w:hAnsi="Calibri" w:cs="Times New Roman"/>
          <w:szCs w:val="20"/>
          <w:lang w:val="en-GB" w:bidi="he-IL"/>
        </w:rPr>
      </w:pPr>
      <w:r>
        <w:rPr>
          <w:rFonts w:ascii="Calibri" w:eastAsia="Times New Roman" w:hAnsi="Calibri" w:cs="Times New Roman"/>
          <w:szCs w:val="20"/>
          <w:lang w:val="en-GB" w:bidi="he-IL"/>
        </w:rPr>
        <w:t>The Canaanites being</w:t>
      </w:r>
      <w:r w:rsidR="006676E0">
        <w:rPr>
          <w:rFonts w:ascii="Calibri" w:eastAsia="Times New Roman" w:hAnsi="Calibri" w:cs="Times New Roman"/>
          <w:szCs w:val="20"/>
          <w:lang w:val="en-GB" w:bidi="he-IL"/>
        </w:rPr>
        <w:t xml:space="preserve"> then in the country</w:t>
      </w:r>
      <w:r>
        <w:rPr>
          <w:rFonts w:ascii="Calibri" w:eastAsia="Times New Roman" w:hAnsi="Calibri" w:cs="Times New Roman"/>
          <w:szCs w:val="20"/>
          <w:lang w:val="en-GB" w:bidi="he-IL"/>
        </w:rPr>
        <w:t xml:space="preserve"> (v. 6b)</w:t>
      </w:r>
      <w:r w:rsidR="006676E0">
        <w:rPr>
          <w:rFonts w:ascii="Calibri" w:eastAsia="Times New Roman" w:hAnsi="Calibri" w:cs="Times New Roman"/>
          <w:szCs w:val="20"/>
          <w:lang w:val="en-GB" w:bidi="he-IL"/>
        </w:rPr>
        <w:t xml:space="preserve"> </w:t>
      </w:r>
      <w:r>
        <w:rPr>
          <w:rFonts w:ascii="Calibri" w:eastAsia="Times New Roman" w:hAnsi="Calibri" w:cs="Times New Roman"/>
          <w:szCs w:val="20"/>
          <w:lang w:val="en-GB" w:bidi="he-IL"/>
        </w:rPr>
        <w:t xml:space="preserve">means </w:t>
      </w:r>
      <w:r w:rsidR="006676E0">
        <w:rPr>
          <w:rFonts w:ascii="Calibri" w:eastAsia="Times New Roman" w:hAnsi="Calibri" w:cs="Times New Roman"/>
          <w:szCs w:val="20"/>
          <w:lang w:val="en-GB" w:bidi="he-IL"/>
        </w:rPr>
        <w:t>it was their sanctuary</w:t>
      </w:r>
      <w:r w:rsidR="009A4A4F">
        <w:rPr>
          <w:rFonts w:ascii="Calibri" w:eastAsia="Times New Roman" w:hAnsi="Calibri" w:cs="Times New Roman"/>
          <w:szCs w:val="20"/>
          <w:lang w:val="en-GB" w:bidi="he-IL"/>
        </w:rPr>
        <w:t xml:space="preserve"> and their sacred tree</w:t>
      </w:r>
      <w:r w:rsidR="006676E0">
        <w:rPr>
          <w:rFonts w:ascii="Calibri" w:eastAsia="Times New Roman" w:hAnsi="Calibri" w:cs="Times New Roman"/>
          <w:szCs w:val="20"/>
          <w:lang w:val="en-GB" w:bidi="he-IL"/>
        </w:rPr>
        <w:t>.</w:t>
      </w:r>
      <w:r w:rsidR="002C6C6C">
        <w:rPr>
          <w:rFonts w:ascii="Calibri" w:eastAsia="Times New Roman" w:hAnsi="Calibri" w:cs="Times New Roman"/>
          <w:szCs w:val="20"/>
          <w:lang w:val="en-GB" w:bidi="he-IL"/>
        </w:rPr>
        <w:t xml:space="preserve"> Like the reference to Ur, the assumption that Canaanites are now gone from this area implies a time after the Israelites’ </w:t>
      </w:r>
      <w:r w:rsidR="00C32095">
        <w:rPr>
          <w:rFonts w:ascii="Calibri" w:eastAsia="Times New Roman" w:hAnsi="Calibri" w:cs="Times New Roman"/>
          <w:szCs w:val="20"/>
          <w:lang w:val="en-GB" w:bidi="he-IL"/>
        </w:rPr>
        <w:t>have gained complete control of</w:t>
      </w:r>
      <w:r w:rsidR="002C6C6C">
        <w:rPr>
          <w:rFonts w:ascii="Calibri" w:eastAsia="Times New Roman" w:hAnsi="Calibri" w:cs="Times New Roman"/>
          <w:szCs w:val="20"/>
          <w:lang w:val="en-GB" w:bidi="he-IL"/>
        </w:rPr>
        <w:t xml:space="preserve"> Canaan. </w:t>
      </w:r>
      <w:r w:rsidR="00FA7F26" w:rsidRPr="00FA7F26">
        <w:rPr>
          <w:rFonts w:ascii="Calibri" w:eastAsia="Times New Roman" w:hAnsi="Calibri" w:cs="Times New Roman"/>
          <w:szCs w:val="20"/>
          <w:lang w:val="en-GB" w:bidi="he-IL"/>
        </w:rPr>
        <w:t xml:space="preserve">What we know </w:t>
      </w:r>
      <w:r w:rsidR="00C32095">
        <w:rPr>
          <w:rFonts w:ascii="Calibri" w:eastAsia="Times New Roman" w:hAnsi="Calibri" w:cs="Times New Roman"/>
          <w:szCs w:val="20"/>
          <w:lang w:val="en-GB" w:bidi="he-IL"/>
        </w:rPr>
        <w:t xml:space="preserve">from Genesis so far </w:t>
      </w:r>
      <w:r w:rsidR="00FA7F26" w:rsidRPr="00FA7F26">
        <w:rPr>
          <w:rFonts w:ascii="Calibri" w:eastAsia="Times New Roman" w:hAnsi="Calibri" w:cs="Times New Roman"/>
          <w:szCs w:val="20"/>
          <w:lang w:val="en-GB" w:bidi="he-IL"/>
        </w:rPr>
        <w:t xml:space="preserve">about the Canaanites is that </w:t>
      </w:r>
      <w:r w:rsidR="00C32095">
        <w:rPr>
          <w:rFonts w:ascii="Calibri" w:eastAsia="Times New Roman" w:hAnsi="Calibri" w:cs="Times New Roman"/>
          <w:szCs w:val="20"/>
          <w:lang w:val="en-GB" w:bidi="he-IL"/>
        </w:rPr>
        <w:t xml:space="preserve">on </w:t>
      </w:r>
      <w:r w:rsidR="009A4A4F">
        <w:rPr>
          <w:rFonts w:ascii="Calibri" w:eastAsia="Times New Roman" w:hAnsi="Calibri" w:cs="Times New Roman"/>
          <w:szCs w:val="20"/>
          <w:lang w:val="en-GB" w:bidi="he-IL"/>
        </w:rPr>
        <w:t xml:space="preserve">one hand </w:t>
      </w:r>
      <w:r w:rsidR="00FA7F26" w:rsidRPr="00FA7F26">
        <w:rPr>
          <w:rFonts w:ascii="Calibri" w:eastAsia="Times New Roman" w:hAnsi="Calibri" w:cs="Times New Roman"/>
          <w:szCs w:val="20"/>
          <w:lang w:val="en-GB" w:bidi="he-IL"/>
        </w:rPr>
        <w:t>they are und</w:t>
      </w:r>
      <w:r w:rsidR="009A4A4F">
        <w:rPr>
          <w:rFonts w:ascii="Calibri" w:eastAsia="Times New Roman" w:hAnsi="Calibri" w:cs="Times New Roman"/>
          <w:szCs w:val="20"/>
          <w:lang w:val="en-GB" w:bidi="he-IL"/>
        </w:rPr>
        <w:t>er God’s curse (9:25) and</w:t>
      </w:r>
      <w:r w:rsidR="00FA7F26" w:rsidRPr="00FA7F26">
        <w:rPr>
          <w:rFonts w:ascii="Calibri" w:eastAsia="Times New Roman" w:hAnsi="Calibri" w:cs="Times New Roman"/>
          <w:szCs w:val="20"/>
          <w:lang w:val="en-GB" w:bidi="he-IL"/>
        </w:rPr>
        <w:t xml:space="preserve"> are due to be the servants of Shem (9:26-27), but that </w:t>
      </w:r>
      <w:r w:rsidR="009A4A4F">
        <w:rPr>
          <w:rFonts w:ascii="Calibri" w:eastAsia="Times New Roman" w:hAnsi="Calibri" w:cs="Times New Roman"/>
          <w:szCs w:val="20"/>
          <w:lang w:val="en-GB" w:bidi="he-IL"/>
        </w:rPr>
        <w:t xml:space="preserve">on the other hand </w:t>
      </w:r>
      <w:r w:rsidR="00FA7F26" w:rsidRPr="00FA7F26">
        <w:rPr>
          <w:rFonts w:ascii="Calibri" w:eastAsia="Times New Roman" w:hAnsi="Calibri" w:cs="Times New Roman"/>
          <w:szCs w:val="20"/>
          <w:lang w:val="en-GB" w:bidi="he-IL"/>
        </w:rPr>
        <w:t>they have spread and flourished in the same way as other peoples (10:15-19).</w:t>
      </w:r>
      <w:r w:rsidR="009A4A4F">
        <w:rPr>
          <w:rFonts w:ascii="Calibri" w:eastAsia="Times New Roman" w:hAnsi="Calibri" w:cs="Times New Roman"/>
          <w:szCs w:val="20"/>
          <w:lang w:val="en-GB" w:bidi="he-IL"/>
        </w:rPr>
        <w:t>While in due course Yahweh will commission the Israelites to implement the curse</w:t>
      </w:r>
      <w:r w:rsidR="00F51E8C">
        <w:rPr>
          <w:rFonts w:ascii="Calibri" w:eastAsia="Times New Roman" w:hAnsi="Calibri" w:cs="Times New Roman"/>
          <w:szCs w:val="20"/>
          <w:lang w:val="en-GB" w:bidi="he-IL"/>
        </w:rPr>
        <w:t>,</w:t>
      </w:r>
      <w:r w:rsidR="009A4A4F">
        <w:rPr>
          <w:rFonts w:ascii="Calibri" w:eastAsia="Times New Roman" w:hAnsi="Calibri" w:cs="Times New Roman"/>
          <w:szCs w:val="20"/>
          <w:lang w:val="en-GB" w:bidi="he-IL"/>
        </w:rPr>
        <w:t xml:space="preserve"> and some of the Canaanites will end up as their servants, in Genesis that idea is on hold and relationships between </w:t>
      </w:r>
      <w:r w:rsidR="00F51E8C">
        <w:rPr>
          <w:rFonts w:ascii="Calibri" w:eastAsia="Times New Roman" w:hAnsi="Calibri" w:cs="Times New Roman"/>
          <w:szCs w:val="20"/>
          <w:lang w:val="en-GB" w:bidi="he-IL"/>
        </w:rPr>
        <w:t>Abraham’s fam</w:t>
      </w:r>
      <w:r w:rsidR="00C32095">
        <w:rPr>
          <w:rFonts w:ascii="Calibri" w:eastAsia="Times New Roman" w:hAnsi="Calibri" w:cs="Times New Roman"/>
          <w:szCs w:val="20"/>
          <w:lang w:val="en-GB" w:bidi="he-IL"/>
        </w:rPr>
        <w:t xml:space="preserve">ily and the Canaanites are </w:t>
      </w:r>
      <w:r w:rsidR="00F51E8C">
        <w:rPr>
          <w:rFonts w:ascii="Calibri" w:eastAsia="Times New Roman" w:hAnsi="Calibri" w:cs="Times New Roman"/>
          <w:szCs w:val="20"/>
          <w:lang w:val="en-GB" w:bidi="he-IL"/>
        </w:rPr>
        <w:t>friendly.</w:t>
      </w:r>
    </w:p>
    <w:p w14:paraId="3C5B6B3F" w14:textId="1B3006BD" w:rsidR="0013008C" w:rsidRDefault="006676E0" w:rsidP="00DA695A">
      <w:pPr>
        <w:rPr>
          <w:rFonts w:ascii="Calibri" w:eastAsia="Times New Roman" w:hAnsi="Calibri" w:cs="Times New Roman"/>
          <w:szCs w:val="20"/>
          <w:lang w:val="en-GB" w:bidi="he-IL"/>
        </w:rPr>
      </w:pPr>
      <w:r>
        <w:rPr>
          <w:rFonts w:ascii="Calibri" w:eastAsia="Times New Roman" w:hAnsi="Calibri" w:cs="Times New Roman"/>
          <w:szCs w:val="20"/>
          <w:lang w:val="en-GB" w:bidi="he-IL"/>
        </w:rPr>
        <w:t xml:space="preserve">Yahweh </w:t>
      </w:r>
      <w:r w:rsidR="002C6C6C">
        <w:rPr>
          <w:rFonts w:ascii="Calibri" w:eastAsia="Times New Roman" w:hAnsi="Calibri" w:cs="Times New Roman"/>
          <w:szCs w:val="20"/>
          <w:lang w:val="en-GB" w:bidi="he-IL"/>
        </w:rPr>
        <w:t>appears to Abraham</w:t>
      </w:r>
      <w:r>
        <w:rPr>
          <w:rFonts w:ascii="Calibri" w:eastAsia="Times New Roman" w:hAnsi="Calibri" w:cs="Times New Roman"/>
          <w:szCs w:val="20"/>
          <w:lang w:val="en-GB" w:bidi="he-IL"/>
        </w:rPr>
        <w:t xml:space="preserve"> (v. 7</w:t>
      </w:r>
      <w:r w:rsidR="0013008C">
        <w:rPr>
          <w:rFonts w:ascii="Calibri" w:eastAsia="Times New Roman" w:hAnsi="Calibri" w:cs="Times New Roman"/>
          <w:szCs w:val="20"/>
          <w:lang w:val="en-GB" w:bidi="he-IL"/>
        </w:rPr>
        <w:t>a</w:t>
      </w:r>
      <w:r>
        <w:rPr>
          <w:rFonts w:ascii="Calibri" w:eastAsia="Times New Roman" w:hAnsi="Calibri" w:cs="Times New Roman"/>
          <w:szCs w:val="20"/>
          <w:lang w:val="en-GB" w:bidi="he-IL"/>
        </w:rPr>
        <w:t>) at this Canaanite sanctuary</w:t>
      </w:r>
      <w:r w:rsidR="00A2212A">
        <w:rPr>
          <w:rFonts w:ascii="Calibri" w:eastAsia="Times New Roman" w:hAnsi="Calibri" w:cs="Times New Roman"/>
          <w:szCs w:val="20"/>
          <w:lang w:val="en-GB" w:bidi="he-IL"/>
        </w:rPr>
        <w:t xml:space="preserve"> and near this tree. “And appeared” (</w:t>
      </w:r>
      <w:r w:rsidR="00A2212A">
        <w:rPr>
          <w:rFonts w:ascii="Calibri" w:eastAsia="Times New Roman" w:hAnsi="Calibri" w:cs="Times New Roman"/>
          <w:i/>
          <w:szCs w:val="20"/>
          <w:lang w:val="en-GB" w:bidi="he-IL"/>
        </w:rPr>
        <w:t>wayyērāh</w:t>
      </w:r>
      <w:r w:rsidR="00A2212A">
        <w:rPr>
          <w:rFonts w:ascii="Calibri" w:eastAsia="Times New Roman" w:hAnsi="Calibri" w:cs="Times New Roman"/>
          <w:szCs w:val="20"/>
          <w:lang w:val="en-GB" w:bidi="he-IL"/>
        </w:rPr>
        <w:t>)</w:t>
      </w:r>
      <w:r w:rsidR="00A2212A">
        <w:rPr>
          <w:rFonts w:ascii="Calibri" w:eastAsia="Times New Roman" w:hAnsi="Calibri" w:cs="Times New Roman"/>
          <w:i/>
          <w:szCs w:val="20"/>
          <w:lang w:val="en-GB" w:bidi="he-IL"/>
        </w:rPr>
        <w:t xml:space="preserve"> </w:t>
      </w:r>
      <w:r w:rsidR="00A2212A">
        <w:rPr>
          <w:rFonts w:ascii="Calibri" w:eastAsia="Times New Roman" w:hAnsi="Calibri" w:cs="Times New Roman"/>
          <w:szCs w:val="20"/>
          <w:lang w:val="en-GB" w:bidi="he-IL"/>
        </w:rPr>
        <w:t>comes from the verb meaning “see” (</w:t>
      </w:r>
      <w:r w:rsidR="00A2212A">
        <w:rPr>
          <w:rFonts w:ascii="Calibri" w:eastAsia="Times New Roman" w:hAnsi="Calibri" w:cs="Times New Roman"/>
          <w:i/>
          <w:szCs w:val="20"/>
          <w:lang w:val="en-GB" w:bidi="he-IL"/>
        </w:rPr>
        <w:t>rā’āh</w:t>
      </w:r>
      <w:r w:rsidR="00A2212A">
        <w:rPr>
          <w:rFonts w:ascii="Calibri" w:eastAsia="Times New Roman" w:hAnsi="Calibri" w:cs="Times New Roman"/>
          <w:szCs w:val="20"/>
          <w:lang w:val="en-GB" w:bidi="he-IL"/>
        </w:rPr>
        <w:t>) and both are quite like the words for</w:t>
      </w:r>
      <w:r w:rsidR="00F51E8C">
        <w:rPr>
          <w:rFonts w:ascii="Calibri" w:eastAsia="Times New Roman" w:hAnsi="Calibri" w:cs="Times New Roman"/>
          <w:szCs w:val="20"/>
          <w:lang w:val="en-GB" w:bidi="he-IL"/>
        </w:rPr>
        <w:t xml:space="preserve"> </w:t>
      </w:r>
      <w:r w:rsidR="003D56BA">
        <w:rPr>
          <w:rFonts w:ascii="Calibri" w:eastAsia="Times New Roman" w:hAnsi="Calibri" w:cs="Times New Roman"/>
          <w:szCs w:val="20"/>
          <w:lang w:val="en-GB" w:bidi="he-IL"/>
        </w:rPr>
        <w:t>“</w:t>
      </w:r>
      <w:r w:rsidR="00F51E8C">
        <w:rPr>
          <w:rFonts w:ascii="Calibri" w:eastAsia="Times New Roman" w:hAnsi="Calibri" w:cs="Times New Roman"/>
          <w:szCs w:val="20"/>
          <w:lang w:val="en-GB" w:bidi="he-IL"/>
        </w:rPr>
        <w:t>t</w:t>
      </w:r>
      <w:r w:rsidR="005E6E37">
        <w:rPr>
          <w:rFonts w:ascii="Calibri" w:eastAsia="Times New Roman" w:hAnsi="Calibri" w:cs="Times New Roman"/>
          <w:szCs w:val="20"/>
          <w:lang w:val="en-GB" w:bidi="he-IL"/>
        </w:rPr>
        <w:t>eacher</w:t>
      </w:r>
      <w:r w:rsidR="003D56BA">
        <w:rPr>
          <w:rFonts w:ascii="Calibri" w:eastAsia="Times New Roman" w:hAnsi="Calibri" w:cs="Times New Roman"/>
          <w:szCs w:val="20"/>
          <w:lang w:val="en-GB" w:bidi="he-IL"/>
        </w:rPr>
        <w:t>”</w:t>
      </w:r>
      <w:r w:rsidR="005E6E37">
        <w:rPr>
          <w:rFonts w:ascii="Calibri" w:eastAsia="Times New Roman" w:hAnsi="Calibri" w:cs="Times New Roman"/>
          <w:szCs w:val="20"/>
          <w:lang w:val="en-GB" w:bidi="he-IL"/>
        </w:rPr>
        <w:t xml:space="preserve"> </w:t>
      </w:r>
      <w:r w:rsidR="00A2212A">
        <w:rPr>
          <w:rFonts w:ascii="Calibri" w:eastAsia="Times New Roman" w:hAnsi="Calibri" w:cs="Times New Roman"/>
          <w:szCs w:val="20"/>
          <w:lang w:val="en-GB" w:bidi="he-IL"/>
        </w:rPr>
        <w:t>(</w:t>
      </w:r>
      <w:r w:rsidR="00F51E8C">
        <w:rPr>
          <w:rFonts w:ascii="Calibri" w:eastAsia="Times New Roman" w:hAnsi="Calibri" w:cs="Times New Roman"/>
          <w:i/>
          <w:szCs w:val="20"/>
          <w:lang w:val="en-GB" w:bidi="he-IL"/>
        </w:rPr>
        <w:t>môreh</w:t>
      </w:r>
      <w:r w:rsidR="00A2212A">
        <w:rPr>
          <w:rFonts w:ascii="Calibri" w:eastAsia="Times New Roman" w:hAnsi="Calibri" w:cs="Times New Roman"/>
          <w:szCs w:val="20"/>
          <w:lang w:val="en-GB" w:bidi="he-IL"/>
        </w:rPr>
        <w:t>)</w:t>
      </w:r>
      <w:r w:rsidR="00F51E8C">
        <w:rPr>
          <w:rFonts w:ascii="Calibri" w:eastAsia="Times New Roman" w:hAnsi="Calibri" w:cs="Times New Roman"/>
          <w:i/>
          <w:szCs w:val="20"/>
          <w:lang w:val="en-GB" w:bidi="he-IL"/>
        </w:rPr>
        <w:t xml:space="preserve"> </w:t>
      </w:r>
      <w:r w:rsidR="005E6E37">
        <w:rPr>
          <w:rFonts w:ascii="Calibri" w:eastAsia="Times New Roman" w:hAnsi="Calibri" w:cs="Times New Roman"/>
          <w:szCs w:val="20"/>
          <w:lang w:val="en-GB" w:bidi="he-IL"/>
        </w:rPr>
        <w:t>from the verb</w:t>
      </w:r>
      <w:r w:rsidR="00A2212A">
        <w:rPr>
          <w:rFonts w:ascii="Calibri" w:eastAsia="Times New Roman" w:hAnsi="Calibri" w:cs="Times New Roman"/>
          <w:szCs w:val="20"/>
          <w:lang w:val="en-GB" w:bidi="he-IL"/>
        </w:rPr>
        <w:t xml:space="preserve"> “teach”</w:t>
      </w:r>
      <w:r w:rsidR="005E6E37">
        <w:rPr>
          <w:rFonts w:ascii="Calibri" w:eastAsia="Times New Roman" w:hAnsi="Calibri" w:cs="Times New Roman"/>
          <w:szCs w:val="20"/>
          <w:lang w:val="en-GB" w:bidi="he-IL"/>
        </w:rPr>
        <w:t xml:space="preserve"> </w:t>
      </w:r>
      <w:r w:rsidR="00A2212A">
        <w:rPr>
          <w:rFonts w:ascii="Calibri" w:eastAsia="Times New Roman" w:hAnsi="Calibri" w:cs="Times New Roman"/>
          <w:szCs w:val="20"/>
          <w:lang w:val="en-GB" w:bidi="he-IL"/>
        </w:rPr>
        <w:t>(</w:t>
      </w:r>
      <w:r w:rsidR="005E6E37">
        <w:rPr>
          <w:rFonts w:ascii="Calibri" w:eastAsia="Times New Roman" w:hAnsi="Calibri" w:cs="Times New Roman"/>
          <w:i/>
          <w:szCs w:val="20"/>
          <w:lang w:val="en-GB" w:bidi="he-IL"/>
        </w:rPr>
        <w:t>yārāh</w:t>
      </w:r>
      <w:r w:rsidR="00A2212A">
        <w:rPr>
          <w:rFonts w:ascii="Calibri" w:eastAsia="Times New Roman" w:hAnsi="Calibri" w:cs="Times New Roman"/>
          <w:szCs w:val="20"/>
          <w:lang w:val="en-GB" w:bidi="he-IL"/>
        </w:rPr>
        <w:t>)</w:t>
      </w:r>
      <w:r w:rsidR="0076456E">
        <w:rPr>
          <w:rFonts w:ascii="Calibri" w:eastAsia="Times New Roman" w:hAnsi="Calibri" w:cs="Times New Roman"/>
          <w:szCs w:val="20"/>
          <w:lang w:val="en-GB" w:bidi="he-IL"/>
        </w:rPr>
        <w:t>.</w:t>
      </w:r>
      <w:r w:rsidR="00F51E8C">
        <w:rPr>
          <w:rFonts w:ascii="Calibri" w:eastAsia="Times New Roman" w:hAnsi="Calibri" w:cs="Times New Roman"/>
          <w:szCs w:val="20"/>
          <w:lang w:val="en-GB" w:bidi="he-IL"/>
        </w:rPr>
        <w:t xml:space="preserve"> </w:t>
      </w:r>
      <w:r w:rsidR="0076456E">
        <w:rPr>
          <w:rFonts w:ascii="Calibri" w:eastAsia="Times New Roman" w:hAnsi="Calibri" w:cs="Times New Roman"/>
          <w:szCs w:val="20"/>
          <w:lang w:val="en-GB" w:bidi="he-IL"/>
        </w:rPr>
        <w:t xml:space="preserve">Against the background of the reality noted by v. 6b, </w:t>
      </w:r>
      <w:r w:rsidR="00F51E8C">
        <w:rPr>
          <w:rFonts w:ascii="Calibri" w:eastAsia="Times New Roman" w:hAnsi="Calibri" w:cs="Times New Roman"/>
          <w:szCs w:val="20"/>
          <w:lang w:val="en-GB" w:bidi="he-IL"/>
        </w:rPr>
        <w:t xml:space="preserve">then, Yahweh </w:t>
      </w:r>
      <w:r w:rsidR="0076456E">
        <w:rPr>
          <w:rFonts w:ascii="Calibri" w:eastAsia="Times New Roman" w:hAnsi="Calibri" w:cs="Times New Roman"/>
          <w:szCs w:val="20"/>
          <w:lang w:val="en-GB" w:bidi="he-IL"/>
        </w:rPr>
        <w:t>not merely speak</w:t>
      </w:r>
      <w:r w:rsidR="00F51E8C">
        <w:rPr>
          <w:rFonts w:ascii="Calibri" w:eastAsia="Times New Roman" w:hAnsi="Calibri" w:cs="Times New Roman"/>
          <w:szCs w:val="20"/>
          <w:lang w:val="en-GB" w:bidi="he-IL"/>
        </w:rPr>
        <w:t>s</w:t>
      </w:r>
      <w:r w:rsidR="0076456E">
        <w:rPr>
          <w:rFonts w:ascii="Calibri" w:eastAsia="Times New Roman" w:hAnsi="Calibri" w:cs="Times New Roman"/>
          <w:szCs w:val="20"/>
          <w:lang w:val="en-GB" w:bidi="he-IL"/>
        </w:rPr>
        <w:t>; he appears.</w:t>
      </w:r>
      <w:r w:rsidR="00562F30">
        <w:rPr>
          <w:rStyle w:val="FootnoteReference"/>
          <w:rFonts w:ascii="Calibri" w:eastAsia="Times New Roman" w:hAnsi="Calibri" w:cs="Times New Roman"/>
          <w:szCs w:val="20"/>
          <w:lang w:val="en-GB" w:bidi="he-IL"/>
        </w:rPr>
        <w:footnoteReference w:id="63"/>
      </w:r>
      <w:r w:rsidR="00F51E8C">
        <w:rPr>
          <w:rFonts w:ascii="Calibri" w:eastAsia="Times New Roman" w:hAnsi="Calibri" w:cs="Times New Roman"/>
          <w:szCs w:val="20"/>
          <w:lang w:val="en-GB" w:bidi="he-IL"/>
        </w:rPr>
        <w:t xml:space="preserve"> </w:t>
      </w:r>
      <w:r w:rsidR="00A2212A">
        <w:rPr>
          <w:rFonts w:ascii="Calibri" w:eastAsia="Times New Roman" w:hAnsi="Calibri" w:cs="Times New Roman"/>
          <w:szCs w:val="20"/>
          <w:lang w:val="en-GB" w:bidi="he-IL"/>
        </w:rPr>
        <w:t>While he may have appeared</w:t>
      </w:r>
      <w:r w:rsidR="002C6C6C">
        <w:rPr>
          <w:rFonts w:ascii="Calibri" w:eastAsia="Times New Roman" w:hAnsi="Calibri" w:cs="Times New Roman"/>
          <w:szCs w:val="20"/>
          <w:lang w:val="en-GB" w:bidi="he-IL"/>
        </w:rPr>
        <w:t xml:space="preserve"> to Abraham in a dream, as h</w:t>
      </w:r>
      <w:r w:rsidR="0091623C">
        <w:rPr>
          <w:rFonts w:ascii="Calibri" w:eastAsia="Times New Roman" w:hAnsi="Calibri" w:cs="Times New Roman"/>
          <w:szCs w:val="20"/>
          <w:lang w:val="en-GB" w:bidi="he-IL"/>
        </w:rPr>
        <w:t>e does to Jacob (28:10-17), many references to hi</w:t>
      </w:r>
      <w:r w:rsidR="002C6C6C">
        <w:rPr>
          <w:rFonts w:ascii="Calibri" w:eastAsia="Times New Roman" w:hAnsi="Calibri" w:cs="Times New Roman"/>
          <w:szCs w:val="20"/>
          <w:lang w:val="en-GB" w:bidi="he-IL"/>
        </w:rPr>
        <w:t xml:space="preserve">s </w:t>
      </w:r>
      <w:r w:rsidR="003D56BA">
        <w:rPr>
          <w:rFonts w:ascii="Calibri" w:eastAsia="Times New Roman" w:hAnsi="Calibri" w:cs="Times New Roman"/>
          <w:szCs w:val="20"/>
          <w:lang w:val="en-GB" w:bidi="he-IL"/>
        </w:rPr>
        <w:t>“</w:t>
      </w:r>
      <w:r w:rsidR="002C6C6C">
        <w:rPr>
          <w:rFonts w:ascii="Calibri" w:eastAsia="Times New Roman" w:hAnsi="Calibri" w:cs="Times New Roman"/>
          <w:szCs w:val="20"/>
          <w:lang w:val="en-GB" w:bidi="he-IL"/>
        </w:rPr>
        <w:t>appearing</w:t>
      </w:r>
      <w:r w:rsidR="003D56BA">
        <w:rPr>
          <w:rFonts w:ascii="Calibri" w:eastAsia="Times New Roman" w:hAnsi="Calibri" w:cs="Times New Roman"/>
          <w:szCs w:val="20"/>
          <w:lang w:val="en-GB" w:bidi="he-IL"/>
        </w:rPr>
        <w:t>”</w:t>
      </w:r>
      <w:r w:rsidR="002C6C6C">
        <w:rPr>
          <w:rFonts w:ascii="Calibri" w:eastAsia="Times New Roman" w:hAnsi="Calibri" w:cs="Times New Roman"/>
          <w:szCs w:val="20"/>
          <w:lang w:val="en-GB" w:bidi="he-IL"/>
        </w:rPr>
        <w:t xml:space="preserve"> involve only words </w:t>
      </w:r>
      <w:r w:rsidR="00F62856">
        <w:rPr>
          <w:rFonts w:ascii="Calibri" w:eastAsia="Times New Roman" w:hAnsi="Calibri" w:cs="Times New Roman"/>
          <w:szCs w:val="20"/>
          <w:lang w:val="en-GB" w:bidi="he-IL"/>
        </w:rPr>
        <w:t xml:space="preserve">(e.g., </w:t>
      </w:r>
      <w:r w:rsidR="002C6C6C">
        <w:rPr>
          <w:rFonts w:ascii="Calibri" w:eastAsia="Times New Roman" w:hAnsi="Calibri" w:cs="Times New Roman"/>
          <w:szCs w:val="20"/>
          <w:lang w:val="en-GB" w:bidi="he-IL"/>
        </w:rPr>
        <w:t>17:1</w:t>
      </w:r>
      <w:r w:rsidR="00F62856">
        <w:rPr>
          <w:rFonts w:ascii="Calibri" w:eastAsia="Times New Roman" w:hAnsi="Calibri" w:cs="Times New Roman"/>
          <w:szCs w:val="20"/>
          <w:lang w:val="en-GB" w:bidi="he-IL"/>
        </w:rPr>
        <w:t>)</w:t>
      </w:r>
      <w:r>
        <w:rPr>
          <w:rFonts w:ascii="Calibri" w:eastAsia="Times New Roman" w:hAnsi="Calibri" w:cs="Times New Roman"/>
          <w:szCs w:val="20"/>
          <w:lang w:val="en-GB" w:bidi="he-IL"/>
        </w:rPr>
        <w:t xml:space="preserve"> and </w:t>
      </w:r>
      <w:r w:rsidR="00F62856">
        <w:rPr>
          <w:rFonts w:ascii="Calibri" w:eastAsia="Times New Roman" w:hAnsi="Calibri" w:cs="Times New Roman"/>
          <w:szCs w:val="20"/>
          <w:lang w:val="en-GB" w:bidi="he-IL"/>
        </w:rPr>
        <w:t>certain</w:t>
      </w:r>
      <w:r w:rsidR="00F51E8C">
        <w:rPr>
          <w:rFonts w:ascii="Calibri" w:eastAsia="Times New Roman" w:hAnsi="Calibri" w:cs="Times New Roman"/>
          <w:szCs w:val="20"/>
          <w:lang w:val="en-GB" w:bidi="he-IL"/>
        </w:rPr>
        <w:t>ly the significance of the revelation</w:t>
      </w:r>
      <w:r w:rsidR="00F62856">
        <w:rPr>
          <w:rFonts w:ascii="Calibri" w:eastAsia="Times New Roman" w:hAnsi="Calibri" w:cs="Times New Roman"/>
          <w:szCs w:val="20"/>
          <w:lang w:val="en-GB" w:bidi="he-IL"/>
        </w:rPr>
        <w:t xml:space="preserve"> is the promise</w:t>
      </w:r>
      <w:r>
        <w:rPr>
          <w:rFonts w:ascii="Calibri" w:eastAsia="Times New Roman" w:hAnsi="Calibri" w:cs="Times New Roman"/>
          <w:szCs w:val="20"/>
          <w:lang w:val="en-GB" w:bidi="he-IL"/>
        </w:rPr>
        <w:t xml:space="preserve"> </w:t>
      </w:r>
      <w:r w:rsidR="00F62856">
        <w:rPr>
          <w:rFonts w:ascii="Calibri" w:eastAsia="Times New Roman" w:hAnsi="Calibri" w:cs="Times New Roman"/>
          <w:szCs w:val="20"/>
          <w:lang w:val="en-GB" w:bidi="he-IL"/>
        </w:rPr>
        <w:t xml:space="preserve">Yahweh gives. </w:t>
      </w:r>
      <w:r w:rsidR="0091623C">
        <w:rPr>
          <w:rFonts w:ascii="Calibri" w:eastAsia="Times New Roman" w:hAnsi="Calibri" w:cs="Times New Roman"/>
          <w:szCs w:val="20"/>
          <w:lang w:val="en-GB" w:bidi="he-IL"/>
        </w:rPr>
        <w:t xml:space="preserve">Yahweh’s appearing in Genesis is less spectacular than his appearing subsequently in the First Testament, and it is subordinate to his </w:t>
      </w:r>
      <w:r w:rsidR="0091623C">
        <w:rPr>
          <w:rFonts w:ascii="Calibri" w:eastAsia="Times New Roman" w:hAnsi="Calibri" w:cs="Times New Roman"/>
          <w:szCs w:val="20"/>
          <w:lang w:val="en-GB" w:bidi="he-IL"/>
        </w:rPr>
        <w:lastRenderedPageBreak/>
        <w:t>speaking.</w:t>
      </w:r>
      <w:r w:rsidR="0091623C">
        <w:rPr>
          <w:rStyle w:val="FootnoteReference"/>
          <w:rFonts w:ascii="Calibri" w:eastAsia="Times New Roman" w:hAnsi="Calibri" w:cs="Times New Roman"/>
          <w:szCs w:val="20"/>
          <w:lang w:val="en-GB" w:bidi="he-IL"/>
        </w:rPr>
        <w:footnoteReference w:id="64"/>
      </w:r>
      <w:r w:rsidR="0091623C">
        <w:rPr>
          <w:rFonts w:ascii="Calibri" w:eastAsia="Times New Roman" w:hAnsi="Calibri" w:cs="Times New Roman"/>
          <w:szCs w:val="20"/>
          <w:lang w:val="en-GB" w:bidi="he-IL"/>
        </w:rPr>
        <w:t xml:space="preserve"> </w:t>
      </w:r>
      <w:r w:rsidR="00F51E8C">
        <w:rPr>
          <w:rFonts w:ascii="Calibri" w:eastAsia="Times New Roman" w:hAnsi="Calibri" w:cs="Times New Roman"/>
          <w:szCs w:val="20"/>
          <w:lang w:val="en-GB" w:bidi="he-IL"/>
        </w:rPr>
        <w:t>In this</w:t>
      </w:r>
      <w:r w:rsidR="00C32095">
        <w:rPr>
          <w:rFonts w:ascii="Calibri" w:eastAsia="Times New Roman" w:hAnsi="Calibri" w:cs="Times New Roman"/>
          <w:szCs w:val="20"/>
          <w:lang w:val="en-GB" w:bidi="he-IL"/>
        </w:rPr>
        <w:t xml:space="preserve"> context, then, the implication </w:t>
      </w:r>
      <w:r w:rsidR="00F51E8C">
        <w:rPr>
          <w:rFonts w:ascii="Calibri" w:eastAsia="Times New Roman" w:hAnsi="Calibri" w:cs="Times New Roman"/>
          <w:szCs w:val="20"/>
          <w:lang w:val="en-GB" w:bidi="he-IL"/>
        </w:rPr>
        <w:t xml:space="preserve">of the move from </w:t>
      </w:r>
      <w:r w:rsidR="003D56BA">
        <w:rPr>
          <w:rFonts w:ascii="Calibri" w:eastAsia="Times New Roman" w:hAnsi="Calibri" w:cs="Times New Roman"/>
          <w:szCs w:val="20"/>
          <w:lang w:val="en-GB" w:bidi="he-IL"/>
        </w:rPr>
        <w:t>“</w:t>
      </w:r>
      <w:r w:rsidR="00F51E8C">
        <w:rPr>
          <w:rFonts w:ascii="Calibri" w:eastAsia="Times New Roman" w:hAnsi="Calibri" w:cs="Times New Roman"/>
          <w:szCs w:val="20"/>
          <w:lang w:val="en-GB" w:bidi="he-IL"/>
        </w:rPr>
        <w:t>said</w:t>
      </w:r>
      <w:r w:rsidR="003D56BA">
        <w:rPr>
          <w:rFonts w:ascii="Calibri" w:eastAsia="Times New Roman" w:hAnsi="Calibri" w:cs="Times New Roman"/>
          <w:szCs w:val="20"/>
          <w:lang w:val="en-GB" w:bidi="he-IL"/>
        </w:rPr>
        <w:t>”</w:t>
      </w:r>
      <w:r w:rsidR="00F51E8C">
        <w:rPr>
          <w:rFonts w:ascii="Calibri" w:eastAsia="Times New Roman" w:hAnsi="Calibri" w:cs="Times New Roman"/>
          <w:szCs w:val="20"/>
          <w:lang w:val="en-GB" w:bidi="he-IL"/>
        </w:rPr>
        <w:t xml:space="preserve"> (v. 1) to </w:t>
      </w:r>
      <w:r w:rsidR="003D56BA">
        <w:rPr>
          <w:rFonts w:ascii="Calibri" w:eastAsia="Times New Roman" w:hAnsi="Calibri" w:cs="Times New Roman"/>
          <w:szCs w:val="20"/>
          <w:lang w:val="en-GB" w:bidi="he-IL"/>
        </w:rPr>
        <w:t>“</w:t>
      </w:r>
      <w:r w:rsidR="00F51E8C">
        <w:rPr>
          <w:rFonts w:ascii="Calibri" w:eastAsia="Times New Roman" w:hAnsi="Calibri" w:cs="Times New Roman"/>
          <w:szCs w:val="20"/>
          <w:lang w:val="en-GB" w:bidi="he-IL"/>
        </w:rPr>
        <w:t>appeared</w:t>
      </w:r>
      <w:r w:rsidR="003D56BA">
        <w:rPr>
          <w:rFonts w:ascii="Calibri" w:eastAsia="Times New Roman" w:hAnsi="Calibri" w:cs="Times New Roman"/>
          <w:szCs w:val="20"/>
          <w:lang w:val="en-GB" w:bidi="he-IL"/>
        </w:rPr>
        <w:t>”</w:t>
      </w:r>
      <w:r w:rsidR="00F51E8C">
        <w:rPr>
          <w:rFonts w:ascii="Calibri" w:eastAsia="Times New Roman" w:hAnsi="Calibri" w:cs="Times New Roman"/>
          <w:szCs w:val="20"/>
          <w:lang w:val="en-GB" w:bidi="he-IL"/>
        </w:rPr>
        <w:t xml:space="preserve"> (v. 7) is to highlight the further promise that follows. Yahweh </w:t>
      </w:r>
      <w:r>
        <w:rPr>
          <w:rFonts w:ascii="Calibri" w:eastAsia="Times New Roman" w:hAnsi="Calibri" w:cs="Times New Roman"/>
          <w:szCs w:val="20"/>
          <w:lang w:val="en-GB" w:bidi="he-IL"/>
        </w:rPr>
        <w:t>is going to give this country t</w:t>
      </w:r>
      <w:r w:rsidR="00510665">
        <w:rPr>
          <w:rFonts w:ascii="Calibri" w:eastAsia="Times New Roman" w:hAnsi="Calibri" w:cs="Times New Roman"/>
          <w:szCs w:val="20"/>
          <w:lang w:val="en-GB" w:bidi="he-IL"/>
        </w:rPr>
        <w:t>o Abraham’s eventual offspring. There is some inevitability about the need to give Abraham’s descendants a country if they are to be a nation, let alone a big nation</w:t>
      </w:r>
      <w:r w:rsidR="00C870DF">
        <w:rPr>
          <w:rFonts w:ascii="Calibri" w:eastAsia="Times New Roman" w:hAnsi="Calibri" w:cs="Times New Roman"/>
          <w:szCs w:val="20"/>
          <w:lang w:val="en-GB" w:bidi="he-IL"/>
        </w:rPr>
        <w:t xml:space="preserve">. “Offspring and land must go together; one without the other is useless and dangerous. </w:t>
      </w:r>
      <w:r w:rsidR="00C870DF" w:rsidRPr="00C870DF">
        <w:t>How do you work land without children to fill it and care for it? How do you feed children without land? One without the other leads to war raids, poverty, starvation, and slavery.</w:t>
      </w:r>
      <w:r w:rsidR="00C870DF">
        <w:t>”</w:t>
      </w:r>
      <w:r w:rsidR="00C870DF">
        <w:rPr>
          <w:rStyle w:val="FootnoteReference"/>
        </w:rPr>
        <w:footnoteReference w:id="65"/>
      </w:r>
      <w:r w:rsidR="0091623C">
        <w:t xml:space="preserve"> And</w:t>
      </w:r>
      <w:r w:rsidR="00510665">
        <w:rPr>
          <w:rFonts w:ascii="Calibri" w:eastAsia="Times New Roman" w:hAnsi="Calibri" w:cs="Times New Roman"/>
          <w:szCs w:val="20"/>
          <w:lang w:val="en-GB" w:bidi="he-IL"/>
        </w:rPr>
        <w:t xml:space="preserve"> territory is </w:t>
      </w:r>
      <w:r w:rsidR="0091623C">
        <w:rPr>
          <w:rFonts w:ascii="Calibri" w:eastAsia="Times New Roman" w:hAnsi="Calibri" w:cs="Times New Roman"/>
          <w:szCs w:val="20"/>
          <w:lang w:val="en-GB" w:bidi="he-IL"/>
        </w:rPr>
        <w:t xml:space="preserve">even more </w:t>
      </w:r>
      <w:r w:rsidR="00510665">
        <w:rPr>
          <w:rFonts w:ascii="Calibri" w:eastAsia="Times New Roman" w:hAnsi="Calibri" w:cs="Times New Roman"/>
          <w:szCs w:val="20"/>
          <w:lang w:val="en-GB" w:bidi="he-IL"/>
        </w:rPr>
        <w:t>integral to</w:t>
      </w:r>
      <w:r w:rsidR="0091623C">
        <w:rPr>
          <w:rFonts w:ascii="Calibri" w:eastAsia="Times New Roman" w:hAnsi="Calibri" w:cs="Times New Roman"/>
          <w:szCs w:val="20"/>
          <w:lang w:val="en-GB" w:bidi="he-IL"/>
        </w:rPr>
        <w:t xml:space="preserve"> the notion of nationhood than</w:t>
      </w:r>
      <w:r w:rsidR="0013008C">
        <w:rPr>
          <w:rFonts w:ascii="Calibri" w:eastAsia="Times New Roman" w:hAnsi="Calibri" w:cs="Times New Roman"/>
          <w:szCs w:val="20"/>
          <w:lang w:val="en-GB" w:bidi="he-IL"/>
        </w:rPr>
        <w:t xml:space="preserve"> to being a people. But w</w:t>
      </w:r>
      <w:r w:rsidR="00510665">
        <w:rPr>
          <w:rFonts w:ascii="Calibri" w:eastAsia="Times New Roman" w:hAnsi="Calibri" w:cs="Times New Roman"/>
          <w:szCs w:val="20"/>
          <w:lang w:val="en-GB" w:bidi="he-IL"/>
        </w:rPr>
        <w:t>hy this country? The</w:t>
      </w:r>
      <w:r w:rsidR="0091623C">
        <w:rPr>
          <w:rFonts w:ascii="Calibri" w:eastAsia="Times New Roman" w:hAnsi="Calibri" w:cs="Times New Roman"/>
          <w:szCs w:val="20"/>
          <w:lang w:val="en-GB" w:bidi="he-IL"/>
        </w:rPr>
        <w:t xml:space="preserve"> First Testament never answers</w:t>
      </w:r>
      <w:r w:rsidR="00510665">
        <w:rPr>
          <w:rFonts w:ascii="Calibri" w:eastAsia="Times New Roman" w:hAnsi="Calibri" w:cs="Times New Roman"/>
          <w:szCs w:val="20"/>
          <w:lang w:val="en-GB" w:bidi="he-IL"/>
        </w:rPr>
        <w:t xml:space="preserve"> that question, </w:t>
      </w:r>
      <w:r w:rsidR="0091623C">
        <w:rPr>
          <w:rFonts w:ascii="Calibri" w:eastAsia="Times New Roman" w:hAnsi="Calibri" w:cs="Times New Roman"/>
          <w:szCs w:val="20"/>
          <w:lang w:val="en-GB" w:bidi="he-IL"/>
        </w:rPr>
        <w:t>though it may hint at two reason</w:t>
      </w:r>
      <w:r w:rsidR="00510665">
        <w:rPr>
          <w:rFonts w:ascii="Calibri" w:eastAsia="Times New Roman" w:hAnsi="Calibri" w:cs="Times New Roman"/>
          <w:szCs w:val="20"/>
          <w:lang w:val="en-GB" w:bidi="he-IL"/>
        </w:rPr>
        <w:t>s. One is its geographical location between the great empires of the Middle East (see Isa 19:</w:t>
      </w:r>
      <w:r w:rsidR="00146782">
        <w:rPr>
          <w:rFonts w:ascii="Calibri" w:eastAsia="Times New Roman" w:hAnsi="Calibri" w:cs="Times New Roman"/>
          <w:szCs w:val="20"/>
          <w:lang w:val="en-GB" w:bidi="he-IL"/>
        </w:rPr>
        <w:t>23-25). The other is that Yahweh is particularly disgusted with the Canaanites, or at least will be in due course, and Abraham’s descendants will be the m</w:t>
      </w:r>
      <w:r w:rsidR="0091623C">
        <w:rPr>
          <w:rFonts w:ascii="Calibri" w:eastAsia="Times New Roman" w:hAnsi="Calibri" w:cs="Times New Roman"/>
          <w:szCs w:val="20"/>
          <w:lang w:val="en-GB" w:bidi="he-IL"/>
        </w:rPr>
        <w:t xml:space="preserve">eans of putting them down; </w:t>
      </w:r>
      <w:r w:rsidR="00146782" w:rsidRPr="00146782">
        <w:rPr>
          <w:rFonts w:ascii="Calibri" w:eastAsia="Times New Roman" w:hAnsi="Calibri" w:cs="Times New Roman"/>
          <w:szCs w:val="20"/>
          <w:lang w:val="en-GB" w:bidi="he-IL"/>
        </w:rPr>
        <w:t>Gen 15:16 will expla</w:t>
      </w:r>
      <w:r w:rsidR="00146782">
        <w:rPr>
          <w:rFonts w:ascii="Calibri" w:eastAsia="Times New Roman" w:hAnsi="Calibri" w:cs="Times New Roman"/>
          <w:szCs w:val="20"/>
          <w:lang w:val="en-GB" w:bidi="he-IL"/>
        </w:rPr>
        <w:t xml:space="preserve">in why he cannot morally give the country to </w:t>
      </w:r>
      <w:r w:rsidR="00146782" w:rsidRPr="00146782">
        <w:rPr>
          <w:rFonts w:ascii="Calibri" w:eastAsia="Times New Roman" w:hAnsi="Calibri" w:cs="Times New Roman"/>
          <w:szCs w:val="20"/>
          <w:lang w:val="en-GB" w:bidi="he-IL"/>
        </w:rPr>
        <w:t>Abraham at the moment.</w:t>
      </w:r>
      <w:r w:rsidR="00146782">
        <w:rPr>
          <w:rFonts w:ascii="Calibri" w:eastAsia="Times New Roman" w:hAnsi="Calibri" w:cs="Times New Roman"/>
          <w:szCs w:val="20"/>
          <w:lang w:val="en-GB" w:bidi="he-IL"/>
        </w:rPr>
        <w:t xml:space="preserve"> </w:t>
      </w:r>
    </w:p>
    <w:p w14:paraId="1A2E19D8" w14:textId="7AEE45A9" w:rsidR="00717891" w:rsidRPr="00717891" w:rsidRDefault="0013008C" w:rsidP="00DA695A">
      <w:pPr>
        <w:rPr>
          <w:rFonts w:ascii="Calibri" w:eastAsia="Times New Roman" w:hAnsi="Calibri" w:cs="Times New Roman"/>
          <w:szCs w:val="20"/>
          <w:lang w:val="en-GB" w:bidi="he-IL"/>
        </w:rPr>
      </w:pPr>
      <w:r>
        <w:rPr>
          <w:rFonts w:ascii="Calibri" w:eastAsia="Times New Roman" w:hAnsi="Calibri" w:cs="Times New Roman"/>
          <w:szCs w:val="20"/>
          <w:lang w:val="en-GB" w:bidi="he-IL"/>
        </w:rPr>
        <w:t>Having now a promise and a location (v. 7b), Abraham</w:t>
      </w:r>
      <w:r w:rsidR="006E3853">
        <w:rPr>
          <w:rFonts w:ascii="Calibri" w:eastAsia="Times New Roman" w:hAnsi="Calibri" w:cs="Times New Roman"/>
          <w:szCs w:val="20"/>
          <w:lang w:val="en-GB" w:bidi="he-IL"/>
        </w:rPr>
        <w:t xml:space="preserve"> </w:t>
      </w:r>
      <w:r w:rsidR="006676E0">
        <w:rPr>
          <w:rFonts w:ascii="Calibri" w:eastAsia="Times New Roman" w:hAnsi="Calibri" w:cs="Times New Roman"/>
          <w:szCs w:val="20"/>
          <w:lang w:val="en-GB" w:bidi="he-IL"/>
        </w:rPr>
        <w:t xml:space="preserve">gets away with erecting his own altar </w:t>
      </w:r>
      <w:r w:rsidR="006E3853">
        <w:rPr>
          <w:rFonts w:ascii="Calibri" w:eastAsia="Times New Roman" w:hAnsi="Calibri" w:cs="Times New Roman"/>
          <w:szCs w:val="20"/>
          <w:lang w:val="en-GB" w:bidi="he-IL"/>
        </w:rPr>
        <w:t>in</w:t>
      </w:r>
      <w:r w:rsidR="0091623C">
        <w:rPr>
          <w:rFonts w:ascii="Calibri" w:eastAsia="Times New Roman" w:hAnsi="Calibri" w:cs="Times New Roman"/>
          <w:szCs w:val="20"/>
          <w:lang w:val="en-GB" w:bidi="he-IL"/>
        </w:rPr>
        <w:t xml:space="preserve"> this Canaanite sanctuary. Construct</w:t>
      </w:r>
      <w:r w:rsidR="006E3853">
        <w:rPr>
          <w:rFonts w:ascii="Calibri" w:eastAsia="Times New Roman" w:hAnsi="Calibri" w:cs="Times New Roman"/>
          <w:szCs w:val="20"/>
          <w:lang w:val="en-GB" w:bidi="he-IL"/>
        </w:rPr>
        <w:t xml:space="preserve">ing an altar is a </w:t>
      </w:r>
      <w:r w:rsidR="00F343F6">
        <w:rPr>
          <w:rFonts w:ascii="Calibri" w:eastAsia="Times New Roman" w:hAnsi="Calibri" w:cs="Times New Roman"/>
          <w:szCs w:val="20"/>
          <w:lang w:val="en-GB" w:bidi="he-IL"/>
        </w:rPr>
        <w:t xml:space="preserve">proper </w:t>
      </w:r>
      <w:r w:rsidR="00151A03">
        <w:rPr>
          <w:rFonts w:ascii="Calibri" w:eastAsia="Times New Roman" w:hAnsi="Calibri" w:cs="Times New Roman"/>
          <w:szCs w:val="20"/>
          <w:lang w:val="en-GB" w:bidi="he-IL"/>
        </w:rPr>
        <w:t xml:space="preserve">response to Yahweh appearing. </w:t>
      </w:r>
      <w:r w:rsidR="00510665">
        <w:rPr>
          <w:rFonts w:ascii="Calibri" w:eastAsia="Times New Roman" w:hAnsi="Calibri" w:cs="Times New Roman"/>
          <w:szCs w:val="20"/>
          <w:lang w:val="en-GB" w:bidi="he-IL"/>
        </w:rPr>
        <w:t>There’s no reference to offering sacrifice</w:t>
      </w:r>
      <w:r>
        <w:rPr>
          <w:rFonts w:ascii="Calibri" w:eastAsia="Times New Roman" w:hAnsi="Calibri" w:cs="Times New Roman"/>
          <w:szCs w:val="20"/>
          <w:lang w:val="en-GB" w:bidi="he-IL"/>
        </w:rPr>
        <w:t xml:space="preserve"> on this altar</w:t>
      </w:r>
      <w:r w:rsidR="00510665">
        <w:rPr>
          <w:rFonts w:ascii="Calibri" w:eastAsia="Times New Roman" w:hAnsi="Calibri" w:cs="Times New Roman"/>
          <w:szCs w:val="20"/>
          <w:lang w:val="en-GB" w:bidi="he-IL"/>
        </w:rPr>
        <w:t xml:space="preserve">, as is the case with most of the altars in Genesis (12:8; 13:18; 26:25; 33:20; 35:1-7; also Exod 17:15). </w:t>
      </w:r>
      <w:r w:rsidR="006E3853">
        <w:rPr>
          <w:rFonts w:ascii="Calibri" w:eastAsia="Times New Roman" w:hAnsi="Calibri" w:cs="Times New Roman"/>
          <w:szCs w:val="20"/>
          <w:lang w:val="en-GB" w:bidi="he-IL"/>
        </w:rPr>
        <w:t>The appearing marks this location as a place where God has broken through from</w:t>
      </w:r>
      <w:r w:rsidR="00F343F6">
        <w:rPr>
          <w:rFonts w:ascii="Calibri" w:eastAsia="Times New Roman" w:hAnsi="Calibri" w:cs="Times New Roman"/>
          <w:szCs w:val="20"/>
          <w:lang w:val="en-GB" w:bidi="he-IL"/>
        </w:rPr>
        <w:t xml:space="preserve"> the heavens to the earth. I</w:t>
      </w:r>
      <w:r w:rsidR="006E3853">
        <w:rPr>
          <w:rFonts w:ascii="Calibri" w:eastAsia="Times New Roman" w:hAnsi="Calibri" w:cs="Times New Roman"/>
          <w:szCs w:val="20"/>
          <w:lang w:val="en-GB" w:bidi="he-IL"/>
        </w:rPr>
        <w:t>t deserves</w:t>
      </w:r>
      <w:r w:rsidR="0091623C">
        <w:rPr>
          <w:rFonts w:ascii="Calibri" w:eastAsia="Times New Roman" w:hAnsi="Calibri" w:cs="Times New Roman"/>
          <w:szCs w:val="20"/>
          <w:lang w:val="en-GB" w:bidi="he-IL"/>
        </w:rPr>
        <w:t xml:space="preserve"> pre</w:t>
      </w:r>
      <w:r w:rsidR="00BB6827">
        <w:rPr>
          <w:rFonts w:ascii="Calibri" w:eastAsia="Times New Roman" w:hAnsi="Calibri" w:cs="Times New Roman"/>
          <w:szCs w:val="20"/>
          <w:lang w:val="en-GB" w:bidi="he-IL"/>
        </w:rPr>
        <w:t>serving for that reason, and it</w:t>
      </w:r>
      <w:r w:rsidR="0091623C">
        <w:rPr>
          <w:rFonts w:ascii="Calibri" w:eastAsia="Times New Roman" w:hAnsi="Calibri" w:cs="Times New Roman"/>
          <w:szCs w:val="20"/>
          <w:lang w:val="en-GB" w:bidi="he-IL"/>
        </w:rPr>
        <w:t xml:space="preserve"> deserves marking in light of</w:t>
      </w:r>
      <w:r w:rsidR="006E3853">
        <w:rPr>
          <w:rFonts w:ascii="Calibri" w:eastAsia="Times New Roman" w:hAnsi="Calibri" w:cs="Times New Roman"/>
          <w:szCs w:val="20"/>
          <w:lang w:val="en-GB" w:bidi="he-IL"/>
        </w:rPr>
        <w:t xml:space="preserve"> the possibility that </w:t>
      </w:r>
      <w:r w:rsidR="0091623C">
        <w:rPr>
          <w:rFonts w:ascii="Calibri" w:eastAsia="Times New Roman" w:hAnsi="Calibri" w:cs="Times New Roman"/>
          <w:szCs w:val="20"/>
          <w:lang w:val="en-GB" w:bidi="he-IL"/>
        </w:rPr>
        <w:t xml:space="preserve">it has become a portal; </w:t>
      </w:r>
      <w:r>
        <w:rPr>
          <w:rFonts w:ascii="Calibri" w:eastAsia="Times New Roman" w:hAnsi="Calibri" w:cs="Times New Roman"/>
          <w:szCs w:val="20"/>
          <w:lang w:val="en-GB" w:bidi="he-IL"/>
        </w:rPr>
        <w:t>God might break through here</w:t>
      </w:r>
      <w:r w:rsidR="006E3853">
        <w:rPr>
          <w:rFonts w:ascii="Calibri" w:eastAsia="Times New Roman" w:hAnsi="Calibri" w:cs="Times New Roman"/>
          <w:szCs w:val="20"/>
          <w:lang w:val="en-GB" w:bidi="he-IL"/>
        </w:rPr>
        <w:t xml:space="preserve"> again. </w:t>
      </w:r>
    </w:p>
    <w:p w14:paraId="75A231A8" w14:textId="6579E25B" w:rsidR="00C40E9F" w:rsidRDefault="002560AA" w:rsidP="00DA695A">
      <w:pPr>
        <w:rPr>
          <w:rFonts w:ascii="Calibri" w:eastAsia="Times New Roman" w:hAnsi="Calibri" w:cs="Times New Roman"/>
          <w:szCs w:val="20"/>
          <w:lang w:val="en-GB" w:bidi="he-IL"/>
        </w:rPr>
      </w:pPr>
      <w:r>
        <w:rPr>
          <w:rFonts w:ascii="Calibri" w:eastAsia="Times New Roman" w:hAnsi="Calibri" w:cs="Times New Roman"/>
          <w:szCs w:val="20"/>
          <w:lang w:val="en-GB" w:bidi="he-IL"/>
        </w:rPr>
        <w:t>Beth</w:t>
      </w:r>
      <w:r w:rsidR="00BB6827">
        <w:rPr>
          <w:rFonts w:ascii="Calibri" w:eastAsia="Times New Roman" w:hAnsi="Calibri" w:cs="Times New Roman"/>
          <w:szCs w:val="20"/>
          <w:lang w:val="en-GB" w:bidi="he-IL"/>
        </w:rPr>
        <w:t xml:space="preserve"> E</w:t>
      </w:r>
      <w:r>
        <w:rPr>
          <w:rFonts w:ascii="Calibri" w:eastAsia="Times New Roman" w:hAnsi="Calibri" w:cs="Times New Roman"/>
          <w:szCs w:val="20"/>
          <w:lang w:val="en-GB" w:bidi="he-IL"/>
        </w:rPr>
        <w:t>l and Ai (</w:t>
      </w:r>
      <w:r w:rsidRPr="002560AA">
        <w:rPr>
          <w:rFonts w:ascii="Calibri" w:eastAsia="Times New Roman" w:hAnsi="Calibri" w:cs="Times New Roman"/>
          <w:szCs w:val="20"/>
          <w:lang w:val="en-GB" w:bidi="he-IL"/>
        </w:rPr>
        <w:t>Ha’ay</w:t>
      </w:r>
      <w:r w:rsidR="00146782">
        <w:rPr>
          <w:rFonts w:ascii="Calibri" w:eastAsia="Times New Roman" w:hAnsi="Calibri" w:cs="Times New Roman"/>
          <w:szCs w:val="20"/>
          <w:lang w:val="en-GB" w:bidi="he-IL"/>
        </w:rPr>
        <w:t xml:space="preserve">, </w:t>
      </w:r>
      <w:r w:rsidR="003D56BA">
        <w:rPr>
          <w:rFonts w:ascii="Calibri" w:eastAsia="Times New Roman" w:hAnsi="Calibri" w:cs="Times New Roman"/>
          <w:szCs w:val="20"/>
          <w:lang w:val="en-GB" w:bidi="he-IL"/>
        </w:rPr>
        <w:t>“</w:t>
      </w:r>
      <w:r w:rsidR="00146782">
        <w:rPr>
          <w:rFonts w:ascii="Calibri" w:eastAsia="Times New Roman" w:hAnsi="Calibri" w:cs="Times New Roman"/>
          <w:szCs w:val="20"/>
          <w:lang w:val="en-GB" w:bidi="he-IL"/>
        </w:rPr>
        <w:t>The Ruin</w:t>
      </w:r>
      <w:r w:rsidR="003D56BA">
        <w:rPr>
          <w:rFonts w:ascii="Calibri" w:eastAsia="Times New Roman" w:hAnsi="Calibri" w:cs="Times New Roman"/>
          <w:szCs w:val="20"/>
          <w:lang w:val="en-GB" w:bidi="he-IL"/>
        </w:rPr>
        <w:t>”</w:t>
      </w:r>
      <w:r>
        <w:rPr>
          <w:rFonts w:ascii="Calibri" w:eastAsia="Times New Roman" w:hAnsi="Calibri" w:cs="Times New Roman"/>
          <w:szCs w:val="20"/>
          <w:lang w:val="en-GB" w:bidi="he-IL"/>
        </w:rPr>
        <w:t xml:space="preserve">) </w:t>
      </w:r>
      <w:r w:rsidR="00995699">
        <w:rPr>
          <w:rFonts w:ascii="Calibri" w:eastAsia="Times New Roman" w:hAnsi="Calibri" w:cs="Times New Roman"/>
          <w:szCs w:val="20"/>
          <w:lang w:val="en-GB" w:bidi="he-IL"/>
        </w:rPr>
        <w:t xml:space="preserve">(v. 8) </w:t>
      </w:r>
      <w:r w:rsidR="00717891">
        <w:rPr>
          <w:rFonts w:ascii="Calibri" w:eastAsia="Times New Roman" w:hAnsi="Calibri" w:cs="Times New Roman"/>
          <w:szCs w:val="20"/>
          <w:lang w:val="en-GB" w:bidi="he-IL"/>
        </w:rPr>
        <w:t>would come n</w:t>
      </w:r>
      <w:r w:rsidR="00146782">
        <w:rPr>
          <w:rFonts w:ascii="Calibri" w:eastAsia="Times New Roman" w:hAnsi="Calibri" w:cs="Times New Roman"/>
          <w:szCs w:val="20"/>
          <w:lang w:val="en-GB" w:bidi="he-IL"/>
        </w:rPr>
        <w:t>ext—they p</w:t>
      </w:r>
      <w:r w:rsidR="00625DCF">
        <w:rPr>
          <w:rFonts w:ascii="Calibri" w:eastAsia="Times New Roman" w:hAnsi="Calibri" w:cs="Times New Roman"/>
          <w:szCs w:val="20"/>
          <w:lang w:val="en-GB" w:bidi="he-IL"/>
        </w:rPr>
        <w:t>recede Shechem in Josh</w:t>
      </w:r>
      <w:r w:rsidR="00095A1E">
        <w:rPr>
          <w:rFonts w:ascii="Calibri" w:eastAsia="Times New Roman" w:hAnsi="Calibri" w:cs="Times New Roman"/>
          <w:szCs w:val="20"/>
          <w:lang w:val="en-GB" w:bidi="he-IL"/>
        </w:rPr>
        <w:t xml:space="preserve"> 7—8, when</w:t>
      </w:r>
      <w:r w:rsidR="00146782">
        <w:rPr>
          <w:rFonts w:ascii="Calibri" w:eastAsia="Times New Roman" w:hAnsi="Calibri" w:cs="Times New Roman"/>
          <w:szCs w:val="20"/>
          <w:lang w:val="en-GB" w:bidi="he-IL"/>
        </w:rPr>
        <w:t xml:space="preserve"> Joshua is coming in the opposite direction</w:t>
      </w:r>
      <w:r w:rsidR="00717891">
        <w:rPr>
          <w:rFonts w:ascii="Calibri" w:eastAsia="Times New Roman" w:hAnsi="Calibri" w:cs="Times New Roman"/>
          <w:szCs w:val="20"/>
          <w:lang w:val="en-GB" w:bidi="he-IL"/>
        </w:rPr>
        <w:t>.</w:t>
      </w:r>
      <w:r w:rsidR="00146782">
        <w:rPr>
          <w:rFonts w:ascii="Calibri" w:eastAsia="Times New Roman" w:hAnsi="Calibri" w:cs="Times New Roman"/>
          <w:szCs w:val="20"/>
          <w:lang w:val="en-GB" w:bidi="he-IL"/>
        </w:rPr>
        <w:t xml:space="preserve"> </w:t>
      </w:r>
      <w:r w:rsidR="00625DCF">
        <w:rPr>
          <w:rFonts w:ascii="Calibri" w:eastAsia="Times New Roman" w:hAnsi="Calibri" w:cs="Times New Roman"/>
          <w:szCs w:val="20"/>
          <w:lang w:val="en-GB" w:bidi="he-IL"/>
        </w:rPr>
        <w:t xml:space="preserve">This leg of Abraham’s journey would take only a day or two. </w:t>
      </w:r>
      <w:r w:rsidR="00146782">
        <w:rPr>
          <w:rFonts w:ascii="Calibri" w:eastAsia="Times New Roman" w:hAnsi="Calibri" w:cs="Times New Roman"/>
          <w:szCs w:val="20"/>
          <w:lang w:val="en-GB" w:bidi="he-IL"/>
        </w:rPr>
        <w:t xml:space="preserve">When </w:t>
      </w:r>
      <w:r w:rsidR="0091623C">
        <w:rPr>
          <w:rFonts w:ascii="Calibri" w:eastAsia="Times New Roman" w:hAnsi="Calibri" w:cs="Times New Roman"/>
          <w:szCs w:val="20"/>
          <w:lang w:val="en-GB" w:bidi="he-IL"/>
        </w:rPr>
        <w:t xml:space="preserve">Shechem </w:t>
      </w:r>
      <w:r w:rsidR="00E810BA">
        <w:rPr>
          <w:rFonts w:ascii="Calibri" w:eastAsia="Times New Roman" w:hAnsi="Calibri" w:cs="Times New Roman"/>
          <w:szCs w:val="20"/>
          <w:lang w:val="en-GB" w:bidi="he-IL"/>
        </w:rPr>
        <w:t>be</w:t>
      </w:r>
      <w:r w:rsidR="0091623C">
        <w:rPr>
          <w:rFonts w:ascii="Calibri" w:eastAsia="Times New Roman" w:hAnsi="Calibri" w:cs="Times New Roman"/>
          <w:szCs w:val="20"/>
          <w:lang w:val="en-GB" w:bidi="he-IL"/>
        </w:rPr>
        <w:t>comes</w:t>
      </w:r>
      <w:r w:rsidR="00146782">
        <w:rPr>
          <w:rFonts w:ascii="Calibri" w:eastAsia="Times New Roman" w:hAnsi="Calibri" w:cs="Times New Roman"/>
          <w:szCs w:val="20"/>
          <w:lang w:val="en-GB" w:bidi="he-IL"/>
        </w:rPr>
        <w:t xml:space="preserve"> the first capital of</w:t>
      </w:r>
      <w:r w:rsidR="00E810BA">
        <w:rPr>
          <w:rFonts w:ascii="Calibri" w:eastAsia="Times New Roman" w:hAnsi="Calibri" w:cs="Times New Roman"/>
          <w:szCs w:val="20"/>
          <w:lang w:val="en-GB" w:bidi="he-IL"/>
        </w:rPr>
        <w:t xml:space="preserve"> northern</w:t>
      </w:r>
      <w:r w:rsidR="00146782">
        <w:rPr>
          <w:rFonts w:ascii="Calibri" w:eastAsia="Times New Roman" w:hAnsi="Calibri" w:cs="Times New Roman"/>
          <w:szCs w:val="20"/>
          <w:lang w:val="en-GB" w:bidi="he-IL"/>
        </w:rPr>
        <w:t xml:space="preserve"> Israel (Ephraim)</w:t>
      </w:r>
      <w:r w:rsidR="0091623C">
        <w:rPr>
          <w:rFonts w:ascii="Calibri" w:eastAsia="Times New Roman" w:hAnsi="Calibri" w:cs="Times New Roman"/>
          <w:szCs w:val="20"/>
          <w:lang w:val="en-GB" w:bidi="he-IL"/>
        </w:rPr>
        <w:t>, Beth</w:t>
      </w:r>
      <w:r w:rsidR="00BB6827">
        <w:rPr>
          <w:rFonts w:ascii="Calibri" w:eastAsia="Times New Roman" w:hAnsi="Calibri" w:cs="Times New Roman"/>
          <w:szCs w:val="20"/>
          <w:lang w:val="en-GB" w:bidi="he-IL"/>
        </w:rPr>
        <w:t xml:space="preserve"> E</w:t>
      </w:r>
      <w:r w:rsidR="0091623C">
        <w:rPr>
          <w:rFonts w:ascii="Calibri" w:eastAsia="Times New Roman" w:hAnsi="Calibri" w:cs="Times New Roman"/>
          <w:szCs w:val="20"/>
          <w:lang w:val="en-GB" w:bidi="he-IL"/>
        </w:rPr>
        <w:t>l will</w:t>
      </w:r>
      <w:r w:rsidR="00E810BA">
        <w:rPr>
          <w:rFonts w:ascii="Calibri" w:eastAsia="Times New Roman" w:hAnsi="Calibri" w:cs="Times New Roman"/>
          <w:szCs w:val="20"/>
          <w:lang w:val="en-GB" w:bidi="he-IL"/>
        </w:rPr>
        <w:t xml:space="preserve"> be its nearest sanctuary for festivals (1 Kings 12:25-32). </w:t>
      </w:r>
      <w:r w:rsidR="00D810A6">
        <w:rPr>
          <w:rFonts w:ascii="Calibri" w:eastAsia="Times New Roman" w:hAnsi="Calibri" w:cs="Times New Roman"/>
          <w:szCs w:val="20"/>
          <w:lang w:val="en-GB" w:bidi="he-IL"/>
        </w:rPr>
        <w:t>If 28:19 ind</w:t>
      </w:r>
      <w:r w:rsidR="00625DCF">
        <w:rPr>
          <w:rFonts w:ascii="Calibri" w:eastAsia="Times New Roman" w:hAnsi="Calibri" w:cs="Times New Roman"/>
          <w:szCs w:val="20"/>
          <w:lang w:val="en-GB" w:bidi="he-IL"/>
        </w:rPr>
        <w:t>icates that Jacob actually gave the place its name</w:t>
      </w:r>
      <w:r w:rsidR="00D810A6">
        <w:rPr>
          <w:rFonts w:ascii="Calibri" w:eastAsia="Times New Roman" w:hAnsi="Calibri" w:cs="Times New Roman"/>
          <w:szCs w:val="20"/>
          <w:lang w:val="en-GB" w:bidi="he-IL"/>
        </w:rPr>
        <w:t>,</w:t>
      </w:r>
      <w:r w:rsidR="00625DCF">
        <w:rPr>
          <w:rFonts w:ascii="Calibri" w:eastAsia="Times New Roman" w:hAnsi="Calibri" w:cs="Times New Roman"/>
          <w:szCs w:val="20"/>
          <w:lang w:val="en-GB" w:bidi="he-IL"/>
        </w:rPr>
        <w:t xml:space="preserve"> then Genesis here uses it</w:t>
      </w:r>
      <w:r w:rsidR="00D810A6">
        <w:rPr>
          <w:rFonts w:ascii="Calibri" w:eastAsia="Times New Roman" w:hAnsi="Calibri" w:cs="Times New Roman"/>
          <w:szCs w:val="20"/>
          <w:lang w:val="en-GB" w:bidi="he-IL"/>
        </w:rPr>
        <w:t xml:space="preserve"> in anticipation of that naming. </w:t>
      </w:r>
      <w:r w:rsidR="00625DCF">
        <w:rPr>
          <w:rFonts w:ascii="Calibri" w:eastAsia="Times New Roman" w:hAnsi="Calibri" w:cs="Times New Roman"/>
          <w:szCs w:val="20"/>
          <w:lang w:val="en-GB" w:bidi="he-IL"/>
        </w:rPr>
        <w:t>“S</w:t>
      </w:r>
      <w:r w:rsidR="00E810BA">
        <w:rPr>
          <w:rFonts w:ascii="Calibri" w:eastAsia="Times New Roman" w:hAnsi="Calibri" w:cs="Times New Roman"/>
          <w:szCs w:val="20"/>
          <w:lang w:val="en-GB" w:bidi="he-IL"/>
        </w:rPr>
        <w:t>preading tents</w:t>
      </w:r>
      <w:r w:rsidR="00625DCF">
        <w:rPr>
          <w:rFonts w:ascii="Calibri" w:eastAsia="Times New Roman" w:hAnsi="Calibri" w:cs="Times New Roman"/>
          <w:szCs w:val="20"/>
          <w:lang w:val="en-GB" w:bidi="he-IL"/>
        </w:rPr>
        <w:t>”</w:t>
      </w:r>
      <w:r w:rsidR="00E810BA">
        <w:rPr>
          <w:rFonts w:ascii="Calibri" w:eastAsia="Times New Roman" w:hAnsi="Calibri" w:cs="Times New Roman"/>
          <w:szCs w:val="20"/>
          <w:lang w:val="en-GB" w:bidi="he-IL"/>
        </w:rPr>
        <w:t xml:space="preserve"> suggests that the ent</w:t>
      </w:r>
      <w:r w:rsidR="00625DCF">
        <w:rPr>
          <w:rFonts w:ascii="Calibri" w:eastAsia="Times New Roman" w:hAnsi="Calibri" w:cs="Times New Roman"/>
          <w:szCs w:val="20"/>
          <w:lang w:val="en-GB" w:bidi="he-IL"/>
        </w:rPr>
        <w:t xml:space="preserve">ourage settles </w:t>
      </w:r>
      <w:r w:rsidR="005649C7">
        <w:rPr>
          <w:rFonts w:ascii="Calibri" w:eastAsia="Times New Roman" w:hAnsi="Calibri" w:cs="Times New Roman"/>
          <w:szCs w:val="20"/>
          <w:lang w:val="en-GB" w:bidi="he-IL"/>
        </w:rPr>
        <w:t>here for a while, as the context suggests whe</w:t>
      </w:r>
      <w:r w:rsidR="00095A1E">
        <w:rPr>
          <w:rFonts w:ascii="Calibri" w:eastAsia="Times New Roman" w:hAnsi="Calibri" w:cs="Times New Roman"/>
          <w:szCs w:val="20"/>
          <w:lang w:val="en-GB" w:bidi="he-IL"/>
        </w:rPr>
        <w:t xml:space="preserve">n the phrase recurs in 26:25; </w:t>
      </w:r>
      <w:r w:rsidR="005649C7">
        <w:rPr>
          <w:rFonts w:ascii="Calibri" w:eastAsia="Times New Roman" w:hAnsi="Calibri" w:cs="Times New Roman"/>
          <w:szCs w:val="20"/>
          <w:lang w:val="en-GB" w:bidi="he-IL"/>
        </w:rPr>
        <w:t>35:21 (though not 33:19)</w:t>
      </w:r>
      <w:r w:rsidR="00E810BA">
        <w:rPr>
          <w:rFonts w:ascii="Calibri" w:eastAsia="Times New Roman" w:hAnsi="Calibri" w:cs="Times New Roman"/>
          <w:szCs w:val="20"/>
          <w:lang w:val="en-GB" w:bidi="he-IL"/>
        </w:rPr>
        <w:t xml:space="preserve">. </w:t>
      </w:r>
      <w:r w:rsidR="00625DCF">
        <w:rPr>
          <w:rFonts w:ascii="Calibri" w:eastAsia="Times New Roman" w:hAnsi="Calibri" w:cs="Times New Roman"/>
          <w:szCs w:val="20"/>
          <w:lang w:val="en-GB" w:bidi="he-IL"/>
        </w:rPr>
        <w:t>There’s no reference to Yahweh a</w:t>
      </w:r>
      <w:r w:rsidR="00095A1E">
        <w:rPr>
          <w:rFonts w:ascii="Calibri" w:eastAsia="Times New Roman" w:hAnsi="Calibri" w:cs="Times New Roman"/>
          <w:szCs w:val="20"/>
          <w:lang w:val="en-GB" w:bidi="he-IL"/>
        </w:rPr>
        <w:t>ppearing or speaking here,</w:t>
      </w:r>
      <w:r w:rsidR="00095A1E" w:rsidRPr="00095A1E">
        <w:rPr>
          <w:rFonts w:ascii="Calibri" w:eastAsia="Times New Roman" w:hAnsi="Calibri" w:cs="Times New Roman"/>
          <w:szCs w:val="20"/>
          <w:lang w:val="en-GB" w:bidi="he-IL"/>
        </w:rPr>
        <w:t xml:space="preserve"> </w:t>
      </w:r>
      <w:r w:rsidR="00095A1E">
        <w:rPr>
          <w:rFonts w:ascii="Calibri" w:eastAsia="Times New Roman" w:hAnsi="Calibri" w:cs="Times New Roman"/>
          <w:szCs w:val="20"/>
          <w:lang w:val="en-GB" w:bidi="he-IL"/>
        </w:rPr>
        <w:t xml:space="preserve">but there is reference to Abraham worshiping. He names Yahweh here (metaphorically speaking—he didn’t literally use the name, which hasn’t been revealed yet). And he builds another altar. </w:t>
      </w:r>
      <w:r w:rsidR="008D037F">
        <w:rPr>
          <w:rFonts w:ascii="Calibri" w:eastAsia="Times New Roman" w:hAnsi="Calibri" w:cs="Times New Roman"/>
          <w:szCs w:val="20"/>
          <w:lang w:val="en-GB" w:bidi="he-IL"/>
        </w:rPr>
        <w:t xml:space="preserve">Archaeological investigation suggests there </w:t>
      </w:r>
      <w:r w:rsidR="00A045DA">
        <w:rPr>
          <w:rFonts w:ascii="Calibri" w:eastAsia="Times New Roman" w:hAnsi="Calibri" w:cs="Times New Roman"/>
          <w:szCs w:val="20"/>
          <w:lang w:val="en-GB" w:bidi="he-IL"/>
        </w:rPr>
        <w:t>was already a shrine here, so the scenario compares with that at Shechem. The collocation of building an altar and calling out with the name Yahweh points to another significance of altar-building: w</w:t>
      </w:r>
      <w:r w:rsidR="00095A1E" w:rsidRPr="00151A03">
        <w:rPr>
          <w:rFonts w:ascii="Calibri" w:eastAsia="Times New Roman" w:hAnsi="Calibri" w:cs="Times New Roman"/>
          <w:szCs w:val="20"/>
          <w:lang w:val="en-GB" w:bidi="he-IL"/>
        </w:rPr>
        <w:t>orship of</w:t>
      </w:r>
      <w:r w:rsidR="00A045DA">
        <w:rPr>
          <w:rFonts w:ascii="Calibri" w:eastAsia="Times New Roman" w:hAnsi="Calibri" w:cs="Times New Roman"/>
          <w:szCs w:val="20"/>
          <w:lang w:val="en-GB" w:bidi="he-IL"/>
        </w:rPr>
        <w:t xml:space="preserve"> </w:t>
      </w:r>
      <w:r w:rsidR="00095A1E">
        <w:rPr>
          <w:rFonts w:ascii="Calibri" w:eastAsia="Times New Roman" w:hAnsi="Calibri" w:cs="Times New Roman"/>
          <w:szCs w:val="20"/>
          <w:lang w:val="en-GB" w:bidi="he-IL"/>
        </w:rPr>
        <w:t xml:space="preserve">heart </w:t>
      </w:r>
      <w:r w:rsidR="00A045DA">
        <w:rPr>
          <w:rFonts w:ascii="Calibri" w:eastAsia="Times New Roman" w:hAnsi="Calibri" w:cs="Times New Roman"/>
          <w:szCs w:val="20"/>
          <w:lang w:val="en-GB" w:bidi="he-IL"/>
        </w:rPr>
        <w:t xml:space="preserve">and voice </w:t>
      </w:r>
      <w:r w:rsidR="00095A1E">
        <w:rPr>
          <w:rFonts w:ascii="Calibri" w:eastAsia="Times New Roman" w:hAnsi="Calibri" w:cs="Times New Roman"/>
          <w:szCs w:val="20"/>
          <w:lang w:val="en-GB" w:bidi="he-IL"/>
        </w:rPr>
        <w:t>is never</w:t>
      </w:r>
      <w:r w:rsidR="00A045DA">
        <w:rPr>
          <w:rFonts w:ascii="Calibri" w:eastAsia="Times New Roman" w:hAnsi="Calibri" w:cs="Times New Roman"/>
          <w:szCs w:val="20"/>
          <w:lang w:val="en-GB" w:bidi="he-IL"/>
        </w:rPr>
        <w:t xml:space="preserve"> enough. B</w:t>
      </w:r>
      <w:r w:rsidR="00095A1E" w:rsidRPr="00151A03">
        <w:rPr>
          <w:rFonts w:ascii="Calibri" w:eastAsia="Times New Roman" w:hAnsi="Calibri" w:cs="Times New Roman"/>
          <w:szCs w:val="20"/>
          <w:lang w:val="en-GB" w:bidi="he-IL"/>
        </w:rPr>
        <w:t xml:space="preserve">uilding altars means that body as well as spirit is involved, partly </w:t>
      </w:r>
      <w:r w:rsidR="00095A1E">
        <w:rPr>
          <w:rFonts w:ascii="Calibri" w:eastAsia="Times New Roman" w:hAnsi="Calibri" w:cs="Times New Roman"/>
          <w:szCs w:val="20"/>
          <w:lang w:val="en-GB" w:bidi="he-IL"/>
        </w:rPr>
        <w:t>so that other people can see the</w:t>
      </w:r>
      <w:r w:rsidR="00095A1E" w:rsidRPr="00151A03">
        <w:rPr>
          <w:rFonts w:ascii="Calibri" w:eastAsia="Times New Roman" w:hAnsi="Calibri" w:cs="Times New Roman"/>
          <w:szCs w:val="20"/>
          <w:lang w:val="en-GB" w:bidi="he-IL"/>
        </w:rPr>
        <w:t xml:space="preserve"> worship.</w:t>
      </w:r>
      <w:r w:rsidR="00095A1E" w:rsidRPr="00151A03">
        <w:rPr>
          <w:rFonts w:ascii="Calibri" w:eastAsia="Times New Roman" w:hAnsi="Calibri" w:cs="Times New Roman"/>
          <w:szCs w:val="20"/>
          <w:vertAlign w:val="superscript"/>
          <w:lang w:val="en-GB" w:bidi="he-IL"/>
        </w:rPr>
        <w:footnoteReference w:id="66"/>
      </w:r>
      <w:r w:rsidR="00095A1E">
        <w:rPr>
          <w:rFonts w:ascii="Calibri" w:eastAsia="Times New Roman" w:hAnsi="Calibri" w:cs="Times New Roman"/>
          <w:szCs w:val="20"/>
          <w:lang w:val="en-GB" w:bidi="he-IL"/>
        </w:rPr>
        <w:t xml:space="preserve"> Both the proclaiming and the altar-building would be an act of witness.</w:t>
      </w:r>
      <w:r w:rsidR="00095A1E">
        <w:rPr>
          <w:rStyle w:val="FootnoteReference"/>
          <w:rFonts w:ascii="Calibri" w:eastAsia="Times New Roman" w:hAnsi="Calibri" w:cs="Times New Roman"/>
          <w:szCs w:val="20"/>
          <w:lang w:val="en-GB" w:bidi="he-IL"/>
        </w:rPr>
        <w:footnoteReference w:id="67"/>
      </w:r>
      <w:r w:rsidR="007571EE">
        <w:rPr>
          <w:rFonts w:ascii="Calibri" w:eastAsia="Times New Roman" w:hAnsi="Calibri" w:cs="Times New Roman"/>
          <w:szCs w:val="20"/>
          <w:lang w:val="en-GB" w:bidi="he-IL"/>
        </w:rPr>
        <w:t xml:space="preserve"> Naming Yahweh </w:t>
      </w:r>
      <w:r w:rsidR="00095A1E">
        <w:rPr>
          <w:rFonts w:ascii="Calibri" w:eastAsia="Times New Roman" w:hAnsi="Calibri" w:cs="Times New Roman"/>
          <w:szCs w:val="20"/>
          <w:lang w:val="en-GB" w:bidi="he-IL"/>
        </w:rPr>
        <w:t>and</w:t>
      </w:r>
      <w:r w:rsidR="00E810BA">
        <w:rPr>
          <w:rFonts w:ascii="Calibri" w:eastAsia="Times New Roman" w:hAnsi="Calibri" w:cs="Times New Roman"/>
          <w:szCs w:val="20"/>
          <w:lang w:val="en-GB" w:bidi="he-IL"/>
        </w:rPr>
        <w:t xml:space="preserve"> building an altar</w:t>
      </w:r>
      <w:r w:rsidR="00095A1E">
        <w:rPr>
          <w:rFonts w:ascii="Calibri" w:eastAsia="Times New Roman" w:hAnsi="Calibri" w:cs="Times New Roman"/>
          <w:szCs w:val="20"/>
          <w:lang w:val="en-GB" w:bidi="he-IL"/>
        </w:rPr>
        <w:t xml:space="preserve"> </w:t>
      </w:r>
      <w:r w:rsidR="00A045DA">
        <w:rPr>
          <w:rFonts w:ascii="Calibri" w:eastAsia="Times New Roman" w:hAnsi="Calibri" w:cs="Times New Roman"/>
          <w:szCs w:val="20"/>
          <w:lang w:val="en-GB" w:bidi="he-IL"/>
        </w:rPr>
        <w:t xml:space="preserve">also </w:t>
      </w:r>
      <w:r w:rsidR="0013008C">
        <w:rPr>
          <w:rFonts w:ascii="Calibri" w:eastAsia="Times New Roman" w:hAnsi="Calibri" w:cs="Times New Roman"/>
          <w:szCs w:val="20"/>
          <w:lang w:val="en-GB" w:bidi="he-IL"/>
        </w:rPr>
        <w:t>express</w:t>
      </w:r>
      <w:r w:rsidR="00E810BA">
        <w:rPr>
          <w:rFonts w:ascii="Calibri" w:eastAsia="Times New Roman" w:hAnsi="Calibri" w:cs="Times New Roman"/>
          <w:szCs w:val="20"/>
          <w:lang w:val="en-GB" w:bidi="he-IL"/>
        </w:rPr>
        <w:t xml:space="preserve"> the fact that Yahweh is presen</w:t>
      </w:r>
      <w:r w:rsidR="007571EE">
        <w:rPr>
          <w:rFonts w:ascii="Calibri" w:eastAsia="Times New Roman" w:hAnsi="Calibri" w:cs="Times New Roman"/>
          <w:szCs w:val="20"/>
          <w:lang w:val="en-GB" w:bidi="he-IL"/>
        </w:rPr>
        <w:t>t in this country</w:t>
      </w:r>
      <w:r w:rsidR="00095A1E">
        <w:rPr>
          <w:rFonts w:ascii="Calibri" w:eastAsia="Times New Roman" w:hAnsi="Calibri" w:cs="Times New Roman"/>
          <w:szCs w:val="20"/>
          <w:lang w:val="en-GB" w:bidi="he-IL"/>
        </w:rPr>
        <w:t xml:space="preserve"> and claims it, though</w:t>
      </w:r>
      <w:r w:rsidR="0045325D">
        <w:rPr>
          <w:rFonts w:ascii="Calibri" w:eastAsia="Times New Roman" w:hAnsi="Calibri" w:cs="Times New Roman"/>
          <w:szCs w:val="20"/>
          <w:lang w:val="en-GB" w:bidi="he-IL"/>
        </w:rPr>
        <w:t xml:space="preserve"> </w:t>
      </w:r>
      <w:r w:rsidR="007571EE">
        <w:rPr>
          <w:rFonts w:ascii="Calibri" w:eastAsia="Times New Roman" w:hAnsi="Calibri" w:cs="Times New Roman"/>
          <w:szCs w:val="20"/>
          <w:lang w:val="en-GB" w:bidi="he-IL"/>
        </w:rPr>
        <w:t>the promise about blessing implies</w:t>
      </w:r>
      <w:r w:rsidR="002B684F">
        <w:rPr>
          <w:rFonts w:ascii="Calibri" w:eastAsia="Times New Roman" w:hAnsi="Calibri" w:cs="Times New Roman"/>
          <w:szCs w:val="20"/>
          <w:lang w:val="en-GB" w:bidi="he-IL"/>
        </w:rPr>
        <w:t xml:space="preserve"> tha</w:t>
      </w:r>
      <w:r w:rsidR="00095A1E">
        <w:rPr>
          <w:rFonts w:ascii="Calibri" w:eastAsia="Times New Roman" w:hAnsi="Calibri" w:cs="Times New Roman"/>
          <w:szCs w:val="20"/>
          <w:lang w:val="en-GB" w:bidi="he-IL"/>
        </w:rPr>
        <w:t xml:space="preserve">t </w:t>
      </w:r>
      <w:r w:rsidR="007571EE">
        <w:rPr>
          <w:rFonts w:ascii="Calibri" w:eastAsia="Times New Roman" w:hAnsi="Calibri" w:cs="Times New Roman"/>
          <w:szCs w:val="20"/>
          <w:lang w:val="en-GB" w:bidi="he-IL"/>
        </w:rPr>
        <w:t xml:space="preserve">this </w:t>
      </w:r>
      <w:r w:rsidR="00095A1E">
        <w:rPr>
          <w:rFonts w:ascii="Calibri" w:eastAsia="Times New Roman" w:hAnsi="Calibri" w:cs="Times New Roman"/>
          <w:szCs w:val="20"/>
          <w:lang w:val="en-GB" w:bidi="he-IL"/>
        </w:rPr>
        <w:t>claim need not be exclusivist.</w:t>
      </w:r>
      <w:r w:rsidR="002B684F">
        <w:rPr>
          <w:rFonts w:ascii="Calibri" w:eastAsia="Times New Roman" w:hAnsi="Calibri" w:cs="Times New Roman"/>
          <w:szCs w:val="20"/>
          <w:lang w:val="en-GB" w:bidi="he-IL"/>
        </w:rPr>
        <w:t xml:space="preserve"> </w:t>
      </w:r>
      <w:r w:rsidR="00BB6827">
        <w:rPr>
          <w:rFonts w:ascii="Calibri" w:eastAsia="Times New Roman" w:hAnsi="Calibri" w:cs="Times New Roman"/>
          <w:szCs w:val="20"/>
          <w:lang w:val="en-GB" w:bidi="he-IL"/>
        </w:rPr>
        <w:t>S</w:t>
      </w:r>
      <w:r w:rsidR="0045325D">
        <w:rPr>
          <w:rFonts w:ascii="Calibri" w:eastAsia="Times New Roman" w:hAnsi="Calibri" w:cs="Times New Roman"/>
          <w:szCs w:val="20"/>
          <w:lang w:val="en-GB" w:bidi="he-IL"/>
        </w:rPr>
        <w:t>preading tents, b</w:t>
      </w:r>
      <w:r w:rsidR="001536C2">
        <w:rPr>
          <w:rFonts w:ascii="Calibri" w:eastAsia="Times New Roman" w:hAnsi="Calibri" w:cs="Times New Roman"/>
          <w:szCs w:val="20"/>
          <w:lang w:val="en-GB" w:bidi="he-IL"/>
        </w:rPr>
        <w:t>uilding an altar, and calling out with the name</w:t>
      </w:r>
      <w:r w:rsidR="0045325D">
        <w:rPr>
          <w:rFonts w:ascii="Calibri" w:eastAsia="Times New Roman" w:hAnsi="Calibri" w:cs="Times New Roman"/>
          <w:szCs w:val="20"/>
          <w:lang w:val="en-GB" w:bidi="he-IL"/>
        </w:rPr>
        <w:t xml:space="preserve"> Yahweh</w:t>
      </w:r>
      <w:r w:rsidR="001536C2">
        <w:rPr>
          <w:rStyle w:val="FootnoteReference"/>
          <w:rFonts w:ascii="Calibri" w:eastAsia="Times New Roman" w:hAnsi="Calibri" w:cs="Times New Roman"/>
          <w:szCs w:val="20"/>
          <w:lang w:val="en-GB" w:bidi="he-IL"/>
        </w:rPr>
        <w:footnoteReference w:id="68"/>
      </w:r>
      <w:r w:rsidR="0045325D">
        <w:rPr>
          <w:rFonts w:ascii="Calibri" w:eastAsia="Times New Roman" w:hAnsi="Calibri" w:cs="Times New Roman"/>
          <w:szCs w:val="20"/>
          <w:lang w:val="en-GB" w:bidi="he-IL"/>
        </w:rPr>
        <w:t xml:space="preserve"> bring the story to a neat interim close.</w:t>
      </w:r>
      <w:r w:rsidR="002B684F">
        <w:rPr>
          <w:rFonts w:ascii="Calibri" w:eastAsia="Times New Roman" w:hAnsi="Calibri" w:cs="Times New Roman"/>
          <w:szCs w:val="20"/>
          <w:lang w:val="en-GB" w:bidi="he-IL"/>
        </w:rPr>
        <w:t xml:space="preserve"> </w:t>
      </w:r>
    </w:p>
    <w:p w14:paraId="6A57F117" w14:textId="77777777" w:rsidR="002C19ED" w:rsidRDefault="002C19ED">
      <w:pPr>
        <w:spacing w:after="200" w:line="276" w:lineRule="auto"/>
        <w:ind w:firstLine="0"/>
        <w:rPr>
          <w:rFonts w:asciiTheme="majorHAnsi" w:eastAsiaTheme="majorEastAsia" w:hAnsiTheme="majorHAnsi" w:cstheme="majorBidi"/>
          <w:b/>
          <w:bCs/>
          <w:sz w:val="28"/>
          <w:szCs w:val="28"/>
          <w:lang w:bidi="he-IL"/>
        </w:rPr>
      </w:pPr>
      <w:r>
        <w:rPr>
          <w:lang w:bidi="he-IL"/>
        </w:rPr>
        <w:br w:type="page"/>
      </w:r>
    </w:p>
    <w:p w14:paraId="4AC8F152" w14:textId="77777777" w:rsidR="00A81F74" w:rsidRDefault="0045325D" w:rsidP="00A81F74">
      <w:pPr>
        <w:pStyle w:val="Heading1"/>
        <w:rPr>
          <w:lang w:bidi="he-IL"/>
        </w:rPr>
      </w:pPr>
      <w:r>
        <w:rPr>
          <w:lang w:bidi="he-IL"/>
        </w:rPr>
        <w:lastRenderedPageBreak/>
        <w:t>Genesis 12:9</w:t>
      </w:r>
      <w:r w:rsidR="00A81F74" w:rsidRPr="00DA695A">
        <w:rPr>
          <w:lang w:bidi="he-IL"/>
        </w:rPr>
        <w:t>—13:4—</w:t>
      </w:r>
      <w:proofErr w:type="gramStart"/>
      <w:r w:rsidR="00A81F74" w:rsidRPr="00DA695A">
        <w:rPr>
          <w:lang w:bidi="he-IL"/>
        </w:rPr>
        <w:t>The</w:t>
      </w:r>
      <w:proofErr w:type="gramEnd"/>
      <w:r w:rsidR="00A81F74" w:rsidRPr="00DA695A">
        <w:rPr>
          <w:lang w:bidi="he-IL"/>
        </w:rPr>
        <w:t xml:space="preserve"> </w:t>
      </w:r>
      <w:r w:rsidR="0013642D">
        <w:rPr>
          <w:lang w:bidi="he-IL"/>
        </w:rPr>
        <w:t xml:space="preserve">Imperiling of </w:t>
      </w:r>
      <w:r w:rsidR="00A81F74" w:rsidRPr="00DA695A">
        <w:rPr>
          <w:lang w:bidi="he-IL"/>
        </w:rPr>
        <w:t>Sarah</w:t>
      </w:r>
    </w:p>
    <w:p w14:paraId="19DEBB32" w14:textId="77777777" w:rsidR="00A81F74" w:rsidRDefault="00A81F74" w:rsidP="00A81F74">
      <w:pPr>
        <w:rPr>
          <w:lang w:bidi="he-IL"/>
        </w:rPr>
      </w:pPr>
    </w:p>
    <w:p w14:paraId="10C02FEE" w14:textId="77777777" w:rsidR="00141055" w:rsidRPr="00DA695A" w:rsidRDefault="00141055" w:rsidP="00141055">
      <w:pPr>
        <w:pStyle w:val="Heading2"/>
        <w:rPr>
          <w:lang w:bidi="he-IL"/>
        </w:rPr>
      </w:pPr>
      <w:r>
        <w:rPr>
          <w:lang w:bidi="he-IL"/>
        </w:rPr>
        <w:t>Overview</w:t>
      </w:r>
    </w:p>
    <w:p w14:paraId="37FB6ADE" w14:textId="1A128AA4" w:rsidR="00747E4A" w:rsidRDefault="00507227" w:rsidP="00A81F74">
      <w:pPr>
        <w:rPr>
          <w:lang w:val="en-GB" w:bidi="he-IL"/>
        </w:rPr>
      </w:pPr>
      <w:r>
        <w:rPr>
          <w:lang w:val="en-GB" w:bidi="he-IL"/>
        </w:rPr>
        <w:t>While t</w:t>
      </w:r>
      <w:r w:rsidR="0045325D">
        <w:rPr>
          <w:lang w:val="en-GB" w:bidi="he-IL"/>
        </w:rPr>
        <w:t>here is more of the country for Abraham to name Yahweh’s name over</w:t>
      </w:r>
      <w:r>
        <w:rPr>
          <w:lang w:val="en-GB" w:bidi="he-IL"/>
        </w:rPr>
        <w:t xml:space="preserve">, </w:t>
      </w:r>
      <w:r w:rsidR="007571EE">
        <w:rPr>
          <w:lang w:val="en-GB" w:bidi="he-IL"/>
        </w:rPr>
        <w:t>the opening</w:t>
      </w:r>
      <w:r w:rsidR="00C209E9">
        <w:rPr>
          <w:lang w:val="en-GB" w:bidi="he-IL"/>
        </w:rPr>
        <w:t xml:space="preserve"> words of 12:10</w:t>
      </w:r>
      <w:r w:rsidR="00497A22">
        <w:rPr>
          <w:lang w:val="en-GB" w:bidi="he-IL"/>
        </w:rPr>
        <w:t xml:space="preserve"> indicate the question </w:t>
      </w:r>
      <w:r w:rsidR="00C209E9">
        <w:rPr>
          <w:lang w:val="en-GB" w:bidi="he-IL"/>
        </w:rPr>
        <w:t>on which this new section</w:t>
      </w:r>
      <w:r w:rsidR="00762352">
        <w:rPr>
          <w:lang w:val="en-GB" w:bidi="he-IL"/>
        </w:rPr>
        <w:t xml:space="preserve"> focuses. What is Abraham to do if</w:t>
      </w:r>
      <w:r w:rsidR="00497A22">
        <w:rPr>
          <w:lang w:val="en-GB" w:bidi="he-IL"/>
        </w:rPr>
        <w:t xml:space="preserve"> </w:t>
      </w:r>
      <w:r w:rsidR="00747E4A">
        <w:rPr>
          <w:lang w:val="en-GB" w:bidi="he-IL"/>
        </w:rPr>
        <w:t xml:space="preserve">life is not working out in </w:t>
      </w:r>
      <w:r w:rsidR="00762352">
        <w:rPr>
          <w:lang w:val="en-GB" w:bidi="he-IL"/>
        </w:rPr>
        <w:t>the country Yahweh has promised</w:t>
      </w:r>
      <w:r w:rsidR="00747E4A">
        <w:rPr>
          <w:lang w:val="en-GB" w:bidi="he-IL"/>
        </w:rPr>
        <w:t>?</w:t>
      </w:r>
    </w:p>
    <w:p w14:paraId="433FA356" w14:textId="77777777" w:rsidR="00747E4A" w:rsidRDefault="00747E4A" w:rsidP="00A81F74">
      <w:pPr>
        <w:rPr>
          <w:lang w:val="en-GB" w:bidi="he-IL"/>
        </w:rPr>
      </w:pPr>
    </w:p>
    <w:p w14:paraId="7B69E82A" w14:textId="77777777" w:rsidR="00747E4A" w:rsidRDefault="00747E4A" w:rsidP="00747E4A">
      <w:pPr>
        <w:pStyle w:val="ListParagraph"/>
        <w:numPr>
          <w:ilvl w:val="0"/>
          <w:numId w:val="8"/>
        </w:numPr>
        <w:ind w:left="720"/>
        <w:rPr>
          <w:lang w:val="en-GB" w:bidi="he-IL"/>
        </w:rPr>
      </w:pPr>
      <w:r>
        <w:rPr>
          <w:lang w:val="en-GB" w:bidi="he-IL"/>
        </w:rPr>
        <w:t>Move somewhere else?</w:t>
      </w:r>
    </w:p>
    <w:p w14:paraId="28FC8FDE" w14:textId="77777777" w:rsidR="00747E4A" w:rsidRDefault="00747E4A" w:rsidP="00747E4A">
      <w:pPr>
        <w:pStyle w:val="ListParagraph"/>
        <w:numPr>
          <w:ilvl w:val="0"/>
          <w:numId w:val="8"/>
        </w:numPr>
        <w:ind w:left="720"/>
        <w:rPr>
          <w:lang w:val="en-GB" w:bidi="he-IL"/>
        </w:rPr>
      </w:pPr>
      <w:r>
        <w:rPr>
          <w:lang w:val="en-GB" w:bidi="he-IL"/>
        </w:rPr>
        <w:t>Be econom</w:t>
      </w:r>
      <w:r w:rsidR="00507227">
        <w:rPr>
          <w:lang w:val="en-GB" w:bidi="he-IL"/>
        </w:rPr>
        <w:t>ical with the truth to save his skin even</w:t>
      </w:r>
      <w:r>
        <w:rPr>
          <w:lang w:val="en-GB" w:bidi="he-IL"/>
        </w:rPr>
        <w:t xml:space="preserve"> </w:t>
      </w:r>
      <w:r w:rsidR="00507227">
        <w:rPr>
          <w:lang w:val="en-GB" w:bidi="he-IL"/>
        </w:rPr>
        <w:t>if it puts Sarah at risk</w:t>
      </w:r>
      <w:r>
        <w:rPr>
          <w:lang w:val="en-GB" w:bidi="he-IL"/>
        </w:rPr>
        <w:t>?</w:t>
      </w:r>
    </w:p>
    <w:p w14:paraId="7C27EDD1" w14:textId="77777777" w:rsidR="00747E4A" w:rsidRDefault="00507227" w:rsidP="00747E4A">
      <w:pPr>
        <w:pStyle w:val="ListParagraph"/>
        <w:numPr>
          <w:ilvl w:val="0"/>
          <w:numId w:val="8"/>
        </w:numPr>
        <w:ind w:left="720"/>
        <w:rPr>
          <w:lang w:val="en-GB" w:bidi="he-IL"/>
        </w:rPr>
      </w:pPr>
      <w:r>
        <w:rPr>
          <w:lang w:val="en-GB" w:bidi="he-IL"/>
        </w:rPr>
        <w:t>Hope to do well as a result of his</w:t>
      </w:r>
      <w:r w:rsidR="00747E4A">
        <w:rPr>
          <w:lang w:val="en-GB" w:bidi="he-IL"/>
        </w:rPr>
        <w:t xml:space="preserve"> economy?</w:t>
      </w:r>
    </w:p>
    <w:p w14:paraId="22DB77A5" w14:textId="77777777" w:rsidR="00747E4A" w:rsidRPr="00747E4A" w:rsidRDefault="00747E4A" w:rsidP="00747E4A">
      <w:pPr>
        <w:pStyle w:val="ListParagraph"/>
        <w:numPr>
          <w:ilvl w:val="0"/>
          <w:numId w:val="8"/>
        </w:numPr>
        <w:ind w:left="720"/>
        <w:rPr>
          <w:lang w:val="en-GB" w:bidi="he-IL"/>
        </w:rPr>
      </w:pPr>
      <w:r>
        <w:rPr>
          <w:lang w:val="en-GB" w:bidi="he-IL"/>
        </w:rPr>
        <w:t>Bring tro</w:t>
      </w:r>
      <w:r w:rsidR="00507227">
        <w:rPr>
          <w:lang w:val="en-GB" w:bidi="he-IL"/>
        </w:rPr>
        <w:t>uble on the people who treat him</w:t>
      </w:r>
      <w:r>
        <w:rPr>
          <w:lang w:val="en-GB" w:bidi="he-IL"/>
        </w:rPr>
        <w:t xml:space="preserve"> well, and earn their rebuke?</w:t>
      </w:r>
    </w:p>
    <w:p w14:paraId="5889AD36" w14:textId="77777777" w:rsidR="00747E4A" w:rsidRDefault="00507227" w:rsidP="00747E4A">
      <w:pPr>
        <w:pStyle w:val="ListParagraph"/>
        <w:numPr>
          <w:ilvl w:val="0"/>
          <w:numId w:val="8"/>
        </w:numPr>
        <w:ind w:left="720"/>
        <w:rPr>
          <w:lang w:val="en-GB" w:bidi="he-IL"/>
        </w:rPr>
      </w:pPr>
      <w:r>
        <w:rPr>
          <w:lang w:val="en-GB" w:bidi="he-IL"/>
        </w:rPr>
        <w:t>Go back home with his tail between his</w:t>
      </w:r>
      <w:r w:rsidR="00747E4A">
        <w:rPr>
          <w:lang w:val="en-GB" w:bidi="he-IL"/>
        </w:rPr>
        <w:t xml:space="preserve"> legs</w:t>
      </w:r>
      <w:r>
        <w:rPr>
          <w:lang w:val="en-GB" w:bidi="he-IL"/>
        </w:rPr>
        <w:t xml:space="preserve"> but with his</w:t>
      </w:r>
      <w:r w:rsidR="005D5FB0">
        <w:rPr>
          <w:lang w:val="en-GB" w:bidi="he-IL"/>
        </w:rPr>
        <w:t xml:space="preserve"> profit</w:t>
      </w:r>
      <w:r w:rsidR="00747E4A">
        <w:rPr>
          <w:lang w:val="en-GB" w:bidi="he-IL"/>
        </w:rPr>
        <w:t>?</w:t>
      </w:r>
    </w:p>
    <w:p w14:paraId="34C6DA44" w14:textId="77777777" w:rsidR="00747E4A" w:rsidRDefault="005D5FB0" w:rsidP="00747E4A">
      <w:pPr>
        <w:pStyle w:val="ListParagraph"/>
        <w:numPr>
          <w:ilvl w:val="0"/>
          <w:numId w:val="8"/>
        </w:numPr>
        <w:ind w:left="720"/>
        <w:rPr>
          <w:lang w:val="en-GB" w:bidi="he-IL"/>
        </w:rPr>
      </w:pPr>
      <w:r>
        <w:rPr>
          <w:lang w:val="en-GB" w:bidi="he-IL"/>
        </w:rPr>
        <w:t>Get back to calling in Yahweh’s name?</w:t>
      </w:r>
    </w:p>
    <w:p w14:paraId="4BB040E3" w14:textId="77777777" w:rsidR="00762352" w:rsidRDefault="00762352" w:rsidP="00762352">
      <w:pPr>
        <w:rPr>
          <w:lang w:val="en-GB" w:bidi="he-IL"/>
        </w:rPr>
      </w:pPr>
    </w:p>
    <w:p w14:paraId="43B62AAB" w14:textId="6F6B4621" w:rsidR="0031491C" w:rsidRDefault="0031491C" w:rsidP="0031491C">
      <w:pPr>
        <w:pStyle w:val="ListParagraph"/>
        <w:ind w:left="0" w:firstLine="0"/>
        <w:rPr>
          <w:lang w:bidi="he-IL"/>
        </w:rPr>
      </w:pPr>
      <w:r>
        <w:rPr>
          <w:lang w:bidi="he-IL"/>
        </w:rPr>
        <w:t>“</w:t>
      </w:r>
      <w:r w:rsidRPr="00F12C70">
        <w:rPr>
          <w:lang w:bidi="he-IL"/>
        </w:rPr>
        <w:t>Abram no sooner receives the promise than h</w:t>
      </w:r>
      <w:r>
        <w:rPr>
          <w:lang w:bidi="he-IL"/>
        </w:rPr>
        <w:t>e has to leave it behind”</w:t>
      </w:r>
      <w:r w:rsidRPr="00F12C70">
        <w:rPr>
          <w:vertAlign w:val="superscript"/>
          <w:lang w:bidi="he-IL"/>
        </w:rPr>
        <w:footnoteReference w:id="69"/>
      </w:r>
      <w:r>
        <w:rPr>
          <w:lang w:bidi="he-IL"/>
        </w:rPr>
        <w:t xml:space="preserve">— or at least he chooses to do so. </w:t>
      </w:r>
      <w:r w:rsidR="00206E76">
        <w:rPr>
          <w:lang w:bidi="he-IL"/>
        </w:rPr>
        <w:t>Has he</w:t>
      </w:r>
      <w:r w:rsidRPr="00F12C70">
        <w:rPr>
          <w:lang w:bidi="he-IL"/>
        </w:rPr>
        <w:t xml:space="preserve"> forgotten the promise? </w:t>
      </w:r>
      <w:r>
        <w:rPr>
          <w:lang w:bidi="he-IL"/>
        </w:rPr>
        <w:t>Or has God?</w:t>
      </w:r>
      <w:r w:rsidR="00206E76">
        <w:rPr>
          <w:lang w:bidi="he-IL"/>
        </w:rPr>
        <w:t xml:space="preserve"> But eventually he get</w:t>
      </w:r>
      <w:r>
        <w:rPr>
          <w:lang w:bidi="he-IL"/>
        </w:rPr>
        <w:t>s back to Canaan with Sarah and Lot and all his possessions</w:t>
      </w:r>
      <w:r w:rsidR="007571EE">
        <w:rPr>
          <w:lang w:bidi="he-IL"/>
        </w:rPr>
        <w:t>,</w:t>
      </w:r>
      <w:r>
        <w:rPr>
          <w:lang w:bidi="he-IL"/>
        </w:rPr>
        <w:t xml:space="preserve"> and moves about </w:t>
      </w:r>
      <w:r w:rsidR="009542B9">
        <w:rPr>
          <w:lang w:bidi="he-IL"/>
        </w:rPr>
        <w:t>through the southland (the Negev</w:t>
      </w:r>
      <w:r>
        <w:rPr>
          <w:lang w:bidi="he-IL"/>
        </w:rPr>
        <w:t>) to the last place where he had built an altar</w:t>
      </w:r>
      <w:r w:rsidR="007571EE">
        <w:rPr>
          <w:lang w:bidi="he-IL"/>
        </w:rPr>
        <w:t>,</w:t>
      </w:r>
      <w:r>
        <w:rPr>
          <w:lang w:bidi="he-IL"/>
        </w:rPr>
        <w:t xml:space="preserve"> and calls in Yahweh’s name</w:t>
      </w:r>
      <w:r w:rsidR="007571EE">
        <w:rPr>
          <w:lang w:bidi="he-IL"/>
        </w:rPr>
        <w:t xml:space="preserve"> there</w:t>
      </w:r>
      <w:r>
        <w:rPr>
          <w:lang w:bidi="he-IL"/>
        </w:rPr>
        <w:t>, recovering the dynamic of 12:1-8.</w:t>
      </w:r>
    </w:p>
    <w:p w14:paraId="180590A3" w14:textId="2DB7159D" w:rsidR="00BB1D1A" w:rsidRDefault="003D56BA" w:rsidP="00BB1D1A">
      <w:pPr>
        <w:pStyle w:val="ListParagraph"/>
        <w:ind w:left="0" w:firstLine="0"/>
      </w:pPr>
      <w:r>
        <w:rPr>
          <w:lang w:bidi="he-IL"/>
        </w:rPr>
        <w:t>“</w:t>
      </w:r>
      <w:r w:rsidR="00F442D8">
        <w:rPr>
          <w:lang w:bidi="he-IL"/>
        </w:rPr>
        <w:t>There have never been any theologians or other readers whom the passage before us w</w:t>
      </w:r>
      <w:r w:rsidR="00F442D8" w:rsidRPr="002A6C14">
        <w:rPr>
          <w:lang w:bidi="he-IL"/>
        </w:rPr>
        <w:t xml:space="preserve">ould </w:t>
      </w:r>
      <w:r w:rsidR="00F442D8">
        <w:rPr>
          <w:lang w:bidi="he-IL"/>
        </w:rPr>
        <w:t>not have offended.</w:t>
      </w:r>
      <w:r>
        <w:rPr>
          <w:lang w:bidi="he-IL"/>
        </w:rPr>
        <w:t>”</w:t>
      </w:r>
      <w:r w:rsidR="00F442D8">
        <w:rPr>
          <w:rStyle w:val="FootnoteReference"/>
          <w:lang w:bidi="he-IL"/>
        </w:rPr>
        <w:footnoteReference w:id="70"/>
      </w:r>
      <w:r w:rsidR="00F442D8">
        <w:rPr>
          <w:lang w:bidi="he-IL"/>
        </w:rPr>
        <w:t xml:space="preserve"> </w:t>
      </w:r>
      <w:r w:rsidR="00762352">
        <w:rPr>
          <w:lang w:val="en-GB" w:bidi="he-IL"/>
        </w:rPr>
        <w:t>It is the kind of story where someone takes an action whose consequences they do not foresee, and another action whose consequences they do not foresee, so that they end up in a mess that would have made them not start down this road if they had known where it led</w:t>
      </w:r>
      <w:r w:rsidR="0005343C">
        <w:rPr>
          <w:lang w:val="en-GB" w:bidi="he-IL"/>
        </w:rPr>
        <w:t>…. But in this instance of that dynamic, Yahweh intervenes and things work out all right for everyone</w:t>
      </w:r>
      <w:r w:rsidR="00F442D8">
        <w:rPr>
          <w:lang w:val="en-GB" w:bidi="he-IL"/>
        </w:rPr>
        <w:t xml:space="preserve">, though that </w:t>
      </w:r>
      <w:r w:rsidR="00507227">
        <w:rPr>
          <w:lang w:val="en-GB" w:bidi="he-IL"/>
        </w:rPr>
        <w:t xml:space="preserve">aspect of it </w:t>
      </w:r>
      <w:r w:rsidR="00F442D8">
        <w:rPr>
          <w:lang w:val="en-GB" w:bidi="he-IL"/>
        </w:rPr>
        <w:t>offends theologians and other readers, too</w:t>
      </w:r>
      <w:r w:rsidR="0005343C">
        <w:rPr>
          <w:lang w:val="en-GB" w:bidi="he-IL"/>
        </w:rPr>
        <w:t>.</w:t>
      </w:r>
      <w:r w:rsidR="00BB1D1A">
        <w:rPr>
          <w:lang w:val="en-GB" w:bidi="he-IL"/>
        </w:rPr>
        <w:t xml:space="preserve"> </w:t>
      </w:r>
    </w:p>
    <w:p w14:paraId="29C62E14" w14:textId="77777777" w:rsidR="00A81F74" w:rsidRPr="00DA695A" w:rsidRDefault="00A81F74" w:rsidP="00A81F74">
      <w:pPr>
        <w:pStyle w:val="Heading2"/>
        <w:rPr>
          <w:lang w:bidi="he-IL"/>
        </w:rPr>
      </w:pPr>
      <w:r w:rsidRPr="00DA695A">
        <w:rPr>
          <w:lang w:bidi="he-IL"/>
        </w:rPr>
        <w:t>Translation</w:t>
      </w:r>
    </w:p>
    <w:p w14:paraId="32E27495" w14:textId="6699A9B9" w:rsidR="00A81F74" w:rsidRPr="009865AC" w:rsidRDefault="0045325D" w:rsidP="00A81F74">
      <w:pPr>
        <w:rPr>
          <w:rFonts w:ascii="Calibri" w:eastAsia="Times New Roman" w:hAnsi="Calibri" w:cs="Times New Roman"/>
          <w:lang w:val="en-GB" w:bidi="he-IL"/>
        </w:rPr>
      </w:pPr>
      <w:r w:rsidRPr="009865AC">
        <w:rPr>
          <w:rFonts w:ascii="Calibri" w:eastAsia="Times New Roman" w:hAnsi="Calibri" w:cs="Times New Roman"/>
          <w:vertAlign w:val="superscript"/>
          <w:lang w:val="en-GB" w:bidi="he-IL"/>
        </w:rPr>
        <w:t>9</w:t>
      </w:r>
      <w:r w:rsidRPr="009865AC">
        <w:rPr>
          <w:rFonts w:ascii="Calibri" w:eastAsia="Times New Roman" w:hAnsi="Calibri" w:cs="Times New Roman"/>
          <w:lang w:val="en-GB" w:bidi="he-IL"/>
        </w:rPr>
        <w:t xml:space="preserve">Abram moved on, </w:t>
      </w:r>
      <w:r w:rsidR="00AD792F" w:rsidRPr="009865AC">
        <w:rPr>
          <w:rFonts w:ascii="Calibri" w:eastAsia="Times New Roman" w:hAnsi="Calibri" w:cs="Times New Roman"/>
          <w:lang w:val="en-GB" w:bidi="he-IL"/>
        </w:rPr>
        <w:t>gradually moving on</w:t>
      </w:r>
      <w:r w:rsidRPr="009865AC">
        <w:rPr>
          <w:rStyle w:val="FootnoteReference"/>
          <w:rFonts w:ascii="Calibri" w:eastAsia="Times New Roman" w:hAnsi="Calibri" w:cs="Times New Roman"/>
          <w:lang w:val="en-GB" w:bidi="he-IL"/>
        </w:rPr>
        <w:footnoteReference w:id="71"/>
      </w:r>
      <w:r w:rsidRPr="009865AC">
        <w:rPr>
          <w:rFonts w:ascii="Calibri" w:eastAsia="Times New Roman" w:hAnsi="Calibri" w:cs="Times New Roman"/>
          <w:lang w:val="en-GB" w:bidi="he-IL"/>
        </w:rPr>
        <w:t xml:space="preserve"> to the southland</w:t>
      </w:r>
      <w:r w:rsidR="00C209E9" w:rsidRPr="009865AC">
        <w:rPr>
          <w:rFonts w:ascii="Calibri" w:eastAsia="Times New Roman" w:hAnsi="Calibri" w:cs="Times New Roman"/>
          <w:lang w:val="en-GB" w:bidi="he-IL"/>
        </w:rPr>
        <w:t>,</w:t>
      </w:r>
      <w:r w:rsidRPr="009865AC">
        <w:rPr>
          <w:rStyle w:val="FootnoteReference"/>
          <w:rFonts w:ascii="Calibri" w:eastAsia="Times New Roman" w:hAnsi="Calibri" w:cs="Times New Roman"/>
          <w:lang w:val="en-GB" w:bidi="he-IL"/>
        </w:rPr>
        <w:footnoteReference w:id="72"/>
      </w:r>
      <w:r w:rsidR="00C209E9" w:rsidRPr="009865AC">
        <w:rPr>
          <w:rFonts w:ascii="Calibri" w:eastAsia="Times New Roman" w:hAnsi="Calibri" w:cs="Times New Roman"/>
          <w:lang w:val="en-GB" w:bidi="he-IL"/>
        </w:rPr>
        <w:t xml:space="preserve"> </w:t>
      </w:r>
      <w:r w:rsidR="00A81F74" w:rsidRPr="009865AC">
        <w:rPr>
          <w:rFonts w:ascii="Calibri" w:eastAsia="Times New Roman" w:hAnsi="Calibri" w:cs="Times New Roman"/>
          <w:vertAlign w:val="superscript"/>
          <w:lang w:val="en-GB" w:bidi="he-IL"/>
        </w:rPr>
        <w:t>10</w:t>
      </w:r>
      <w:r w:rsidR="00C209E9" w:rsidRPr="009865AC">
        <w:rPr>
          <w:rFonts w:ascii="Calibri" w:eastAsia="Times New Roman" w:hAnsi="Calibri" w:cs="Times New Roman"/>
          <w:lang w:val="en-GB" w:bidi="he-IL"/>
        </w:rPr>
        <w:t>but t</w:t>
      </w:r>
      <w:r w:rsidR="006C2DA7" w:rsidRPr="009865AC">
        <w:rPr>
          <w:rFonts w:ascii="Calibri" w:eastAsia="Times New Roman" w:hAnsi="Calibri" w:cs="Times New Roman"/>
          <w:lang w:val="en-GB" w:bidi="he-IL"/>
        </w:rPr>
        <w:t>here was a famine</w:t>
      </w:r>
      <w:r w:rsidR="0005343C" w:rsidRPr="009865AC">
        <w:rPr>
          <w:rStyle w:val="FootnoteReference"/>
          <w:rFonts w:ascii="Calibri" w:eastAsia="Times New Roman" w:hAnsi="Calibri" w:cs="Times New Roman"/>
          <w:lang w:val="en-GB" w:bidi="he-IL"/>
        </w:rPr>
        <w:footnoteReference w:id="73"/>
      </w:r>
      <w:r w:rsidR="007571EE" w:rsidRPr="009865AC">
        <w:rPr>
          <w:rFonts w:ascii="Calibri" w:eastAsia="Times New Roman" w:hAnsi="Calibri" w:cs="Times New Roman"/>
          <w:lang w:val="en-GB" w:bidi="he-IL"/>
        </w:rPr>
        <w:t xml:space="preserve"> in the region,</w:t>
      </w:r>
      <w:r w:rsidR="00C209E9" w:rsidRPr="009865AC">
        <w:rPr>
          <w:rFonts w:ascii="Calibri" w:eastAsia="Times New Roman" w:hAnsi="Calibri" w:cs="Times New Roman"/>
          <w:vertAlign w:val="superscript"/>
          <w:lang w:val="en-GB" w:bidi="he-IL"/>
        </w:rPr>
        <w:footnoteReference w:id="74"/>
      </w:r>
      <w:r w:rsidR="00C209E9" w:rsidRPr="009865AC">
        <w:rPr>
          <w:rFonts w:ascii="Calibri" w:eastAsia="Times New Roman" w:hAnsi="Calibri" w:cs="Times New Roman"/>
          <w:lang w:val="en-GB" w:bidi="he-IL"/>
        </w:rPr>
        <w:t xml:space="preserve"> </w:t>
      </w:r>
      <w:r w:rsidR="007571EE" w:rsidRPr="009865AC">
        <w:rPr>
          <w:rFonts w:ascii="Calibri" w:eastAsia="Times New Roman" w:hAnsi="Calibri" w:cs="Times New Roman"/>
          <w:lang w:val="en-GB" w:bidi="he-IL"/>
        </w:rPr>
        <w:t>and</w:t>
      </w:r>
      <w:r w:rsidR="00A81F74" w:rsidRPr="009865AC">
        <w:rPr>
          <w:rFonts w:ascii="Calibri" w:eastAsia="Times New Roman" w:hAnsi="Calibri" w:cs="Times New Roman"/>
          <w:lang w:val="en-GB" w:bidi="he-IL"/>
        </w:rPr>
        <w:t xml:space="preserve"> </w:t>
      </w:r>
      <w:r w:rsidR="00BF4EE8" w:rsidRPr="009865AC">
        <w:rPr>
          <w:rFonts w:ascii="Calibri" w:eastAsia="Times New Roman" w:hAnsi="Calibri" w:cs="Times New Roman"/>
          <w:lang w:val="en-GB" w:bidi="he-IL"/>
        </w:rPr>
        <w:t>Abram</w:t>
      </w:r>
      <w:r w:rsidR="00A81F74" w:rsidRPr="009865AC">
        <w:rPr>
          <w:rFonts w:ascii="Calibri" w:eastAsia="Times New Roman" w:hAnsi="Calibri" w:cs="Times New Roman"/>
          <w:lang w:val="en-GB" w:bidi="he-IL"/>
        </w:rPr>
        <w:t xml:space="preserve"> went down to </w:t>
      </w:r>
      <w:r w:rsidR="000A19ED" w:rsidRPr="009865AC">
        <w:rPr>
          <w:rFonts w:ascii="Calibri" w:eastAsia="Times New Roman" w:hAnsi="Calibri" w:cs="Times New Roman"/>
          <w:lang w:bidi="he-IL"/>
        </w:rPr>
        <w:t>Miṣrayim</w:t>
      </w:r>
      <w:r w:rsidR="00A81F74" w:rsidRPr="009865AC">
        <w:rPr>
          <w:rFonts w:ascii="Calibri" w:eastAsia="Times New Roman" w:hAnsi="Calibri" w:cs="Times New Roman"/>
          <w:lang w:val="en-GB" w:bidi="he-IL"/>
        </w:rPr>
        <w:t xml:space="preserve"> to </w:t>
      </w:r>
      <w:r w:rsidR="000A19ED" w:rsidRPr="009865AC">
        <w:rPr>
          <w:rFonts w:ascii="Calibri" w:eastAsia="Times New Roman" w:hAnsi="Calibri" w:cs="Times New Roman"/>
          <w:lang w:val="en-GB" w:bidi="he-IL"/>
        </w:rPr>
        <w:t xml:space="preserve">reside </w:t>
      </w:r>
      <w:r w:rsidR="00B94B49" w:rsidRPr="009865AC">
        <w:rPr>
          <w:rFonts w:ascii="Calibri" w:eastAsia="Times New Roman" w:hAnsi="Calibri" w:cs="Times New Roman"/>
          <w:lang w:val="en-GB" w:bidi="he-IL"/>
        </w:rPr>
        <w:t xml:space="preserve">as an alien </w:t>
      </w:r>
      <w:r w:rsidR="006C2DA7" w:rsidRPr="009865AC">
        <w:rPr>
          <w:rFonts w:ascii="Calibri" w:eastAsia="Times New Roman" w:hAnsi="Calibri" w:cs="Times New Roman"/>
          <w:lang w:val="en-GB" w:bidi="he-IL"/>
        </w:rPr>
        <w:t>there, because the famin</w:t>
      </w:r>
      <w:r w:rsidR="000A19ED" w:rsidRPr="009865AC">
        <w:rPr>
          <w:rFonts w:ascii="Calibri" w:eastAsia="Times New Roman" w:hAnsi="Calibri" w:cs="Times New Roman"/>
          <w:lang w:val="en-GB" w:bidi="he-IL"/>
        </w:rPr>
        <w:t>e</w:t>
      </w:r>
      <w:r w:rsidR="00247EC7" w:rsidRPr="009865AC">
        <w:rPr>
          <w:rFonts w:ascii="Calibri" w:eastAsia="Times New Roman" w:hAnsi="Calibri" w:cs="Times New Roman"/>
          <w:lang w:val="en-GB" w:bidi="he-IL"/>
        </w:rPr>
        <w:t xml:space="preserve"> was severe</w:t>
      </w:r>
      <w:r w:rsidR="00C209E9" w:rsidRPr="009865AC">
        <w:rPr>
          <w:rFonts w:ascii="Calibri" w:eastAsia="Times New Roman" w:hAnsi="Calibri" w:cs="Times New Roman"/>
          <w:lang w:val="en-GB" w:bidi="he-IL"/>
        </w:rPr>
        <w:t xml:space="preserve"> in the region</w:t>
      </w:r>
      <w:r w:rsidR="00A81F74" w:rsidRPr="009865AC">
        <w:rPr>
          <w:rFonts w:ascii="Calibri" w:eastAsia="Times New Roman" w:hAnsi="Calibri" w:cs="Times New Roman"/>
          <w:lang w:val="en-GB" w:bidi="he-IL"/>
        </w:rPr>
        <w:t xml:space="preserve">. </w:t>
      </w:r>
      <w:r w:rsidR="00A81F74" w:rsidRPr="009865AC">
        <w:rPr>
          <w:rFonts w:ascii="Calibri" w:eastAsia="Times New Roman" w:hAnsi="Calibri" w:cs="Times New Roman"/>
          <w:vertAlign w:val="superscript"/>
          <w:lang w:val="en-GB" w:bidi="he-IL"/>
        </w:rPr>
        <w:t>11</w:t>
      </w:r>
      <w:r w:rsidR="00A4550E" w:rsidRPr="009865AC">
        <w:rPr>
          <w:rFonts w:ascii="Calibri" w:eastAsia="Times New Roman" w:hAnsi="Calibri" w:cs="Times New Roman"/>
          <w:lang w:val="en-GB" w:bidi="he-IL"/>
        </w:rPr>
        <w:t>As</w:t>
      </w:r>
      <w:r w:rsidR="005F1C12" w:rsidRPr="009865AC">
        <w:rPr>
          <w:rFonts w:ascii="Calibri" w:eastAsia="Times New Roman" w:hAnsi="Calibri" w:cs="Times New Roman"/>
          <w:lang w:val="en-GB" w:bidi="he-IL"/>
        </w:rPr>
        <w:t xml:space="preserve"> he </w:t>
      </w:r>
      <w:r w:rsidR="0005343C" w:rsidRPr="009865AC">
        <w:rPr>
          <w:rFonts w:ascii="Calibri" w:eastAsia="Times New Roman" w:hAnsi="Calibri" w:cs="Times New Roman"/>
          <w:lang w:val="en-GB" w:bidi="he-IL"/>
        </w:rPr>
        <w:t>was near arriv</w:t>
      </w:r>
      <w:r w:rsidR="00A81F74" w:rsidRPr="009865AC">
        <w:rPr>
          <w:rFonts w:ascii="Calibri" w:eastAsia="Times New Roman" w:hAnsi="Calibri" w:cs="Times New Roman"/>
          <w:lang w:val="en-GB" w:bidi="he-IL"/>
        </w:rPr>
        <w:t xml:space="preserve">ing </w:t>
      </w:r>
      <w:r w:rsidR="0005343C" w:rsidRPr="009865AC">
        <w:rPr>
          <w:rFonts w:ascii="Calibri" w:eastAsia="Times New Roman" w:hAnsi="Calibri" w:cs="Times New Roman"/>
          <w:lang w:val="en-GB" w:bidi="he-IL"/>
        </w:rPr>
        <w:t>in</w:t>
      </w:r>
      <w:r w:rsidR="000A19ED" w:rsidRPr="009865AC">
        <w:rPr>
          <w:rFonts w:ascii="Calibri" w:eastAsia="Times New Roman" w:hAnsi="Calibri" w:cs="Times New Roman"/>
          <w:lang w:val="en-GB" w:bidi="he-IL"/>
        </w:rPr>
        <w:t xml:space="preserve"> </w:t>
      </w:r>
      <w:r w:rsidR="000A19ED" w:rsidRPr="009865AC">
        <w:rPr>
          <w:rFonts w:ascii="Calibri" w:eastAsia="Times New Roman" w:hAnsi="Calibri" w:cs="Times New Roman"/>
          <w:lang w:bidi="he-IL"/>
        </w:rPr>
        <w:t>Miṣrayim</w:t>
      </w:r>
      <w:r w:rsidR="00A81F74" w:rsidRPr="009865AC">
        <w:rPr>
          <w:rFonts w:ascii="Calibri" w:eastAsia="Times New Roman" w:hAnsi="Calibri" w:cs="Times New Roman"/>
          <w:lang w:val="en-GB" w:bidi="he-IL"/>
        </w:rPr>
        <w:t>, he said to Śaray</w:t>
      </w:r>
      <w:r w:rsidR="00755545" w:rsidRPr="009865AC">
        <w:rPr>
          <w:rFonts w:ascii="Calibri" w:eastAsia="Times New Roman" w:hAnsi="Calibri" w:cs="Times New Roman"/>
          <w:lang w:val="en-GB" w:bidi="he-IL"/>
        </w:rPr>
        <w:t xml:space="preserve"> his wife, </w:t>
      </w:r>
      <w:r w:rsidR="003D56BA" w:rsidRPr="009865AC">
        <w:rPr>
          <w:rFonts w:ascii="Calibri" w:eastAsia="Times New Roman" w:hAnsi="Calibri" w:cs="Times New Roman"/>
          <w:lang w:val="en-GB" w:bidi="he-IL"/>
        </w:rPr>
        <w:t>“</w:t>
      </w:r>
      <w:r w:rsidR="00A81F74" w:rsidRPr="009865AC">
        <w:rPr>
          <w:rFonts w:ascii="Calibri" w:eastAsia="Times New Roman" w:hAnsi="Calibri" w:cs="Times New Roman"/>
          <w:lang w:val="en-GB" w:bidi="he-IL"/>
        </w:rPr>
        <w:t>Here, please: I know</w:t>
      </w:r>
      <w:r w:rsidR="00323985" w:rsidRPr="009865AC">
        <w:rPr>
          <w:rStyle w:val="FootnoteReference"/>
          <w:rFonts w:ascii="Calibri" w:eastAsia="Times New Roman" w:hAnsi="Calibri" w:cs="Times New Roman"/>
          <w:lang w:val="en-GB" w:bidi="he-IL"/>
        </w:rPr>
        <w:footnoteReference w:id="75"/>
      </w:r>
      <w:r w:rsidR="00A81F74" w:rsidRPr="009865AC">
        <w:rPr>
          <w:rFonts w:ascii="Calibri" w:eastAsia="Times New Roman" w:hAnsi="Calibri" w:cs="Times New Roman"/>
          <w:lang w:val="en-GB" w:bidi="he-IL"/>
        </w:rPr>
        <w:t xml:space="preserve"> that you’re a woman who’s attractive in appearance. </w:t>
      </w:r>
      <w:r w:rsidR="00A81F74" w:rsidRPr="009865AC">
        <w:rPr>
          <w:rFonts w:ascii="Calibri" w:eastAsia="Times New Roman" w:hAnsi="Calibri" w:cs="Times New Roman"/>
          <w:vertAlign w:val="superscript"/>
          <w:lang w:val="en-GB" w:bidi="he-IL"/>
        </w:rPr>
        <w:t>12</w:t>
      </w:r>
      <w:r w:rsidR="000A19ED" w:rsidRPr="009865AC">
        <w:rPr>
          <w:rFonts w:ascii="Calibri" w:eastAsia="Times New Roman" w:hAnsi="Calibri" w:cs="Times New Roman"/>
          <w:lang w:val="en-GB" w:bidi="he-IL"/>
        </w:rPr>
        <w:t xml:space="preserve">When the </w:t>
      </w:r>
      <w:r w:rsidR="000A19ED" w:rsidRPr="009865AC">
        <w:rPr>
          <w:rFonts w:ascii="Calibri" w:eastAsia="Times New Roman" w:hAnsi="Calibri" w:cs="Times New Roman"/>
          <w:lang w:bidi="he-IL"/>
        </w:rPr>
        <w:t>Miṣrites</w:t>
      </w:r>
      <w:r w:rsidR="00755545" w:rsidRPr="009865AC">
        <w:rPr>
          <w:rFonts w:ascii="Calibri" w:eastAsia="Times New Roman" w:hAnsi="Calibri" w:cs="Times New Roman"/>
          <w:lang w:val="en-GB" w:bidi="he-IL"/>
        </w:rPr>
        <w:t xml:space="preserve"> see you and say, ‘</w:t>
      </w:r>
      <w:r w:rsidR="00A81F74" w:rsidRPr="009865AC">
        <w:rPr>
          <w:rFonts w:ascii="Calibri" w:eastAsia="Times New Roman" w:hAnsi="Calibri" w:cs="Times New Roman"/>
          <w:lang w:val="en-GB" w:bidi="he-IL"/>
        </w:rPr>
        <w:t>Sh</w:t>
      </w:r>
      <w:r w:rsidR="00755545" w:rsidRPr="009865AC">
        <w:rPr>
          <w:rFonts w:ascii="Calibri" w:eastAsia="Times New Roman" w:hAnsi="Calibri" w:cs="Times New Roman"/>
          <w:lang w:val="en-GB" w:bidi="he-IL"/>
        </w:rPr>
        <w:t>e’s his wife</w:t>
      </w:r>
      <w:r w:rsidR="00A81F74" w:rsidRPr="009865AC">
        <w:rPr>
          <w:rFonts w:ascii="Calibri" w:eastAsia="Times New Roman" w:hAnsi="Calibri" w:cs="Times New Roman"/>
          <w:lang w:val="en-GB" w:bidi="he-IL"/>
        </w:rPr>
        <w:t>,</w:t>
      </w:r>
      <w:r w:rsidR="00755545" w:rsidRPr="009865AC">
        <w:rPr>
          <w:rFonts w:ascii="Calibri" w:eastAsia="Times New Roman" w:hAnsi="Calibri" w:cs="Times New Roman"/>
          <w:lang w:val="en-GB" w:bidi="he-IL"/>
        </w:rPr>
        <w:t>’</w:t>
      </w:r>
      <w:r w:rsidR="00A81F74" w:rsidRPr="009865AC">
        <w:rPr>
          <w:rFonts w:ascii="Calibri" w:eastAsia="Times New Roman" w:hAnsi="Calibri" w:cs="Times New Roman"/>
          <w:lang w:val="en-GB" w:bidi="he-IL"/>
        </w:rPr>
        <w:t xml:space="preserve"> they may kill me and let you live.</w:t>
      </w:r>
      <w:r w:rsidR="00EE0E6F" w:rsidRPr="009865AC">
        <w:rPr>
          <w:rStyle w:val="FootnoteReference"/>
          <w:rFonts w:ascii="Calibri" w:eastAsia="Times New Roman" w:hAnsi="Calibri" w:cs="Times New Roman"/>
          <w:lang w:val="en-GB" w:bidi="he-IL"/>
        </w:rPr>
        <w:footnoteReference w:id="76"/>
      </w:r>
      <w:r w:rsidR="00A81F74" w:rsidRPr="009865AC">
        <w:rPr>
          <w:rFonts w:ascii="Calibri" w:eastAsia="Times New Roman" w:hAnsi="Calibri" w:cs="Times New Roman"/>
          <w:lang w:val="en-GB" w:bidi="he-IL"/>
        </w:rPr>
        <w:t xml:space="preserve"> </w:t>
      </w:r>
      <w:r w:rsidR="00A81F74" w:rsidRPr="009865AC">
        <w:rPr>
          <w:rFonts w:ascii="Calibri" w:eastAsia="Times New Roman" w:hAnsi="Calibri" w:cs="Times New Roman"/>
          <w:vertAlign w:val="superscript"/>
          <w:lang w:val="en-GB" w:bidi="he-IL"/>
        </w:rPr>
        <w:t>13</w:t>
      </w:r>
      <w:r w:rsidR="00A81F74" w:rsidRPr="009865AC">
        <w:rPr>
          <w:rFonts w:ascii="Calibri" w:eastAsia="Times New Roman" w:hAnsi="Calibri" w:cs="Times New Roman"/>
          <w:lang w:val="en-GB" w:bidi="he-IL"/>
        </w:rPr>
        <w:t>Please say that you’re my sister, in order th</w:t>
      </w:r>
      <w:r w:rsidR="00743BCF" w:rsidRPr="009865AC">
        <w:rPr>
          <w:rFonts w:ascii="Calibri" w:eastAsia="Times New Roman" w:hAnsi="Calibri" w:cs="Times New Roman"/>
          <w:lang w:val="en-GB" w:bidi="he-IL"/>
        </w:rPr>
        <w:t>at things may be good for me because of you</w:t>
      </w:r>
      <w:r w:rsidR="000B63C7" w:rsidRPr="009865AC">
        <w:rPr>
          <w:rFonts w:ascii="Calibri" w:eastAsia="Times New Roman" w:hAnsi="Calibri" w:cs="Times New Roman"/>
          <w:lang w:val="en-GB" w:bidi="he-IL"/>
        </w:rPr>
        <w:t xml:space="preserve"> </w:t>
      </w:r>
      <w:r w:rsidR="00A81F74" w:rsidRPr="009865AC">
        <w:rPr>
          <w:rFonts w:ascii="Calibri" w:eastAsia="Times New Roman" w:hAnsi="Calibri" w:cs="Times New Roman"/>
          <w:lang w:val="en-GB" w:bidi="he-IL"/>
        </w:rPr>
        <w:t>and I mys</w:t>
      </w:r>
      <w:r w:rsidR="0050351B" w:rsidRPr="009865AC">
        <w:rPr>
          <w:rFonts w:ascii="Calibri" w:eastAsia="Times New Roman" w:hAnsi="Calibri" w:cs="Times New Roman"/>
          <w:lang w:val="en-GB" w:bidi="he-IL"/>
        </w:rPr>
        <w:t>elf may live thanks to</w:t>
      </w:r>
      <w:r w:rsidR="00755545" w:rsidRPr="009865AC">
        <w:rPr>
          <w:rFonts w:ascii="Calibri" w:eastAsia="Times New Roman" w:hAnsi="Calibri" w:cs="Times New Roman"/>
          <w:lang w:val="en-GB" w:bidi="he-IL"/>
        </w:rPr>
        <w:t xml:space="preserve"> you</w:t>
      </w:r>
      <w:r w:rsidR="00A81F74" w:rsidRPr="009865AC">
        <w:rPr>
          <w:rFonts w:ascii="Calibri" w:eastAsia="Times New Roman" w:hAnsi="Calibri" w:cs="Times New Roman"/>
          <w:lang w:val="en-GB" w:bidi="he-IL"/>
        </w:rPr>
        <w:t>.</w:t>
      </w:r>
      <w:r w:rsidR="003D56BA" w:rsidRPr="009865AC">
        <w:rPr>
          <w:rFonts w:ascii="Calibri" w:eastAsia="Times New Roman" w:hAnsi="Calibri" w:cs="Times New Roman"/>
          <w:lang w:val="en-GB" w:bidi="he-IL"/>
        </w:rPr>
        <w:t>”</w:t>
      </w:r>
      <w:r w:rsidR="00A81F74" w:rsidRPr="009865AC">
        <w:rPr>
          <w:rFonts w:ascii="Calibri" w:eastAsia="Times New Roman" w:hAnsi="Calibri" w:cs="Times New Roman"/>
          <w:lang w:val="en-GB" w:bidi="he-IL"/>
        </w:rPr>
        <w:t xml:space="preserve"> </w:t>
      </w:r>
      <w:r w:rsidR="00A81F74" w:rsidRPr="009865AC">
        <w:rPr>
          <w:rFonts w:ascii="Calibri" w:eastAsia="Times New Roman" w:hAnsi="Calibri" w:cs="Times New Roman"/>
          <w:vertAlign w:val="superscript"/>
          <w:lang w:val="en-GB" w:bidi="he-IL"/>
        </w:rPr>
        <w:t>14</w:t>
      </w:r>
      <w:r w:rsidR="00B75528" w:rsidRPr="009865AC">
        <w:rPr>
          <w:rFonts w:ascii="Calibri" w:eastAsia="Times New Roman" w:hAnsi="Calibri" w:cs="Times New Roman"/>
          <w:lang w:val="en-GB" w:bidi="he-IL"/>
        </w:rPr>
        <w:t>So w</w:t>
      </w:r>
      <w:r w:rsidR="00A81F74" w:rsidRPr="009865AC">
        <w:rPr>
          <w:rFonts w:ascii="Calibri" w:eastAsia="Times New Roman" w:hAnsi="Calibri" w:cs="Times New Roman"/>
          <w:lang w:val="en-GB" w:bidi="he-IL"/>
        </w:rPr>
        <w:t xml:space="preserve">hen </w:t>
      </w:r>
      <w:r w:rsidR="00BF4EE8" w:rsidRPr="009865AC">
        <w:rPr>
          <w:rFonts w:ascii="Calibri" w:eastAsia="Times New Roman" w:hAnsi="Calibri" w:cs="Times New Roman"/>
          <w:lang w:val="en-GB" w:bidi="he-IL"/>
        </w:rPr>
        <w:t>Abram</w:t>
      </w:r>
      <w:r w:rsidR="000A19ED" w:rsidRPr="009865AC">
        <w:rPr>
          <w:rFonts w:ascii="Calibri" w:eastAsia="Times New Roman" w:hAnsi="Calibri" w:cs="Times New Roman"/>
          <w:lang w:val="en-GB" w:bidi="he-IL"/>
        </w:rPr>
        <w:t xml:space="preserve"> came to </w:t>
      </w:r>
      <w:r w:rsidR="000A19ED" w:rsidRPr="009865AC">
        <w:rPr>
          <w:rFonts w:ascii="Calibri" w:eastAsia="Times New Roman" w:hAnsi="Calibri" w:cs="Times New Roman"/>
          <w:lang w:bidi="he-IL"/>
        </w:rPr>
        <w:t>Miṣrayim</w:t>
      </w:r>
      <w:r w:rsidR="000A19ED" w:rsidRPr="009865AC">
        <w:rPr>
          <w:rFonts w:ascii="Calibri" w:eastAsia="Times New Roman" w:hAnsi="Calibri" w:cs="Times New Roman"/>
          <w:lang w:val="en-GB" w:bidi="he-IL"/>
        </w:rPr>
        <w:t xml:space="preserve">, </w:t>
      </w:r>
      <w:r w:rsidR="000A19ED" w:rsidRPr="009865AC">
        <w:rPr>
          <w:rFonts w:ascii="Calibri" w:eastAsia="Times New Roman" w:hAnsi="Calibri" w:cs="Times New Roman"/>
          <w:lang w:val="en-GB" w:bidi="he-IL"/>
        </w:rPr>
        <w:lastRenderedPageBreak/>
        <w:t xml:space="preserve">the </w:t>
      </w:r>
      <w:r w:rsidR="000A19ED" w:rsidRPr="009865AC">
        <w:rPr>
          <w:rFonts w:ascii="Calibri" w:eastAsia="Times New Roman" w:hAnsi="Calibri" w:cs="Times New Roman"/>
          <w:lang w:bidi="he-IL"/>
        </w:rPr>
        <w:t>Miṣrites</w:t>
      </w:r>
      <w:r w:rsidR="00A81F74" w:rsidRPr="009865AC">
        <w:rPr>
          <w:rFonts w:ascii="Calibri" w:eastAsia="Times New Roman" w:hAnsi="Calibri" w:cs="Times New Roman"/>
          <w:lang w:val="en-GB" w:bidi="he-IL"/>
        </w:rPr>
        <w:t xml:space="preserve"> saw that the woman was ve</w:t>
      </w:r>
      <w:r w:rsidR="00B75528" w:rsidRPr="009865AC">
        <w:rPr>
          <w:rFonts w:ascii="Calibri" w:eastAsia="Times New Roman" w:hAnsi="Calibri" w:cs="Times New Roman"/>
          <w:lang w:val="en-GB" w:bidi="he-IL"/>
        </w:rPr>
        <w:t>ry attractive,</w:t>
      </w:r>
      <w:r w:rsidR="00A81F74" w:rsidRPr="009865AC">
        <w:rPr>
          <w:rFonts w:ascii="Calibri" w:eastAsia="Times New Roman" w:hAnsi="Calibri" w:cs="Times New Roman"/>
          <w:lang w:val="en-GB" w:bidi="he-IL"/>
        </w:rPr>
        <w:t xml:space="preserve"> </w:t>
      </w:r>
      <w:r w:rsidR="00A81F74" w:rsidRPr="009865AC">
        <w:rPr>
          <w:rFonts w:ascii="Calibri" w:eastAsia="Times New Roman" w:hAnsi="Calibri" w:cs="Times New Roman"/>
          <w:vertAlign w:val="superscript"/>
          <w:lang w:val="en-GB" w:bidi="he-IL"/>
        </w:rPr>
        <w:t>15</w:t>
      </w:r>
      <w:r w:rsidR="00122E57" w:rsidRPr="009865AC">
        <w:rPr>
          <w:rFonts w:ascii="Calibri" w:hAnsi="Calibri"/>
        </w:rPr>
        <w:t>Par‘oh</w:t>
      </w:r>
      <w:r w:rsidR="00A81F74" w:rsidRPr="009865AC">
        <w:rPr>
          <w:rFonts w:ascii="Calibri" w:eastAsia="Times New Roman" w:hAnsi="Calibri" w:cs="Times New Roman"/>
          <w:lang w:val="en-GB" w:bidi="he-IL"/>
        </w:rPr>
        <w:t>’s officials</w:t>
      </w:r>
      <w:r w:rsidR="005242AA" w:rsidRPr="009865AC">
        <w:rPr>
          <w:rFonts w:ascii="Calibri" w:eastAsia="Times New Roman" w:hAnsi="Calibri" w:cs="Times New Roman"/>
          <w:vertAlign w:val="superscript"/>
          <w:lang w:val="en-GB" w:bidi="he-IL"/>
        </w:rPr>
        <w:footnoteReference w:id="77"/>
      </w:r>
      <w:r w:rsidR="00A81F74" w:rsidRPr="009865AC">
        <w:rPr>
          <w:rFonts w:ascii="Calibri" w:eastAsia="Times New Roman" w:hAnsi="Calibri" w:cs="Times New Roman"/>
          <w:lang w:val="en-GB" w:bidi="he-IL"/>
        </w:rPr>
        <w:t xml:space="preserve"> saw her</w:t>
      </w:r>
      <w:r w:rsidR="00122E57" w:rsidRPr="009865AC">
        <w:rPr>
          <w:rFonts w:ascii="Calibri" w:eastAsia="Times New Roman" w:hAnsi="Calibri" w:cs="Times New Roman"/>
          <w:lang w:val="en-GB" w:bidi="he-IL"/>
        </w:rPr>
        <w:t xml:space="preserve"> and praised her to </w:t>
      </w:r>
      <w:r w:rsidR="00122E57" w:rsidRPr="009865AC">
        <w:rPr>
          <w:rFonts w:ascii="Calibri" w:hAnsi="Calibri"/>
        </w:rPr>
        <w:t>Par‘oh</w:t>
      </w:r>
      <w:r w:rsidR="005242AA" w:rsidRPr="009865AC">
        <w:rPr>
          <w:rFonts w:ascii="Calibri" w:eastAsia="Times New Roman" w:hAnsi="Calibri" w:cs="Times New Roman"/>
          <w:lang w:val="en-GB" w:bidi="he-IL"/>
        </w:rPr>
        <w:t>, and t</w:t>
      </w:r>
      <w:r w:rsidR="00A81F74" w:rsidRPr="009865AC">
        <w:rPr>
          <w:rFonts w:ascii="Calibri" w:eastAsia="Times New Roman" w:hAnsi="Calibri" w:cs="Times New Roman"/>
          <w:lang w:val="en-GB" w:bidi="he-IL"/>
        </w:rPr>
        <w:t>he woman was</w:t>
      </w:r>
      <w:r w:rsidR="00122E57" w:rsidRPr="009865AC">
        <w:rPr>
          <w:rFonts w:ascii="Calibri" w:eastAsia="Times New Roman" w:hAnsi="Calibri" w:cs="Times New Roman"/>
          <w:lang w:val="en-GB" w:bidi="he-IL"/>
        </w:rPr>
        <w:t xml:space="preserve"> taken into </w:t>
      </w:r>
      <w:r w:rsidR="00122E57" w:rsidRPr="009865AC">
        <w:rPr>
          <w:rFonts w:ascii="Calibri" w:hAnsi="Calibri"/>
        </w:rPr>
        <w:t>Par‘oh</w:t>
      </w:r>
      <w:r w:rsidR="005242AA" w:rsidRPr="009865AC">
        <w:rPr>
          <w:rFonts w:ascii="Calibri" w:eastAsia="Times New Roman" w:hAnsi="Calibri" w:cs="Times New Roman"/>
          <w:lang w:val="en-GB" w:bidi="he-IL"/>
        </w:rPr>
        <w:t>’s household.</w:t>
      </w:r>
      <w:r w:rsidR="00A81F74" w:rsidRPr="009865AC">
        <w:rPr>
          <w:rFonts w:ascii="Calibri" w:eastAsia="Times New Roman" w:hAnsi="Calibri" w:cs="Times New Roman"/>
          <w:vertAlign w:val="superscript"/>
          <w:lang w:val="en-GB" w:bidi="he-IL"/>
        </w:rPr>
        <w:t>16</w:t>
      </w:r>
      <w:r w:rsidR="005242AA" w:rsidRPr="009865AC">
        <w:rPr>
          <w:rFonts w:ascii="Calibri" w:eastAsia="Times New Roman" w:hAnsi="Calibri" w:cs="Times New Roman"/>
          <w:lang w:val="en-GB" w:bidi="he-IL"/>
        </w:rPr>
        <w:t>A</w:t>
      </w:r>
      <w:r w:rsidR="00A138ED" w:rsidRPr="009865AC">
        <w:rPr>
          <w:rFonts w:ascii="Calibri" w:eastAsia="Times New Roman" w:hAnsi="Calibri" w:cs="Times New Roman"/>
          <w:lang w:val="en-GB" w:bidi="he-IL"/>
        </w:rPr>
        <w:t>nd</w:t>
      </w:r>
      <w:r w:rsidR="0005171C" w:rsidRPr="009865AC">
        <w:rPr>
          <w:rFonts w:ascii="Calibri" w:eastAsia="Times New Roman" w:hAnsi="Calibri" w:cs="Times New Roman"/>
          <w:lang w:val="en-GB" w:bidi="he-IL"/>
        </w:rPr>
        <w:t xml:space="preserve"> f</w:t>
      </w:r>
      <w:r w:rsidR="00A81F74" w:rsidRPr="009865AC">
        <w:rPr>
          <w:rFonts w:ascii="Calibri" w:eastAsia="Times New Roman" w:hAnsi="Calibri" w:cs="Times New Roman"/>
          <w:lang w:val="en-GB" w:bidi="he-IL"/>
        </w:rPr>
        <w:t xml:space="preserve">or </w:t>
      </w:r>
      <w:r w:rsidR="00BF4EE8" w:rsidRPr="009865AC">
        <w:rPr>
          <w:rFonts w:ascii="Calibri" w:eastAsia="Times New Roman" w:hAnsi="Calibri" w:cs="Times New Roman"/>
          <w:lang w:val="en-GB" w:bidi="he-IL"/>
        </w:rPr>
        <w:t>Abram</w:t>
      </w:r>
      <w:r w:rsidR="00A81F74" w:rsidRPr="009865AC">
        <w:rPr>
          <w:rFonts w:ascii="Calibri" w:eastAsia="Times New Roman" w:hAnsi="Calibri" w:cs="Times New Roman"/>
          <w:lang w:val="en-GB" w:bidi="he-IL"/>
        </w:rPr>
        <w:t xml:space="preserve"> thing</w:t>
      </w:r>
      <w:r w:rsidR="0050351B" w:rsidRPr="009865AC">
        <w:rPr>
          <w:rFonts w:ascii="Calibri" w:eastAsia="Times New Roman" w:hAnsi="Calibri" w:cs="Times New Roman"/>
          <w:lang w:val="en-GB" w:bidi="he-IL"/>
        </w:rPr>
        <w:t>s were good because of</w:t>
      </w:r>
      <w:r w:rsidR="00BB1FF5" w:rsidRPr="009865AC">
        <w:rPr>
          <w:rFonts w:ascii="Calibri" w:eastAsia="Times New Roman" w:hAnsi="Calibri" w:cs="Times New Roman"/>
          <w:lang w:val="en-GB" w:bidi="he-IL"/>
        </w:rPr>
        <w:t xml:space="preserve"> her; he ha</w:t>
      </w:r>
      <w:r w:rsidR="00A138ED" w:rsidRPr="009865AC">
        <w:rPr>
          <w:rFonts w:ascii="Calibri" w:eastAsia="Times New Roman" w:hAnsi="Calibri" w:cs="Times New Roman"/>
          <w:lang w:val="en-GB" w:bidi="he-IL"/>
        </w:rPr>
        <w:t>d</w:t>
      </w:r>
      <w:r w:rsidR="003C5FD3" w:rsidRPr="009865AC">
        <w:rPr>
          <w:rFonts w:ascii="Calibri" w:eastAsia="Times New Roman" w:hAnsi="Calibri" w:cs="Times New Roman"/>
          <w:lang w:val="en-GB" w:bidi="he-IL"/>
        </w:rPr>
        <w:t xml:space="preserve"> flock, herd, </w:t>
      </w:r>
      <w:r w:rsidR="00A81F74" w:rsidRPr="009865AC">
        <w:rPr>
          <w:rFonts w:ascii="Calibri" w:eastAsia="Times New Roman" w:hAnsi="Calibri" w:cs="Times New Roman"/>
          <w:lang w:val="en-GB" w:bidi="he-IL"/>
        </w:rPr>
        <w:t xml:space="preserve">donkeys, servants, maidservants, </w:t>
      </w:r>
      <w:r w:rsidR="003C5FD3" w:rsidRPr="009865AC">
        <w:rPr>
          <w:rFonts w:ascii="Calibri" w:eastAsia="Times New Roman" w:hAnsi="Calibri" w:cs="Times New Roman"/>
          <w:lang w:val="en-GB" w:bidi="he-IL"/>
        </w:rPr>
        <w:t xml:space="preserve">female donkeys, </w:t>
      </w:r>
      <w:r w:rsidR="00A81F74" w:rsidRPr="009865AC">
        <w:rPr>
          <w:rFonts w:ascii="Calibri" w:eastAsia="Times New Roman" w:hAnsi="Calibri" w:cs="Times New Roman"/>
          <w:lang w:val="en-GB" w:bidi="he-IL"/>
        </w:rPr>
        <w:t xml:space="preserve">and camels. </w:t>
      </w:r>
    </w:p>
    <w:p w14:paraId="349F3E43" w14:textId="2C43A0B7" w:rsidR="00A81F74" w:rsidRPr="00A01136" w:rsidRDefault="00A81F74" w:rsidP="00A81F74">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17</w:t>
      </w:r>
      <w:r w:rsidRPr="00A01136">
        <w:rPr>
          <w:rFonts w:ascii="Calibri" w:eastAsia="Times New Roman" w:hAnsi="Calibri" w:cs="Times New Roman"/>
          <w:szCs w:val="18"/>
          <w:lang w:val="en-GB" w:bidi="he-IL"/>
        </w:rPr>
        <w:t>But Ya</w:t>
      </w:r>
      <w:r w:rsidR="001920DA">
        <w:rPr>
          <w:rFonts w:ascii="Calibri" w:eastAsia="Times New Roman" w:hAnsi="Calibri" w:cs="Times New Roman"/>
          <w:szCs w:val="18"/>
          <w:lang w:val="en-GB" w:bidi="he-IL"/>
        </w:rPr>
        <w:t>hweh brought</w:t>
      </w:r>
      <w:r w:rsidR="00997B66">
        <w:rPr>
          <w:rFonts w:ascii="Calibri" w:eastAsia="Times New Roman" w:hAnsi="Calibri" w:cs="Times New Roman"/>
          <w:szCs w:val="18"/>
          <w:lang w:val="en-GB" w:bidi="he-IL"/>
        </w:rPr>
        <w:t xml:space="preserve"> </w:t>
      </w:r>
      <w:r w:rsidR="001920DA">
        <w:rPr>
          <w:rFonts w:ascii="Calibri" w:eastAsia="Times New Roman" w:hAnsi="Calibri" w:cs="Times New Roman"/>
          <w:szCs w:val="18"/>
          <w:lang w:val="en-GB" w:bidi="he-IL"/>
        </w:rPr>
        <w:t>major afflictions</w:t>
      </w:r>
      <w:r w:rsidR="00997B66" w:rsidRPr="00997B66">
        <w:rPr>
          <w:rFonts w:ascii="Calibri" w:eastAsia="Times New Roman" w:hAnsi="Calibri" w:cs="Times New Roman"/>
          <w:szCs w:val="18"/>
          <w:lang w:val="en-GB" w:bidi="he-IL"/>
        </w:rPr>
        <w:t xml:space="preserve"> </w:t>
      </w:r>
      <w:r w:rsidR="00A138ED">
        <w:rPr>
          <w:rFonts w:ascii="Calibri" w:eastAsia="Times New Roman" w:hAnsi="Calibri" w:cs="Times New Roman"/>
          <w:szCs w:val="18"/>
          <w:lang w:val="en-GB" w:bidi="he-IL"/>
        </w:rPr>
        <w:t xml:space="preserve">on </w:t>
      </w:r>
      <w:r w:rsidR="00122E57">
        <w:rPr>
          <w:rFonts w:ascii="Calibri" w:eastAsia="Times New Roman" w:hAnsi="Calibri" w:cs="Times New Roman"/>
          <w:szCs w:val="18"/>
          <w:lang w:val="en-GB" w:bidi="he-IL"/>
        </w:rPr>
        <w:t>Par‘oh</w:t>
      </w:r>
      <w:r w:rsidR="00BB1FF5">
        <w:rPr>
          <w:rFonts w:ascii="Calibri" w:eastAsia="Times New Roman" w:hAnsi="Calibri" w:cs="Times New Roman"/>
          <w:szCs w:val="18"/>
          <w:lang w:val="en-GB" w:bidi="he-IL"/>
        </w:rPr>
        <w:t xml:space="preserve"> and </w:t>
      </w:r>
      <w:r w:rsidR="00A138ED">
        <w:rPr>
          <w:rFonts w:ascii="Calibri" w:eastAsia="Times New Roman" w:hAnsi="Calibri" w:cs="Times New Roman"/>
          <w:szCs w:val="18"/>
          <w:lang w:val="en-GB" w:bidi="he-IL"/>
        </w:rPr>
        <w:t>his household</w:t>
      </w:r>
      <w:r w:rsidR="00997B66">
        <w:rPr>
          <w:rFonts w:ascii="Calibri" w:eastAsia="Times New Roman" w:hAnsi="Calibri" w:cs="Times New Roman"/>
          <w:szCs w:val="18"/>
          <w:lang w:val="en-GB" w:bidi="he-IL"/>
        </w:rPr>
        <w:t xml:space="preserve"> </w:t>
      </w:r>
      <w:r w:rsidR="00E74B3D">
        <w:rPr>
          <w:rFonts w:ascii="Calibri" w:eastAsia="Times New Roman" w:hAnsi="Calibri" w:cs="Times New Roman"/>
          <w:szCs w:val="18"/>
          <w:lang w:val="en-GB" w:bidi="he-IL"/>
        </w:rPr>
        <w:t>on account</w:t>
      </w:r>
      <w:r w:rsidR="00A138ED">
        <w:rPr>
          <w:rFonts w:ascii="Calibri" w:eastAsia="Times New Roman" w:hAnsi="Calibri" w:cs="Times New Roman"/>
          <w:szCs w:val="18"/>
          <w:lang w:val="en-GB" w:bidi="he-IL"/>
        </w:rPr>
        <w:t xml:space="preserve"> of</w:t>
      </w:r>
      <w:r>
        <w:rPr>
          <w:rFonts w:ascii="Calibri" w:eastAsia="Times New Roman" w:hAnsi="Calibri" w:cs="Times New Roman"/>
          <w:szCs w:val="18"/>
          <w:lang w:val="en-GB" w:bidi="he-IL"/>
        </w:rPr>
        <w:t xml:space="preserve"> Śaray</w:t>
      </w:r>
      <w:r w:rsidRPr="00A01136">
        <w:rPr>
          <w:rFonts w:ascii="Calibri" w:eastAsia="Times New Roman" w:hAnsi="Calibri" w:cs="Times New Roman"/>
          <w:szCs w:val="18"/>
          <w:lang w:val="en-GB" w:bidi="he-IL"/>
        </w:rPr>
        <w:t xml:space="preserve">, </w:t>
      </w:r>
      <w:r w:rsidR="00BF4EE8">
        <w:rPr>
          <w:rFonts w:ascii="Calibri" w:eastAsia="Times New Roman" w:hAnsi="Calibri" w:cs="Times New Roman"/>
          <w:szCs w:val="18"/>
          <w:lang w:val="en-GB" w:bidi="he-IL"/>
        </w:rPr>
        <w:t>Abram</w:t>
      </w:r>
      <w:r w:rsidRPr="00A01136">
        <w:rPr>
          <w:rFonts w:ascii="Calibri" w:eastAsia="Times New Roman" w:hAnsi="Calibri" w:cs="Times New Roman"/>
          <w:szCs w:val="18"/>
          <w:lang w:val="en-GB" w:bidi="he-IL"/>
        </w:rPr>
        <w:t xml:space="preserve">’s wife. </w:t>
      </w:r>
      <w:r>
        <w:rPr>
          <w:rFonts w:ascii="Calibri" w:eastAsia="Times New Roman" w:hAnsi="Calibri" w:cs="Times New Roman"/>
          <w:szCs w:val="18"/>
          <w:vertAlign w:val="superscript"/>
          <w:lang w:val="en-GB" w:bidi="he-IL"/>
        </w:rPr>
        <w:t>18</w:t>
      </w:r>
      <w:r w:rsidR="00122E57" w:rsidRPr="00035502">
        <w:rPr>
          <w:rFonts w:ascii="Calibri" w:hAnsi="Calibri"/>
          <w:sz w:val="24"/>
          <w:szCs w:val="24"/>
        </w:rPr>
        <w:t>Par‘oh</w:t>
      </w:r>
      <w:r w:rsidR="00A138ED">
        <w:rPr>
          <w:rFonts w:ascii="Calibri" w:eastAsia="Times New Roman" w:hAnsi="Calibri" w:cs="Times New Roman"/>
          <w:szCs w:val="18"/>
          <w:lang w:val="en-GB" w:bidi="he-IL"/>
        </w:rPr>
        <w:t xml:space="preserve"> called for </w:t>
      </w:r>
      <w:r w:rsidR="00BF4EE8">
        <w:rPr>
          <w:rFonts w:ascii="Calibri" w:eastAsia="Times New Roman" w:hAnsi="Calibri" w:cs="Times New Roman"/>
          <w:szCs w:val="18"/>
          <w:lang w:val="en-GB" w:bidi="he-IL"/>
        </w:rPr>
        <w:t>Abram</w:t>
      </w:r>
      <w:r w:rsidR="00A138ED">
        <w:rPr>
          <w:rFonts w:ascii="Calibri" w:eastAsia="Times New Roman" w:hAnsi="Calibri" w:cs="Times New Roman"/>
          <w:szCs w:val="18"/>
          <w:lang w:val="en-GB" w:bidi="he-IL"/>
        </w:rPr>
        <w:t xml:space="preserve"> and said, </w:t>
      </w:r>
      <w:r w:rsidR="003D56BA">
        <w:rPr>
          <w:rFonts w:ascii="Calibri" w:eastAsia="Times New Roman" w:hAnsi="Calibri" w:cs="Times New Roman"/>
          <w:szCs w:val="18"/>
          <w:lang w:val="en-GB" w:bidi="he-IL"/>
        </w:rPr>
        <w:t>“</w:t>
      </w:r>
      <w:r w:rsidRPr="00A01136">
        <w:rPr>
          <w:rFonts w:ascii="Calibri" w:eastAsia="Times New Roman" w:hAnsi="Calibri" w:cs="Times New Roman"/>
          <w:szCs w:val="18"/>
          <w:lang w:val="en-GB" w:bidi="he-IL"/>
        </w:rPr>
        <w:t xml:space="preserve">What is this that you’ve done to me? Why didn’t you tell me that she was your wife? </w:t>
      </w:r>
      <w:r>
        <w:rPr>
          <w:rFonts w:ascii="Calibri" w:eastAsia="Times New Roman" w:hAnsi="Calibri" w:cs="Times New Roman"/>
          <w:szCs w:val="18"/>
          <w:vertAlign w:val="superscript"/>
          <w:lang w:val="en-GB" w:bidi="he-IL"/>
        </w:rPr>
        <w:t>19</w:t>
      </w:r>
      <w:r w:rsidR="00A138ED">
        <w:rPr>
          <w:rFonts w:ascii="Calibri" w:eastAsia="Times New Roman" w:hAnsi="Calibri" w:cs="Times New Roman"/>
          <w:szCs w:val="18"/>
          <w:lang w:val="en-GB" w:bidi="he-IL"/>
        </w:rPr>
        <w:t xml:space="preserve">Why </w:t>
      </w:r>
      <w:r w:rsidR="00CF484F">
        <w:rPr>
          <w:rFonts w:ascii="Calibri" w:eastAsia="Times New Roman" w:hAnsi="Calibri" w:cs="Times New Roman"/>
          <w:szCs w:val="18"/>
          <w:lang w:val="en-GB" w:bidi="he-IL"/>
        </w:rPr>
        <w:t>is it that you said</w:t>
      </w:r>
      <w:r w:rsidR="00A138ED">
        <w:rPr>
          <w:rFonts w:ascii="Calibri" w:eastAsia="Times New Roman" w:hAnsi="Calibri" w:cs="Times New Roman"/>
          <w:szCs w:val="18"/>
          <w:lang w:val="en-GB" w:bidi="he-IL"/>
        </w:rPr>
        <w:t xml:space="preserve"> ‘She’s my sister</w:t>
      </w:r>
      <w:r w:rsidRPr="00A01136">
        <w:rPr>
          <w:rFonts w:ascii="Calibri" w:eastAsia="Times New Roman" w:hAnsi="Calibri" w:cs="Times New Roman"/>
          <w:szCs w:val="18"/>
          <w:lang w:val="en-GB" w:bidi="he-IL"/>
        </w:rPr>
        <w:t>,</w:t>
      </w:r>
      <w:r w:rsidR="00A138ED">
        <w:rPr>
          <w:rFonts w:ascii="Calibri" w:eastAsia="Times New Roman" w:hAnsi="Calibri" w:cs="Times New Roman"/>
          <w:szCs w:val="18"/>
          <w:lang w:val="en-GB" w:bidi="he-IL"/>
        </w:rPr>
        <w:t>’</w:t>
      </w:r>
      <w:r w:rsidRPr="00A01136">
        <w:rPr>
          <w:rFonts w:ascii="Calibri" w:eastAsia="Times New Roman" w:hAnsi="Calibri" w:cs="Times New Roman"/>
          <w:szCs w:val="18"/>
          <w:lang w:val="en-GB" w:bidi="he-IL"/>
        </w:rPr>
        <w:t xml:space="preserve"> so I got her for myself as a w</w:t>
      </w:r>
      <w:r w:rsidR="00BB1FF5">
        <w:rPr>
          <w:rFonts w:ascii="Calibri" w:eastAsia="Times New Roman" w:hAnsi="Calibri" w:cs="Times New Roman"/>
          <w:szCs w:val="18"/>
          <w:lang w:val="en-GB" w:bidi="he-IL"/>
        </w:rPr>
        <w:t>ife? Now, here’s your wife, get</w:t>
      </w:r>
      <w:r w:rsidRPr="00A01136">
        <w:rPr>
          <w:rFonts w:ascii="Calibri" w:eastAsia="Times New Roman" w:hAnsi="Calibri" w:cs="Times New Roman"/>
          <w:szCs w:val="18"/>
          <w:lang w:val="en-GB" w:bidi="he-IL"/>
        </w:rPr>
        <w:t xml:space="preserve"> he</w:t>
      </w:r>
      <w:r w:rsidR="00A138ED">
        <w:rPr>
          <w:rFonts w:ascii="Calibri" w:eastAsia="Times New Roman" w:hAnsi="Calibri" w:cs="Times New Roman"/>
          <w:szCs w:val="18"/>
          <w:lang w:val="en-GB" w:bidi="he-IL"/>
        </w:rPr>
        <w:t>r and go</w:t>
      </w:r>
      <w:r w:rsidRPr="00A01136">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Pr="00A01136">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20</w:t>
      </w:r>
      <w:r w:rsidR="00122E57">
        <w:rPr>
          <w:rFonts w:ascii="Calibri" w:eastAsia="Times New Roman" w:hAnsi="Calibri" w:cs="Times New Roman"/>
          <w:szCs w:val="18"/>
          <w:lang w:val="en-GB" w:bidi="he-IL"/>
        </w:rPr>
        <w:t>Par‘oh</w:t>
      </w:r>
      <w:r w:rsidRPr="00A01136">
        <w:rPr>
          <w:rFonts w:ascii="Calibri" w:eastAsia="Times New Roman" w:hAnsi="Calibri" w:cs="Times New Roman"/>
          <w:szCs w:val="18"/>
          <w:lang w:val="en-GB" w:bidi="he-IL"/>
        </w:rPr>
        <w:t xml:space="preserve"> gave men orders concerni</w:t>
      </w:r>
      <w:r w:rsidR="00A138ED">
        <w:rPr>
          <w:rFonts w:ascii="Calibri" w:eastAsia="Times New Roman" w:hAnsi="Calibri" w:cs="Times New Roman"/>
          <w:szCs w:val="18"/>
          <w:lang w:val="en-GB" w:bidi="he-IL"/>
        </w:rPr>
        <w:t>ng him and sent him off, with</w:t>
      </w:r>
      <w:r w:rsidRPr="00A01136">
        <w:rPr>
          <w:rFonts w:ascii="Calibri" w:eastAsia="Times New Roman" w:hAnsi="Calibri" w:cs="Times New Roman"/>
          <w:szCs w:val="18"/>
          <w:lang w:val="en-GB" w:bidi="he-IL"/>
        </w:rPr>
        <w:t xml:space="preserve"> his wife and all that he had. </w:t>
      </w:r>
      <w:r>
        <w:rPr>
          <w:rFonts w:ascii="Calibri" w:eastAsia="Times New Roman" w:hAnsi="Calibri" w:cs="Times New Roman"/>
          <w:szCs w:val="18"/>
          <w:vertAlign w:val="superscript"/>
          <w:lang w:val="en-GB" w:bidi="he-IL"/>
        </w:rPr>
        <w:t>13:1</w:t>
      </w:r>
      <w:r>
        <w:rPr>
          <w:rFonts w:ascii="Calibri" w:eastAsia="Times New Roman" w:hAnsi="Calibri" w:cs="Times New Roman"/>
          <w:szCs w:val="18"/>
          <w:lang w:val="en-GB" w:bidi="he-IL"/>
        </w:rPr>
        <w:t>So</w:t>
      </w:r>
      <w:r w:rsidR="000A19ED">
        <w:rPr>
          <w:rFonts w:ascii="Calibri" w:eastAsia="Times New Roman" w:hAnsi="Calibri" w:cs="Times New Roman"/>
          <w:szCs w:val="18"/>
          <w:lang w:val="en-GB" w:bidi="he-IL"/>
        </w:rPr>
        <w:t xml:space="preserve"> </w:t>
      </w:r>
      <w:r w:rsidR="00BF4EE8">
        <w:rPr>
          <w:rFonts w:ascii="Calibri" w:eastAsia="Times New Roman" w:hAnsi="Calibri" w:cs="Times New Roman"/>
          <w:szCs w:val="18"/>
          <w:lang w:val="en-GB" w:bidi="he-IL"/>
        </w:rPr>
        <w:t>Abram</w:t>
      </w:r>
      <w:r w:rsidR="000A19ED">
        <w:rPr>
          <w:rFonts w:ascii="Calibri" w:eastAsia="Times New Roman" w:hAnsi="Calibri" w:cs="Times New Roman"/>
          <w:szCs w:val="18"/>
          <w:lang w:val="en-GB" w:bidi="he-IL"/>
        </w:rPr>
        <w:t xml:space="preserve"> went up from </w:t>
      </w:r>
      <w:r w:rsidR="000A19ED" w:rsidRPr="000A19ED">
        <w:rPr>
          <w:rFonts w:ascii="Calibri" w:eastAsia="Times New Roman" w:hAnsi="Calibri" w:cs="Times New Roman"/>
          <w:szCs w:val="18"/>
          <w:lang w:bidi="he-IL"/>
        </w:rPr>
        <w:t>Miṣrayim</w:t>
      </w:r>
      <w:r w:rsidRPr="00A01136">
        <w:rPr>
          <w:rFonts w:ascii="Calibri" w:eastAsia="Times New Roman" w:hAnsi="Calibri" w:cs="Times New Roman"/>
          <w:szCs w:val="18"/>
          <w:lang w:val="en-GB" w:bidi="he-IL"/>
        </w:rPr>
        <w:t>, he and his wife and all that he had</w:t>
      </w:r>
      <w:r w:rsidR="007507A5">
        <w:rPr>
          <w:rFonts w:ascii="Calibri" w:eastAsia="Times New Roman" w:hAnsi="Calibri" w:cs="Times New Roman"/>
          <w:szCs w:val="18"/>
          <w:lang w:val="en-GB" w:bidi="he-IL"/>
        </w:rPr>
        <w:t>, and Lot with him, to the southland</w:t>
      </w:r>
      <w:r w:rsidRPr="00A01136">
        <w:rPr>
          <w:rFonts w:ascii="Calibri" w:eastAsia="Times New Roman" w:hAnsi="Calibri" w:cs="Times New Roman"/>
          <w:szCs w:val="18"/>
          <w:lang w:val="en-GB" w:bidi="he-IL"/>
        </w:rPr>
        <w:t xml:space="preserve">. </w:t>
      </w:r>
    </w:p>
    <w:p w14:paraId="5C246AC7" w14:textId="77777777" w:rsidR="00A81F74" w:rsidRPr="00A01136" w:rsidRDefault="00A81F74" w:rsidP="00A81F74">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2</w:t>
      </w:r>
      <w:r w:rsidRPr="00A01136">
        <w:rPr>
          <w:rFonts w:ascii="Calibri" w:eastAsia="Times New Roman" w:hAnsi="Calibri" w:cs="Times New Roman"/>
          <w:szCs w:val="18"/>
          <w:lang w:val="en-GB" w:bidi="he-IL"/>
        </w:rPr>
        <w:t xml:space="preserve">Now </w:t>
      </w:r>
      <w:r w:rsidR="00BF4EE8">
        <w:rPr>
          <w:rFonts w:ascii="Calibri" w:eastAsia="Times New Roman" w:hAnsi="Calibri" w:cs="Times New Roman"/>
          <w:szCs w:val="18"/>
          <w:lang w:val="en-GB" w:bidi="he-IL"/>
        </w:rPr>
        <w:t>Abram</w:t>
      </w:r>
      <w:r w:rsidRPr="00A01136">
        <w:rPr>
          <w:rFonts w:ascii="Calibri" w:eastAsia="Times New Roman" w:hAnsi="Calibri" w:cs="Times New Roman"/>
          <w:szCs w:val="18"/>
          <w:lang w:val="en-GB" w:bidi="he-IL"/>
        </w:rPr>
        <w:t xml:space="preserve"> was a </w:t>
      </w:r>
      <w:r w:rsidR="00E34DE5">
        <w:rPr>
          <w:rFonts w:ascii="Calibri" w:eastAsia="Times New Roman" w:hAnsi="Calibri" w:cs="Times New Roman"/>
          <w:szCs w:val="18"/>
          <w:lang w:val="en-GB" w:bidi="he-IL"/>
        </w:rPr>
        <w:t>very substantial man in livestock, in silver, and in</w:t>
      </w:r>
      <w:r>
        <w:rPr>
          <w:rFonts w:ascii="Calibri" w:eastAsia="Times New Roman" w:hAnsi="Calibri" w:cs="Times New Roman"/>
          <w:szCs w:val="18"/>
          <w:lang w:val="en-GB" w:bidi="he-IL"/>
        </w:rPr>
        <w:t xml:space="preserve"> gold. </w:t>
      </w:r>
      <w:r>
        <w:rPr>
          <w:rFonts w:ascii="Calibri" w:eastAsia="Times New Roman" w:hAnsi="Calibri" w:cs="Times New Roman"/>
          <w:szCs w:val="18"/>
          <w:vertAlign w:val="superscript"/>
          <w:lang w:val="en-GB" w:bidi="he-IL"/>
        </w:rPr>
        <w:t>3</w:t>
      </w:r>
      <w:r w:rsidRPr="00A01136">
        <w:rPr>
          <w:rFonts w:ascii="Calibri" w:eastAsia="Times New Roman" w:hAnsi="Calibri" w:cs="Times New Roman"/>
          <w:szCs w:val="18"/>
          <w:lang w:val="en-GB" w:bidi="he-IL"/>
        </w:rPr>
        <w:t xml:space="preserve">In his </w:t>
      </w:r>
      <w:r w:rsidR="007507A5">
        <w:rPr>
          <w:rFonts w:ascii="Calibri" w:eastAsia="Times New Roman" w:hAnsi="Calibri" w:cs="Times New Roman"/>
          <w:szCs w:val="18"/>
          <w:lang w:val="en-GB" w:bidi="he-IL"/>
        </w:rPr>
        <w:t>moving</w:t>
      </w:r>
      <w:r w:rsidR="00F916CA">
        <w:rPr>
          <w:rFonts w:ascii="Calibri" w:eastAsia="Times New Roman" w:hAnsi="Calibri" w:cs="Times New Roman"/>
          <w:szCs w:val="18"/>
          <w:lang w:val="en-GB" w:bidi="he-IL"/>
        </w:rPr>
        <w:t>s</w:t>
      </w:r>
      <w:r w:rsidR="007507A5">
        <w:rPr>
          <w:rFonts w:ascii="Calibri" w:eastAsia="Times New Roman" w:hAnsi="Calibri" w:cs="Times New Roman"/>
          <w:szCs w:val="18"/>
          <w:lang w:val="en-GB" w:bidi="he-IL"/>
        </w:rPr>
        <w:t xml:space="preserve"> on</w:t>
      </w:r>
      <w:r w:rsidR="00A138ED">
        <w:rPr>
          <w:rFonts w:ascii="Calibri" w:eastAsia="Times New Roman" w:hAnsi="Calibri" w:cs="Times New Roman"/>
          <w:szCs w:val="18"/>
          <w:lang w:val="en-GB" w:bidi="he-IL"/>
        </w:rPr>
        <w:t>,</w:t>
      </w:r>
      <w:r w:rsidR="007507A5">
        <w:rPr>
          <w:rFonts w:ascii="Calibri" w:eastAsia="Times New Roman" w:hAnsi="Calibri" w:cs="Times New Roman"/>
          <w:szCs w:val="18"/>
          <w:lang w:val="en-GB" w:bidi="he-IL"/>
        </w:rPr>
        <w:t xml:space="preserve"> he went from the southland</w:t>
      </w:r>
      <w:r w:rsidRPr="00A01136">
        <w:rPr>
          <w:rFonts w:ascii="Calibri" w:eastAsia="Times New Roman" w:hAnsi="Calibri" w:cs="Times New Roman"/>
          <w:szCs w:val="18"/>
          <w:lang w:val="en-GB" w:bidi="he-IL"/>
        </w:rPr>
        <w:t xml:space="preserve"> as f</w:t>
      </w:r>
      <w:r w:rsidR="007239DE">
        <w:rPr>
          <w:rFonts w:ascii="Calibri" w:eastAsia="Times New Roman" w:hAnsi="Calibri" w:cs="Times New Roman"/>
          <w:szCs w:val="18"/>
          <w:lang w:val="en-GB" w:bidi="he-IL"/>
        </w:rPr>
        <w:t>ar as Bet-el, as far as the sit</w:t>
      </w:r>
      <w:r w:rsidRPr="00A01136">
        <w:rPr>
          <w:rFonts w:ascii="Calibri" w:eastAsia="Times New Roman" w:hAnsi="Calibri" w:cs="Times New Roman"/>
          <w:szCs w:val="18"/>
          <w:lang w:val="en-GB" w:bidi="he-IL"/>
        </w:rPr>
        <w:t>e where his tent had been formerly, between Bet-el and Ha’ay</w:t>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4</w:t>
      </w:r>
      <w:r w:rsidRPr="00A01136">
        <w:rPr>
          <w:rFonts w:ascii="Calibri" w:eastAsia="Times New Roman" w:hAnsi="Calibri" w:cs="Times New Roman"/>
          <w:szCs w:val="18"/>
          <w:lang w:val="en-GB" w:bidi="he-IL"/>
        </w:rPr>
        <w:t xml:space="preserve">the site of the altar that he had made there at first. There </w:t>
      </w:r>
      <w:r w:rsidR="00BF4EE8">
        <w:rPr>
          <w:rFonts w:ascii="Calibri" w:eastAsia="Times New Roman" w:hAnsi="Calibri" w:cs="Times New Roman"/>
          <w:szCs w:val="18"/>
          <w:lang w:val="en-GB" w:bidi="he-IL"/>
        </w:rPr>
        <w:t>Abram</w:t>
      </w:r>
      <w:r w:rsidR="001536C2">
        <w:rPr>
          <w:rFonts w:ascii="Calibri" w:eastAsia="Times New Roman" w:hAnsi="Calibri" w:cs="Times New Roman"/>
          <w:szCs w:val="18"/>
          <w:lang w:val="en-GB" w:bidi="he-IL"/>
        </w:rPr>
        <w:t xml:space="preserve"> called out with the</w:t>
      </w:r>
      <w:r w:rsidRPr="00A01136">
        <w:rPr>
          <w:rFonts w:ascii="Calibri" w:eastAsia="Times New Roman" w:hAnsi="Calibri" w:cs="Times New Roman"/>
          <w:szCs w:val="18"/>
          <w:lang w:val="en-GB" w:bidi="he-IL"/>
        </w:rPr>
        <w:t xml:space="preserve"> </w:t>
      </w:r>
      <w:r w:rsidR="001536C2">
        <w:rPr>
          <w:rFonts w:ascii="Calibri" w:eastAsia="Times New Roman" w:hAnsi="Calibri" w:cs="Times New Roman"/>
          <w:szCs w:val="18"/>
          <w:lang w:val="en-GB" w:bidi="he-IL"/>
        </w:rPr>
        <w:t>name Yahweh</w:t>
      </w:r>
      <w:r w:rsidRPr="00A01136">
        <w:rPr>
          <w:rFonts w:ascii="Calibri" w:eastAsia="Times New Roman" w:hAnsi="Calibri" w:cs="Times New Roman"/>
          <w:szCs w:val="18"/>
          <w:lang w:val="en-GB" w:bidi="he-IL"/>
        </w:rPr>
        <w:t>.</w:t>
      </w:r>
    </w:p>
    <w:p w14:paraId="7C213758" w14:textId="77777777" w:rsidR="00A81F74" w:rsidRDefault="00141055" w:rsidP="00A81F74">
      <w:pPr>
        <w:pStyle w:val="Heading2"/>
        <w:rPr>
          <w:lang w:bidi="he-IL"/>
        </w:rPr>
      </w:pPr>
      <w:r>
        <w:rPr>
          <w:lang w:bidi="he-IL"/>
        </w:rPr>
        <w:t>Interpretation</w:t>
      </w:r>
      <w:r w:rsidR="00A81F74">
        <w:rPr>
          <w:lang w:bidi="he-IL"/>
        </w:rPr>
        <w:t xml:space="preserve"> </w:t>
      </w:r>
    </w:p>
    <w:p w14:paraId="2155301E" w14:textId="46997D0A" w:rsidR="0060454F" w:rsidRPr="00F442D8" w:rsidRDefault="00A81F74" w:rsidP="00F442D8">
      <w:pPr>
        <w:rPr>
          <w:lang w:val="en-GB" w:bidi="he-IL"/>
        </w:rPr>
      </w:pPr>
      <w:r>
        <w:rPr>
          <w:lang w:bidi="he-IL"/>
        </w:rPr>
        <w:t>In M</w:t>
      </w:r>
      <w:r w:rsidR="0013642D">
        <w:rPr>
          <w:lang w:bidi="he-IL"/>
        </w:rPr>
        <w:t xml:space="preserve">T </w:t>
      </w:r>
      <w:r w:rsidR="00C209E9">
        <w:rPr>
          <w:lang w:bidi="he-IL"/>
        </w:rPr>
        <w:t>the</w:t>
      </w:r>
      <w:r w:rsidR="005242AA">
        <w:rPr>
          <w:lang w:bidi="he-IL"/>
        </w:rPr>
        <w:t xml:space="preserve"> stories of the Egyptian escapade and </w:t>
      </w:r>
      <w:r w:rsidR="00F637E3">
        <w:rPr>
          <w:lang w:bidi="he-IL"/>
        </w:rPr>
        <w:t xml:space="preserve">of </w:t>
      </w:r>
      <w:r w:rsidR="00C209E9">
        <w:rPr>
          <w:lang w:bidi="he-IL"/>
        </w:rPr>
        <w:t xml:space="preserve">the </w:t>
      </w:r>
      <w:r w:rsidR="005242AA">
        <w:rPr>
          <w:lang w:bidi="he-IL"/>
        </w:rPr>
        <w:t xml:space="preserve">subsequent </w:t>
      </w:r>
      <w:r w:rsidR="00C209E9">
        <w:rPr>
          <w:lang w:bidi="he-IL"/>
        </w:rPr>
        <w:t xml:space="preserve">parting from </w:t>
      </w:r>
      <w:r w:rsidR="005242AA">
        <w:rPr>
          <w:lang w:bidi="he-IL"/>
        </w:rPr>
        <w:t xml:space="preserve">Lot </w:t>
      </w:r>
      <w:r w:rsidR="00F637E3">
        <w:rPr>
          <w:lang w:bidi="he-IL"/>
        </w:rPr>
        <w:t>form</w:t>
      </w:r>
      <w:r w:rsidR="00C209E9">
        <w:rPr>
          <w:lang w:bidi="he-IL"/>
        </w:rPr>
        <w:t xml:space="preserve"> one </w:t>
      </w:r>
      <w:r w:rsidR="008602D6">
        <w:rPr>
          <w:lang w:bidi="he-IL"/>
        </w:rPr>
        <w:t>unit</w:t>
      </w:r>
      <w:r w:rsidR="00747E4A">
        <w:rPr>
          <w:lang w:bidi="he-IL"/>
        </w:rPr>
        <w:t xml:space="preserve">, but </w:t>
      </w:r>
      <w:r w:rsidR="004F0AC1">
        <w:rPr>
          <w:lang w:bidi="he-IL"/>
        </w:rPr>
        <w:t xml:space="preserve">they look </w:t>
      </w:r>
      <w:r w:rsidR="00F637E3">
        <w:rPr>
          <w:lang w:bidi="he-IL"/>
        </w:rPr>
        <w:t>like</w:t>
      </w:r>
      <w:r w:rsidR="00747E4A">
        <w:rPr>
          <w:lang w:bidi="he-IL"/>
        </w:rPr>
        <w:t xml:space="preserve"> </w:t>
      </w:r>
      <w:r w:rsidR="001D5CCF">
        <w:rPr>
          <w:lang w:bidi="he-IL"/>
        </w:rPr>
        <w:t xml:space="preserve">two </w:t>
      </w:r>
      <w:r w:rsidR="00747E4A">
        <w:rPr>
          <w:lang w:bidi="he-IL"/>
        </w:rPr>
        <w:t xml:space="preserve">separate stories </w:t>
      </w:r>
      <w:r w:rsidR="000A19ED">
        <w:rPr>
          <w:lang w:bidi="he-IL"/>
        </w:rPr>
        <w:t xml:space="preserve">dealing with interestingly opposite questions—the problem of scarcity and the problem of abundance. </w:t>
      </w:r>
      <w:r w:rsidR="00F637E3">
        <w:rPr>
          <w:lang w:bidi="he-IL"/>
        </w:rPr>
        <w:t xml:space="preserve">Both </w:t>
      </w:r>
      <w:r w:rsidR="00A138ED">
        <w:rPr>
          <w:lang w:bidi="he-IL"/>
        </w:rPr>
        <w:t xml:space="preserve">stories </w:t>
      </w:r>
      <w:r w:rsidR="0060454F">
        <w:rPr>
          <w:lang w:bidi="he-IL"/>
        </w:rPr>
        <w:t xml:space="preserve">also </w:t>
      </w:r>
      <w:r w:rsidR="00A138ED">
        <w:rPr>
          <w:lang w:bidi="he-IL"/>
        </w:rPr>
        <w:t xml:space="preserve">link with </w:t>
      </w:r>
      <w:r w:rsidR="0060454F">
        <w:rPr>
          <w:lang w:bidi="he-IL"/>
        </w:rPr>
        <w:t>the se</w:t>
      </w:r>
      <w:r w:rsidR="00C209E9">
        <w:rPr>
          <w:lang w:bidi="he-IL"/>
        </w:rPr>
        <w:t>ctions on either side, in 12:1-8</w:t>
      </w:r>
      <w:r w:rsidR="0060454F">
        <w:rPr>
          <w:lang w:bidi="he-IL"/>
        </w:rPr>
        <w:t xml:space="preserve"> and 14:1-24. The medieval chapter division </w:t>
      </w:r>
      <w:r w:rsidR="00F637E3">
        <w:rPr>
          <w:lang w:bidi="he-IL"/>
        </w:rPr>
        <w:t xml:space="preserve">in English </w:t>
      </w:r>
      <w:r w:rsidR="004F0AC1">
        <w:rPr>
          <w:lang w:bidi="he-IL"/>
        </w:rPr>
        <w:t xml:space="preserve">and Hebrew </w:t>
      </w:r>
      <w:r w:rsidR="00F637E3">
        <w:rPr>
          <w:lang w:bidi="he-IL"/>
        </w:rPr>
        <w:t xml:space="preserve">Bibles </w:t>
      </w:r>
      <w:r w:rsidR="0060454F">
        <w:rPr>
          <w:lang w:bidi="he-IL"/>
        </w:rPr>
        <w:t>does separate the scarcity story and the abundance story, but it does so rather early</w:t>
      </w:r>
      <w:r w:rsidR="001D5CCF">
        <w:rPr>
          <w:lang w:val="en-GB" w:bidi="he-IL"/>
        </w:rPr>
        <w:t xml:space="preserve">; 13:1 </w:t>
      </w:r>
      <w:r w:rsidR="00F637E3">
        <w:rPr>
          <w:lang w:val="en-GB" w:bidi="he-IL"/>
        </w:rPr>
        <w:t>links backwards, taking</w:t>
      </w:r>
      <w:r w:rsidR="001D5CCF">
        <w:rPr>
          <w:lang w:val="en-GB" w:bidi="he-IL"/>
        </w:rPr>
        <w:t xml:space="preserve"> Abraham’s family and the narrative b</w:t>
      </w:r>
      <w:r w:rsidR="00C209E9">
        <w:rPr>
          <w:lang w:val="en-GB" w:bidi="he-IL"/>
        </w:rPr>
        <w:t>ack to where it started in 12:9</w:t>
      </w:r>
      <w:r w:rsidR="00F637E3">
        <w:rPr>
          <w:lang w:val="en-GB" w:bidi="he-IL"/>
        </w:rPr>
        <w:t>. While one could then</w:t>
      </w:r>
      <w:r w:rsidR="001D5CCF">
        <w:rPr>
          <w:lang w:val="en-GB" w:bidi="he-IL"/>
        </w:rPr>
        <w:t xml:space="preserve"> see the narrative arc as ending </w:t>
      </w:r>
      <w:r w:rsidR="0060454F">
        <w:rPr>
          <w:lang w:val="en-GB" w:bidi="he-IL"/>
        </w:rPr>
        <w:t>at 13:1</w:t>
      </w:r>
      <w:r w:rsidR="00F637E3">
        <w:rPr>
          <w:lang w:val="en-GB" w:bidi="he-IL"/>
        </w:rPr>
        <w:t>,</w:t>
      </w:r>
      <w:r w:rsidR="001D5CCF">
        <w:rPr>
          <w:lang w:val="en-GB" w:bidi="he-IL"/>
        </w:rPr>
        <w:t xml:space="preserve"> 13:2-4 continues to relate to that arc in the sense that it takes Abraham and</w:t>
      </w:r>
      <w:r w:rsidR="0060454F">
        <w:rPr>
          <w:lang w:val="en-GB" w:bidi="he-IL"/>
        </w:rPr>
        <w:t xml:space="preserve"> the audience</w:t>
      </w:r>
      <w:r w:rsidR="00F637E3">
        <w:rPr>
          <w:lang w:val="en-GB" w:bidi="he-IL"/>
        </w:rPr>
        <w:t xml:space="preserve"> back to where we were in 12:8</w:t>
      </w:r>
      <w:r w:rsidR="001E290E">
        <w:rPr>
          <w:lang w:val="en-GB" w:bidi="he-IL"/>
        </w:rPr>
        <w:t>.</w:t>
      </w:r>
      <w:r w:rsidR="00497A22">
        <w:rPr>
          <w:lang w:val="en-GB" w:bidi="he-IL"/>
        </w:rPr>
        <w:t xml:space="preserve"> </w:t>
      </w:r>
      <w:r w:rsidR="0054779E">
        <w:rPr>
          <w:lang w:val="en-GB" w:bidi="he-IL"/>
        </w:rPr>
        <w:t xml:space="preserve">And </w:t>
      </w:r>
      <w:r w:rsidR="0054779E">
        <w:rPr>
          <w:lang w:bidi="he-IL"/>
        </w:rPr>
        <w:t>one</w:t>
      </w:r>
      <w:r w:rsidR="0060454F">
        <w:rPr>
          <w:lang w:bidi="he-IL"/>
        </w:rPr>
        <w:t xml:space="preserve"> clue to </w:t>
      </w:r>
      <w:r w:rsidR="00F442D8">
        <w:rPr>
          <w:lang w:bidi="he-IL"/>
        </w:rPr>
        <w:t>the story’s interpretation</w:t>
      </w:r>
      <w:r w:rsidR="0060454F">
        <w:rPr>
          <w:lang w:bidi="he-IL"/>
        </w:rPr>
        <w:t xml:space="preserve"> is a set of </w:t>
      </w:r>
      <w:r w:rsidR="00F442D8">
        <w:rPr>
          <w:lang w:bidi="he-IL"/>
        </w:rPr>
        <w:t>compa</w:t>
      </w:r>
      <w:r w:rsidR="00F637E3">
        <w:rPr>
          <w:lang w:bidi="he-IL"/>
        </w:rPr>
        <w:t>risons and contrasts with 12:1-8</w:t>
      </w:r>
      <w:r w:rsidR="00F442D8">
        <w:rPr>
          <w:lang w:bidi="he-IL"/>
        </w:rPr>
        <w:t>:</w:t>
      </w:r>
    </w:p>
    <w:p w14:paraId="5C23C032" w14:textId="77777777" w:rsidR="0060454F" w:rsidRPr="00F442D8" w:rsidRDefault="0060454F" w:rsidP="0060454F">
      <w:pPr>
        <w:pStyle w:val="ListParagraph"/>
        <w:ind w:left="720" w:firstLine="0"/>
        <w:rPr>
          <w:lang w:val="en-GB" w:bidi="he-IL"/>
        </w:rPr>
      </w:pPr>
    </w:p>
    <w:p w14:paraId="62911B13" w14:textId="77777777" w:rsidR="0060454F" w:rsidRDefault="0060454F" w:rsidP="00F637E3">
      <w:pPr>
        <w:pStyle w:val="ListParagraph"/>
        <w:tabs>
          <w:tab w:val="left" w:pos="720"/>
          <w:tab w:val="left" w:pos="4320"/>
          <w:tab w:val="left" w:pos="5040"/>
        </w:tabs>
        <w:ind w:left="0" w:firstLine="0"/>
        <w:rPr>
          <w:lang w:bidi="he-IL"/>
        </w:rPr>
      </w:pPr>
      <w:r>
        <w:rPr>
          <w:lang w:bidi="he-IL"/>
        </w:rPr>
        <w:t>12:1</w:t>
      </w:r>
      <w:r>
        <w:rPr>
          <w:lang w:bidi="he-IL"/>
        </w:rPr>
        <w:tab/>
        <w:t>Yahweh tells Abra</w:t>
      </w:r>
      <w:r w:rsidR="00BF4EE8">
        <w:rPr>
          <w:lang w:bidi="he-IL"/>
        </w:rPr>
        <w:t>ha</w:t>
      </w:r>
      <w:r>
        <w:rPr>
          <w:lang w:bidi="he-IL"/>
        </w:rPr>
        <w:t>m to go</w:t>
      </w:r>
      <w:r w:rsidR="00BF4EE8">
        <w:rPr>
          <w:lang w:bidi="he-IL"/>
        </w:rPr>
        <w:t xml:space="preserve"> </w:t>
      </w:r>
      <w:r w:rsidR="00F637E3">
        <w:rPr>
          <w:lang w:bidi="he-IL"/>
        </w:rPr>
        <w:tab/>
      </w:r>
      <w:r>
        <w:rPr>
          <w:lang w:bidi="he-IL"/>
        </w:rPr>
        <w:t>12:</w:t>
      </w:r>
      <w:r w:rsidR="005727FB">
        <w:rPr>
          <w:lang w:bidi="he-IL"/>
        </w:rPr>
        <w:t xml:space="preserve">9         </w:t>
      </w:r>
      <w:r w:rsidR="00F637E3">
        <w:rPr>
          <w:lang w:bidi="he-IL"/>
        </w:rPr>
        <w:t>Abraham continues to go</w:t>
      </w:r>
      <w:r w:rsidR="005727FB">
        <w:rPr>
          <w:lang w:bidi="he-IL"/>
        </w:rPr>
        <w:t xml:space="preserve"> </w:t>
      </w:r>
    </w:p>
    <w:p w14:paraId="73C88ABB" w14:textId="77777777" w:rsidR="005727FB" w:rsidRDefault="005727FB" w:rsidP="00F637E3">
      <w:pPr>
        <w:pStyle w:val="ListParagraph"/>
        <w:tabs>
          <w:tab w:val="left" w:pos="720"/>
          <w:tab w:val="left" w:pos="4320"/>
          <w:tab w:val="left" w:pos="5040"/>
        </w:tabs>
        <w:ind w:left="0" w:firstLine="0"/>
        <w:rPr>
          <w:lang w:bidi="he-IL"/>
        </w:rPr>
      </w:pPr>
      <w:r>
        <w:rPr>
          <w:lang w:bidi="he-IL"/>
        </w:rPr>
        <w:t>12:2-3</w:t>
      </w:r>
      <w:r>
        <w:rPr>
          <w:lang w:bidi="he-IL"/>
        </w:rPr>
        <w:tab/>
        <w:t>Yahweh</w:t>
      </w:r>
      <w:r w:rsidRPr="005727FB">
        <w:rPr>
          <w:lang w:bidi="he-IL"/>
        </w:rPr>
        <w:t xml:space="preserve"> makes promises</w:t>
      </w:r>
      <w:r w:rsidR="00F637E3">
        <w:rPr>
          <w:lang w:bidi="he-IL"/>
        </w:rPr>
        <w:tab/>
      </w:r>
      <w:r w:rsidR="004A79EB">
        <w:rPr>
          <w:lang w:bidi="he-IL"/>
        </w:rPr>
        <w:t>12:10a</w:t>
      </w:r>
      <w:r w:rsidR="004A79EB">
        <w:rPr>
          <w:lang w:bidi="he-IL"/>
        </w:rPr>
        <w:tab/>
        <w:t xml:space="preserve">  </w:t>
      </w:r>
      <w:r w:rsidRPr="005727FB">
        <w:rPr>
          <w:lang w:bidi="he-IL"/>
        </w:rPr>
        <w:t>Yahweh is silent</w:t>
      </w:r>
      <w:r w:rsidR="00437954">
        <w:rPr>
          <w:rStyle w:val="FootnoteReference"/>
          <w:lang w:bidi="he-IL"/>
        </w:rPr>
        <w:footnoteReference w:id="78"/>
      </w:r>
      <w:r>
        <w:rPr>
          <w:lang w:bidi="he-IL"/>
        </w:rPr>
        <w:tab/>
      </w:r>
    </w:p>
    <w:p w14:paraId="6F7F182C" w14:textId="77777777" w:rsidR="0060454F" w:rsidRDefault="0060454F" w:rsidP="00F637E3">
      <w:pPr>
        <w:pStyle w:val="ListParagraph"/>
        <w:tabs>
          <w:tab w:val="left" w:pos="720"/>
          <w:tab w:val="left" w:pos="4320"/>
          <w:tab w:val="left" w:pos="5040"/>
        </w:tabs>
        <w:ind w:left="0" w:firstLine="0"/>
        <w:rPr>
          <w:lang w:bidi="he-IL"/>
        </w:rPr>
      </w:pPr>
      <w:r>
        <w:rPr>
          <w:lang w:bidi="he-IL"/>
        </w:rPr>
        <w:t>12:4</w:t>
      </w:r>
      <w:r>
        <w:rPr>
          <w:lang w:bidi="he-IL"/>
        </w:rPr>
        <w:tab/>
        <w:t>Abraham goes as Yahweh said</w:t>
      </w:r>
      <w:r>
        <w:rPr>
          <w:lang w:bidi="he-IL"/>
        </w:rPr>
        <w:tab/>
        <w:t>12:10</w:t>
      </w:r>
      <w:r w:rsidR="004A79EB">
        <w:rPr>
          <w:lang w:bidi="he-IL"/>
        </w:rPr>
        <w:t>b</w:t>
      </w:r>
      <w:r>
        <w:rPr>
          <w:lang w:bidi="he-IL"/>
        </w:rPr>
        <w:tab/>
        <w:t xml:space="preserve">   Abraham goes</w:t>
      </w:r>
    </w:p>
    <w:p w14:paraId="79CF5414" w14:textId="77777777" w:rsidR="0060454F" w:rsidRDefault="00F637E3" w:rsidP="00F637E3">
      <w:pPr>
        <w:pStyle w:val="ListParagraph"/>
        <w:tabs>
          <w:tab w:val="left" w:pos="720"/>
          <w:tab w:val="left" w:pos="4320"/>
          <w:tab w:val="left" w:pos="5040"/>
        </w:tabs>
        <w:ind w:left="0" w:firstLine="0"/>
        <w:rPr>
          <w:lang w:bidi="he-IL"/>
        </w:rPr>
      </w:pPr>
      <w:r>
        <w:rPr>
          <w:lang w:bidi="he-IL"/>
        </w:rPr>
        <w:t>12:6</w:t>
      </w:r>
      <w:r>
        <w:rPr>
          <w:lang w:bidi="he-IL"/>
        </w:rPr>
        <w:tab/>
        <w:t>The Canaanites are there</w:t>
      </w:r>
      <w:r>
        <w:rPr>
          <w:lang w:bidi="he-IL"/>
        </w:rPr>
        <w:tab/>
        <w:t xml:space="preserve">12:10-13 </w:t>
      </w:r>
      <w:r w:rsidR="0060454F">
        <w:rPr>
          <w:lang w:bidi="he-IL"/>
        </w:rPr>
        <w:t>The Egyptians are there</w:t>
      </w:r>
    </w:p>
    <w:p w14:paraId="21D98C76" w14:textId="77777777" w:rsidR="0060454F" w:rsidRDefault="0060454F" w:rsidP="00F637E3">
      <w:pPr>
        <w:pStyle w:val="ListParagraph"/>
        <w:tabs>
          <w:tab w:val="left" w:pos="720"/>
          <w:tab w:val="left" w:pos="4320"/>
          <w:tab w:val="left" w:pos="5040"/>
        </w:tabs>
        <w:ind w:left="0" w:firstLine="0"/>
        <w:rPr>
          <w:lang w:bidi="he-IL"/>
        </w:rPr>
      </w:pPr>
      <w:r>
        <w:rPr>
          <w:lang w:bidi="he-IL"/>
        </w:rPr>
        <w:t>12:7</w:t>
      </w:r>
      <w:r>
        <w:rPr>
          <w:lang w:bidi="he-IL"/>
        </w:rPr>
        <w:tab/>
        <w:t>Yahweh appears and speaks</w:t>
      </w:r>
      <w:r>
        <w:rPr>
          <w:lang w:bidi="he-IL"/>
        </w:rPr>
        <w:tab/>
        <w:t>12:14-</w:t>
      </w:r>
      <w:proofErr w:type="gramStart"/>
      <w:r w:rsidR="00F637E3">
        <w:rPr>
          <w:lang w:bidi="he-IL"/>
        </w:rPr>
        <w:t xml:space="preserve">17  </w:t>
      </w:r>
      <w:r>
        <w:rPr>
          <w:lang w:bidi="he-IL"/>
        </w:rPr>
        <w:t>Yahweh</w:t>
      </w:r>
      <w:proofErr w:type="gramEnd"/>
      <w:r>
        <w:rPr>
          <w:lang w:bidi="he-IL"/>
        </w:rPr>
        <w:t xml:space="preserve"> is silent but brings afflictions</w:t>
      </w:r>
    </w:p>
    <w:p w14:paraId="31EE54D3" w14:textId="77777777" w:rsidR="0060454F" w:rsidRDefault="0060454F" w:rsidP="00F637E3">
      <w:pPr>
        <w:pStyle w:val="ListParagraph"/>
        <w:tabs>
          <w:tab w:val="left" w:pos="720"/>
          <w:tab w:val="left" w:pos="4320"/>
          <w:tab w:val="left" w:pos="5040"/>
        </w:tabs>
        <w:ind w:left="0" w:firstLine="0"/>
        <w:rPr>
          <w:lang w:bidi="he-IL"/>
        </w:rPr>
      </w:pPr>
      <w:r>
        <w:rPr>
          <w:lang w:bidi="he-IL"/>
        </w:rPr>
        <w:t>12:7, 8</w:t>
      </w:r>
      <w:r>
        <w:rPr>
          <w:lang w:bidi="he-IL"/>
        </w:rPr>
        <w:tab/>
        <w:t>Abraham builds altars</w:t>
      </w:r>
      <w:r>
        <w:rPr>
          <w:lang w:bidi="he-IL"/>
        </w:rPr>
        <w:tab/>
      </w:r>
      <w:r w:rsidR="005727FB">
        <w:rPr>
          <w:lang w:bidi="he-IL"/>
        </w:rPr>
        <w:t>12:18-</w:t>
      </w:r>
      <w:proofErr w:type="gramStart"/>
      <w:r w:rsidR="005727FB">
        <w:rPr>
          <w:lang w:bidi="he-IL"/>
        </w:rPr>
        <w:t xml:space="preserve">20  </w:t>
      </w:r>
      <w:r>
        <w:rPr>
          <w:lang w:bidi="he-IL"/>
        </w:rPr>
        <w:t>Abraham</w:t>
      </w:r>
      <w:proofErr w:type="gramEnd"/>
      <w:r>
        <w:rPr>
          <w:lang w:bidi="he-IL"/>
        </w:rPr>
        <w:t xml:space="preserve"> builds nothing</w:t>
      </w:r>
    </w:p>
    <w:p w14:paraId="1F38E0D8" w14:textId="77777777" w:rsidR="000167CF" w:rsidRDefault="0060454F" w:rsidP="005727FB">
      <w:pPr>
        <w:pStyle w:val="ListParagraph"/>
        <w:tabs>
          <w:tab w:val="left" w:pos="0"/>
        </w:tabs>
        <w:ind w:left="0" w:firstLine="0"/>
        <w:rPr>
          <w:lang w:bidi="he-IL"/>
        </w:rPr>
      </w:pPr>
      <w:r>
        <w:rPr>
          <w:lang w:bidi="he-IL"/>
        </w:rPr>
        <w:t>12:8</w:t>
      </w:r>
      <w:r w:rsidR="005727FB">
        <w:rPr>
          <w:lang w:bidi="he-IL"/>
        </w:rPr>
        <w:tab/>
      </w:r>
      <w:r>
        <w:rPr>
          <w:lang w:bidi="he-IL"/>
        </w:rPr>
        <w:t>Abraham calls in Yahweh’s name</w:t>
      </w:r>
      <w:r>
        <w:rPr>
          <w:lang w:bidi="he-IL"/>
        </w:rPr>
        <w:tab/>
      </w:r>
      <w:r w:rsidR="005727FB">
        <w:rPr>
          <w:lang w:bidi="he-IL"/>
        </w:rPr>
        <w:t>13:1-4      Abraham returns and calls in Yahweh’s name</w:t>
      </w:r>
    </w:p>
    <w:p w14:paraId="64168F2A" w14:textId="77777777" w:rsidR="00F442D8" w:rsidRDefault="005727FB" w:rsidP="0060454F">
      <w:pPr>
        <w:pStyle w:val="ListParagraph"/>
        <w:ind w:left="0" w:firstLine="0"/>
        <w:rPr>
          <w:lang w:bidi="he-IL"/>
        </w:rPr>
      </w:pPr>
      <w:r>
        <w:rPr>
          <w:lang w:bidi="he-IL"/>
        </w:rPr>
        <w:t xml:space="preserve">   </w:t>
      </w:r>
    </w:p>
    <w:p w14:paraId="507F3026" w14:textId="41F58C4C" w:rsidR="0031491C" w:rsidRDefault="004F0AC1" w:rsidP="0060454F">
      <w:pPr>
        <w:pStyle w:val="ListParagraph"/>
        <w:ind w:left="0" w:firstLine="0"/>
        <w:rPr>
          <w:lang w:bidi="he-IL"/>
        </w:rPr>
      </w:pPr>
      <w:r>
        <w:rPr>
          <w:lang w:bidi="he-IL"/>
        </w:rPr>
        <w:t>I</w:t>
      </w:r>
      <w:r w:rsidR="0031491C">
        <w:rPr>
          <w:lang w:bidi="he-IL"/>
        </w:rPr>
        <w:t>f 12:1-8</w:t>
      </w:r>
      <w:r w:rsidR="00BB1D1A">
        <w:rPr>
          <w:lang w:bidi="he-IL"/>
        </w:rPr>
        <w:t xml:space="preserve"> is programmatic for Abraham’s</w:t>
      </w:r>
      <w:r w:rsidR="0031491C" w:rsidRPr="0031491C">
        <w:rPr>
          <w:lang w:bidi="he-IL"/>
        </w:rPr>
        <w:t xml:space="preserve"> story, so is 12:9—13:4.</w:t>
      </w:r>
      <w:r w:rsidR="0031491C" w:rsidRPr="0031491C">
        <w:rPr>
          <w:vertAlign w:val="superscript"/>
          <w:lang w:bidi="he-IL"/>
        </w:rPr>
        <w:footnoteReference w:id="79"/>
      </w:r>
      <w:r w:rsidR="0031491C" w:rsidRPr="0031491C">
        <w:rPr>
          <w:lang w:bidi="he-IL"/>
        </w:rPr>
        <w:t xml:space="preserve"> </w:t>
      </w:r>
    </w:p>
    <w:p w14:paraId="63C4F6B5" w14:textId="185038D6" w:rsidR="00BB1D1A" w:rsidRDefault="0031491C" w:rsidP="00BB1D1A">
      <w:pPr>
        <w:pStyle w:val="ListParagraph"/>
        <w:ind w:left="0" w:firstLine="0"/>
        <w:rPr>
          <w:lang w:bidi="he-IL"/>
        </w:rPr>
      </w:pPr>
      <w:r>
        <w:rPr>
          <w:lang w:bidi="he-IL"/>
        </w:rPr>
        <w:tab/>
      </w:r>
      <w:r w:rsidR="00206E76">
        <w:t>T</w:t>
      </w:r>
      <w:r w:rsidR="00943474">
        <w:rPr>
          <w:lang w:bidi="he-IL"/>
        </w:rPr>
        <w:t>he</w:t>
      </w:r>
      <w:r>
        <w:rPr>
          <w:lang w:bidi="he-IL"/>
        </w:rPr>
        <w:t xml:space="preserve"> story starts from the way God’s promises may not </w:t>
      </w:r>
      <w:r w:rsidR="00943474">
        <w:rPr>
          <w:lang w:bidi="he-IL"/>
        </w:rPr>
        <w:t>find fulfillment in the way one might reasonably expect, from the way peop</w:t>
      </w:r>
      <w:r>
        <w:rPr>
          <w:lang w:bidi="he-IL"/>
        </w:rPr>
        <w:t>le sometimes cope with that experience</w:t>
      </w:r>
      <w:r w:rsidR="00943474">
        <w:rPr>
          <w:lang w:bidi="he-IL"/>
        </w:rPr>
        <w:t>, and from the way God sometimes deals with the consequences of their actions for the sake of h</w:t>
      </w:r>
      <w:r w:rsidR="00206E76">
        <w:rPr>
          <w:lang w:bidi="he-IL"/>
        </w:rPr>
        <w:t>is wider purpose.</w:t>
      </w:r>
      <w:r w:rsidR="00AE56CF">
        <w:rPr>
          <w:lang w:bidi="he-IL"/>
        </w:rPr>
        <w:t xml:space="preserve"> </w:t>
      </w:r>
      <w:r w:rsidR="00943474">
        <w:rPr>
          <w:lang w:bidi="he-IL"/>
        </w:rPr>
        <w:t>Abraham starts off by trying to do the responsible and right thing, but gets himself into a mes</w:t>
      </w:r>
      <w:r>
        <w:rPr>
          <w:lang w:bidi="he-IL"/>
        </w:rPr>
        <w:t>s from</w:t>
      </w:r>
      <w:r w:rsidR="00943474">
        <w:rPr>
          <w:lang w:bidi="he-IL"/>
        </w:rPr>
        <w:t xml:space="preserve"> which Yahweh res</w:t>
      </w:r>
      <w:r w:rsidR="00BB1D1A">
        <w:rPr>
          <w:lang w:bidi="he-IL"/>
        </w:rPr>
        <w:t>cues him without rebuking him.</w:t>
      </w:r>
      <w:r w:rsidR="00BB1D1A">
        <w:rPr>
          <w:lang w:val="en-GB" w:bidi="he-IL"/>
        </w:rPr>
        <w:t xml:space="preserve"> </w:t>
      </w:r>
      <w:r w:rsidR="00BB1D1A" w:rsidRPr="0031491C">
        <w:rPr>
          <w:i/>
          <w:lang w:bidi="he-IL"/>
        </w:rPr>
        <w:t>GenR</w:t>
      </w:r>
      <w:r w:rsidR="00BB1D1A">
        <w:rPr>
          <w:lang w:bidi="he-IL"/>
        </w:rPr>
        <w:t xml:space="preserve"> 40:1 comments </w:t>
      </w:r>
      <w:r w:rsidR="00BB1D1A">
        <w:t>that Psalm 33:18-19 “refers to Abraham”:</w:t>
      </w:r>
    </w:p>
    <w:p w14:paraId="16397352" w14:textId="77777777" w:rsidR="00BB1D1A" w:rsidRDefault="00BB1D1A" w:rsidP="00BB1D1A">
      <w:pPr>
        <w:pStyle w:val="ListParagraph"/>
        <w:ind w:left="0" w:firstLine="0"/>
        <w:rPr>
          <w:lang w:bidi="he-IL"/>
        </w:rPr>
      </w:pPr>
    </w:p>
    <w:p w14:paraId="3509C40A" w14:textId="77777777" w:rsidR="00BB1D1A" w:rsidRDefault="00BB1D1A" w:rsidP="00BB1D1A">
      <w:pPr>
        <w:rPr>
          <w:lang w:bidi="he-IL"/>
        </w:rPr>
      </w:pPr>
      <w:r>
        <w:t xml:space="preserve">Yahweh’s eye is on people who revere him, </w:t>
      </w:r>
    </w:p>
    <w:p w14:paraId="52B296C3" w14:textId="77777777" w:rsidR="00BB1D1A" w:rsidRDefault="00BB1D1A" w:rsidP="00BB1D1A">
      <w:r>
        <w:tab/>
      </w:r>
      <w:proofErr w:type="gramStart"/>
      <w:r>
        <w:t>on</w:t>
      </w:r>
      <w:proofErr w:type="gramEnd"/>
      <w:r>
        <w:t xml:space="preserve"> people who wait for his commitment,</w:t>
      </w:r>
    </w:p>
    <w:p w14:paraId="284E9C98" w14:textId="77777777" w:rsidR="00BB1D1A" w:rsidRDefault="00BB1D1A" w:rsidP="00BB1D1A">
      <w:r>
        <w:lastRenderedPageBreak/>
        <w:t xml:space="preserve">To rescue them from death, </w:t>
      </w:r>
    </w:p>
    <w:p w14:paraId="6ADA4051" w14:textId="77777777" w:rsidR="00BB1D1A" w:rsidRDefault="00BB1D1A" w:rsidP="00BB1D1A">
      <w:r>
        <w:tab/>
      </w:r>
      <w:proofErr w:type="gramStart"/>
      <w:r>
        <w:t>to</w:t>
      </w:r>
      <w:proofErr w:type="gramEnd"/>
      <w:r>
        <w:t xml:space="preserve"> keep them alive when food is gone. (Ps 33:18-19)</w:t>
      </w:r>
    </w:p>
    <w:p w14:paraId="4A6BE6E2" w14:textId="77777777" w:rsidR="00BB1D1A" w:rsidRDefault="00BB1D1A" w:rsidP="00BB1D1A">
      <w:pPr>
        <w:pStyle w:val="ListParagraph"/>
        <w:ind w:left="0" w:firstLine="0"/>
        <w:rPr>
          <w:lang w:bidi="he-IL"/>
        </w:rPr>
      </w:pPr>
    </w:p>
    <w:p w14:paraId="3E7B2940" w14:textId="1DD3EE2F" w:rsidR="00943474" w:rsidRDefault="00943474" w:rsidP="00BB1D1A">
      <w:pPr>
        <w:pStyle w:val="ListParagraph"/>
        <w:ind w:left="0" w:firstLine="0"/>
      </w:pPr>
      <w:r>
        <w:rPr>
          <w:lang w:bidi="he-IL"/>
        </w:rPr>
        <w:t>I</w:t>
      </w:r>
      <w:r w:rsidRPr="00D754FE">
        <w:rPr>
          <w:lang w:bidi="he-IL"/>
        </w:rPr>
        <w:t xml:space="preserve">t’s </w:t>
      </w:r>
      <w:r w:rsidR="00206E76">
        <w:rPr>
          <w:lang w:bidi="he-IL"/>
        </w:rPr>
        <w:t xml:space="preserve">not obvious that </w:t>
      </w:r>
      <w:r w:rsidRPr="00D754FE">
        <w:rPr>
          <w:lang w:bidi="he-IL"/>
        </w:rPr>
        <w:t xml:space="preserve">at this moment </w:t>
      </w:r>
      <w:r w:rsidR="00206E76">
        <w:rPr>
          <w:lang w:bidi="he-IL"/>
        </w:rPr>
        <w:t xml:space="preserve">he </w:t>
      </w:r>
      <w:r w:rsidRPr="00D754FE">
        <w:rPr>
          <w:lang w:bidi="he-IL"/>
        </w:rPr>
        <w:t xml:space="preserve">is one who </w:t>
      </w:r>
      <w:r w:rsidR="0031491C">
        <w:rPr>
          <w:lang w:bidi="he-IL"/>
        </w:rPr>
        <w:t>“</w:t>
      </w:r>
      <w:r w:rsidRPr="00D754FE">
        <w:rPr>
          <w:lang w:bidi="he-IL"/>
        </w:rPr>
        <w:t>reveres</w:t>
      </w:r>
      <w:r w:rsidR="0031491C">
        <w:rPr>
          <w:lang w:bidi="he-IL"/>
        </w:rPr>
        <w:t>”</w:t>
      </w:r>
      <w:r w:rsidRPr="00D754FE">
        <w:rPr>
          <w:lang w:bidi="he-IL"/>
        </w:rPr>
        <w:t xml:space="preserve"> or </w:t>
      </w:r>
      <w:r w:rsidR="0031491C">
        <w:rPr>
          <w:lang w:bidi="he-IL"/>
        </w:rPr>
        <w:t>“</w:t>
      </w:r>
      <w:r w:rsidR="00BB1D1A">
        <w:rPr>
          <w:lang w:bidi="he-IL"/>
        </w:rPr>
        <w:t>waits</w:t>
      </w:r>
      <w:r w:rsidR="0031491C">
        <w:rPr>
          <w:lang w:bidi="he-IL"/>
        </w:rPr>
        <w:t>”</w:t>
      </w:r>
      <w:r w:rsidR="00BB1D1A">
        <w:rPr>
          <w:lang w:bidi="he-IL"/>
        </w:rPr>
        <w:t>;</w:t>
      </w:r>
      <w:r w:rsidRPr="00D754FE">
        <w:rPr>
          <w:lang w:bidi="he-IL"/>
        </w:rPr>
        <w:t xml:space="preserve"> </w:t>
      </w:r>
      <w:r w:rsidR="00BB1D1A">
        <w:rPr>
          <w:lang w:bidi="he-IL"/>
        </w:rPr>
        <w:t>the story does not aim</w:t>
      </w:r>
      <w:r w:rsidR="00206E76">
        <w:rPr>
          <w:lang w:bidi="he-IL"/>
        </w:rPr>
        <w:t xml:space="preserve"> to provide readers</w:t>
      </w:r>
      <w:r>
        <w:rPr>
          <w:lang w:bidi="he-IL"/>
        </w:rPr>
        <w:t xml:space="preserve"> with </w:t>
      </w:r>
      <w:r w:rsidR="00206E76">
        <w:rPr>
          <w:lang w:bidi="he-IL"/>
        </w:rPr>
        <w:t xml:space="preserve">either </w:t>
      </w:r>
      <w:r>
        <w:rPr>
          <w:lang w:bidi="he-IL"/>
        </w:rPr>
        <w:t xml:space="preserve">a good </w:t>
      </w:r>
      <w:r w:rsidR="00206E76">
        <w:rPr>
          <w:lang w:bidi="he-IL"/>
        </w:rPr>
        <w:t xml:space="preserve">or a bad </w:t>
      </w:r>
      <w:r>
        <w:rPr>
          <w:lang w:bidi="he-IL"/>
        </w:rPr>
        <w:t>example of</w:t>
      </w:r>
      <w:r w:rsidR="00206E76">
        <w:rPr>
          <w:lang w:bidi="he-IL"/>
        </w:rPr>
        <w:t xml:space="preserve"> faithfulness</w:t>
      </w:r>
      <w:r>
        <w:rPr>
          <w:lang w:bidi="he-IL"/>
        </w:rPr>
        <w:t>. It’s about God’s faithful</w:t>
      </w:r>
      <w:r w:rsidR="00BB1D1A">
        <w:rPr>
          <w:lang w:bidi="he-IL"/>
        </w:rPr>
        <w:t>ness to his purpose, even when</w:t>
      </w:r>
      <w:r w:rsidR="00206E76">
        <w:rPr>
          <w:lang w:bidi="he-IL"/>
        </w:rPr>
        <w:t xml:space="preserve"> his people</w:t>
      </w:r>
      <w:r>
        <w:rPr>
          <w:lang w:bidi="he-IL"/>
        </w:rPr>
        <w:t xml:space="preserve"> are unfaithful. It’s less an account </w:t>
      </w:r>
      <w:r w:rsidR="0031491C">
        <w:rPr>
          <w:lang w:bidi="he-IL"/>
        </w:rPr>
        <w:t>of a trial of Abraham’s faith than an indication</w:t>
      </w:r>
      <w:r>
        <w:rPr>
          <w:lang w:bidi="he-IL"/>
        </w:rPr>
        <w:t xml:space="preserve"> of how the God who gave Abraham his promises “now also watches over him and his wife, to the extent even of rescuing him from dangers which he has brought on himself.”</w:t>
      </w:r>
      <w:r>
        <w:rPr>
          <w:rStyle w:val="FootnoteReference"/>
          <w:lang w:bidi="he-IL"/>
        </w:rPr>
        <w:footnoteReference w:id="80"/>
      </w:r>
      <w:r>
        <w:rPr>
          <w:lang w:bidi="he-IL"/>
        </w:rPr>
        <w:t xml:space="preserve"> Thus “may God be true, but every human being a liar” (Rom 3:4, quoting Ps 116:11).</w:t>
      </w:r>
    </w:p>
    <w:p w14:paraId="15EA557E" w14:textId="375BE384" w:rsidR="00DA2C77" w:rsidRDefault="00206E76" w:rsidP="00DA2C77">
      <w:pPr>
        <w:rPr>
          <w:lang w:val="en-GB" w:bidi="he-IL"/>
        </w:rPr>
      </w:pPr>
      <w:r>
        <w:rPr>
          <w:lang w:val="en-GB" w:bidi="he-IL"/>
        </w:rPr>
        <w:t>A</w:t>
      </w:r>
      <w:r w:rsidR="00BB1D1A">
        <w:rPr>
          <w:lang w:val="en-GB" w:bidi="he-IL"/>
        </w:rPr>
        <w:t>s commonly happens</w:t>
      </w:r>
      <w:r w:rsidR="00DA2C77">
        <w:rPr>
          <w:lang w:val="en-GB" w:bidi="he-IL"/>
        </w:rPr>
        <w:t xml:space="preserve"> </w:t>
      </w:r>
      <w:r>
        <w:rPr>
          <w:lang w:val="en-GB" w:bidi="he-IL"/>
        </w:rPr>
        <w:t>in a story, the movement from question</w:t>
      </w:r>
      <w:r w:rsidR="000167CF">
        <w:rPr>
          <w:lang w:val="en-GB" w:bidi="he-IL"/>
        </w:rPr>
        <w:t xml:space="preserve"> </w:t>
      </w:r>
      <w:r w:rsidR="00DA2C77">
        <w:rPr>
          <w:lang w:val="en-GB" w:bidi="he-IL"/>
        </w:rPr>
        <w:t>to answer is complicated.</w:t>
      </w:r>
      <w:r w:rsidR="00727890">
        <w:rPr>
          <w:lang w:val="en-GB" w:bidi="he-IL"/>
        </w:rPr>
        <w:t xml:space="preserve"> </w:t>
      </w:r>
      <w:r w:rsidR="002A2F39">
        <w:rPr>
          <w:lang w:val="en-GB" w:bidi="he-IL"/>
        </w:rPr>
        <w:t>Further, the narrative often do</w:t>
      </w:r>
      <w:r>
        <w:rPr>
          <w:lang w:val="en-GB" w:bidi="he-IL"/>
        </w:rPr>
        <w:t>es not comment on what people a</w:t>
      </w:r>
      <w:r w:rsidR="002A2F39">
        <w:rPr>
          <w:lang w:val="en-GB" w:bidi="he-IL"/>
        </w:rPr>
        <w:t xml:space="preserve">re thinking. </w:t>
      </w:r>
      <w:r w:rsidR="000167CF">
        <w:rPr>
          <w:lang w:val="en-GB" w:bidi="he-IL"/>
        </w:rPr>
        <w:t xml:space="preserve">Two pieces of speech dominate the story, one by Abraham, one by Pharaoh, and both look for a response, but neither gets a response in words, only in action. </w:t>
      </w:r>
      <w:r w:rsidR="00BB1D1A">
        <w:rPr>
          <w:lang w:val="en-GB" w:bidi="he-IL"/>
        </w:rPr>
        <w:t xml:space="preserve">One </w:t>
      </w:r>
      <w:r w:rsidR="002A2F39">
        <w:rPr>
          <w:lang w:val="en-GB" w:bidi="he-IL"/>
        </w:rPr>
        <w:t>has to see what can be inferred from their a</w:t>
      </w:r>
      <w:r>
        <w:rPr>
          <w:lang w:val="en-GB" w:bidi="he-IL"/>
        </w:rPr>
        <w:t>ctions, which may show what the people</w:t>
      </w:r>
      <w:r w:rsidR="002A2F39">
        <w:rPr>
          <w:lang w:val="en-GB" w:bidi="he-IL"/>
        </w:rPr>
        <w:t xml:space="preserve"> are thinking.</w:t>
      </w:r>
      <w:r w:rsidR="000167CF">
        <w:rPr>
          <w:lang w:val="en-GB" w:bidi="he-IL"/>
        </w:rPr>
        <w:t xml:space="preserve"> The q</w:t>
      </w:r>
      <w:r>
        <w:rPr>
          <w:lang w:val="en-GB" w:bidi="he-IL"/>
        </w:rPr>
        <w:t>uestions and the response</w:t>
      </w:r>
      <w:r w:rsidR="000167CF">
        <w:rPr>
          <w:lang w:val="en-GB" w:bidi="he-IL"/>
        </w:rPr>
        <w:t xml:space="preserve">s and their possible implications </w:t>
      </w:r>
      <w:r w:rsidR="004F37BA">
        <w:rPr>
          <w:lang w:val="en-GB" w:bidi="he-IL"/>
        </w:rPr>
        <w:t xml:space="preserve">then </w:t>
      </w:r>
      <w:r w:rsidR="000167CF">
        <w:rPr>
          <w:lang w:val="en-GB" w:bidi="he-IL"/>
        </w:rPr>
        <w:t>are:</w:t>
      </w:r>
    </w:p>
    <w:p w14:paraId="59DE8310" w14:textId="77777777" w:rsidR="002A2F39" w:rsidRDefault="002A2F39" w:rsidP="00DA2C77">
      <w:pPr>
        <w:rPr>
          <w:lang w:val="en-GB" w:bidi="he-IL"/>
        </w:rPr>
      </w:pPr>
    </w:p>
    <w:p w14:paraId="4856D0CF" w14:textId="77777777" w:rsidR="00DA2C77" w:rsidRDefault="00EC5EAB" w:rsidP="00DA2C77">
      <w:pPr>
        <w:rPr>
          <w:lang w:bidi="he-IL"/>
        </w:rPr>
      </w:pPr>
      <w:r>
        <w:rPr>
          <w:lang w:val="en-GB" w:bidi="he-IL"/>
        </w:rPr>
        <w:t>Question</w:t>
      </w:r>
      <w:r w:rsidR="00206E76">
        <w:rPr>
          <w:lang w:val="en-GB" w:bidi="he-IL"/>
        </w:rPr>
        <w:t>:</w:t>
      </w:r>
      <w:r w:rsidR="00DA2C77">
        <w:rPr>
          <w:lang w:val="en-GB" w:bidi="he-IL"/>
        </w:rPr>
        <w:t xml:space="preserve"> </w:t>
      </w:r>
      <w:r>
        <w:rPr>
          <w:lang w:val="en-GB" w:bidi="he-IL"/>
        </w:rPr>
        <w:tab/>
      </w:r>
      <w:r w:rsidR="00DA2C77">
        <w:rPr>
          <w:lang w:bidi="he-IL"/>
        </w:rPr>
        <w:t>What is Abraham to do about the food shortage?</w:t>
      </w:r>
    </w:p>
    <w:p w14:paraId="4595606D" w14:textId="77777777" w:rsidR="00DA2C77" w:rsidRDefault="00EC5EAB" w:rsidP="00BB1D1A">
      <w:pPr>
        <w:ind w:left="720"/>
        <w:rPr>
          <w:lang w:bidi="he-IL"/>
        </w:rPr>
      </w:pPr>
      <w:r>
        <w:rPr>
          <w:lang w:bidi="he-IL"/>
        </w:rPr>
        <w:t>Response</w:t>
      </w:r>
      <w:r w:rsidR="00206E76">
        <w:rPr>
          <w:lang w:bidi="he-IL"/>
        </w:rPr>
        <w:t>:</w:t>
      </w:r>
      <w:r w:rsidR="00DA2C77">
        <w:rPr>
          <w:lang w:bidi="he-IL"/>
        </w:rPr>
        <w:t xml:space="preserve"> </w:t>
      </w:r>
      <w:r>
        <w:rPr>
          <w:lang w:bidi="he-IL"/>
        </w:rPr>
        <w:tab/>
      </w:r>
      <w:r w:rsidR="00DA2C77">
        <w:rPr>
          <w:lang w:bidi="he-IL"/>
        </w:rPr>
        <w:t>Take everyone to Egypt.</w:t>
      </w:r>
    </w:p>
    <w:p w14:paraId="0EA11D87" w14:textId="77777777" w:rsidR="001D4D7D" w:rsidRPr="00DA2C77" w:rsidRDefault="00EC5EAB" w:rsidP="00BB1D1A">
      <w:pPr>
        <w:ind w:left="1440"/>
        <w:rPr>
          <w:lang w:val="en-GB" w:bidi="he-IL"/>
        </w:rPr>
      </w:pPr>
      <w:r>
        <w:rPr>
          <w:lang w:bidi="he-IL"/>
        </w:rPr>
        <w:t>Implication</w:t>
      </w:r>
      <w:r w:rsidR="00206E76">
        <w:rPr>
          <w:lang w:bidi="he-IL"/>
        </w:rPr>
        <w:t>:</w:t>
      </w:r>
      <w:r w:rsidR="001D4D7D">
        <w:rPr>
          <w:lang w:bidi="he-IL"/>
        </w:rPr>
        <w:t xml:space="preserve">   </w:t>
      </w:r>
      <w:r>
        <w:rPr>
          <w:lang w:bidi="he-IL"/>
        </w:rPr>
        <w:tab/>
      </w:r>
      <w:r w:rsidR="001D4D7D">
        <w:rPr>
          <w:lang w:bidi="he-IL"/>
        </w:rPr>
        <w:t>There was nothing wrong with this action?</w:t>
      </w:r>
    </w:p>
    <w:p w14:paraId="55F6750C" w14:textId="3DFE85A7" w:rsidR="00DA2C77" w:rsidRDefault="00EC5EAB" w:rsidP="00DA2C77">
      <w:pPr>
        <w:pStyle w:val="ListParagraph"/>
        <w:ind w:left="720" w:firstLine="0"/>
        <w:rPr>
          <w:lang w:bidi="he-IL"/>
        </w:rPr>
      </w:pPr>
      <w:r>
        <w:rPr>
          <w:lang w:bidi="he-IL"/>
        </w:rPr>
        <w:t>Question</w:t>
      </w:r>
      <w:r w:rsidR="00206E76">
        <w:rPr>
          <w:lang w:bidi="he-IL"/>
        </w:rPr>
        <w:t>:</w:t>
      </w:r>
      <w:r w:rsidR="00DA2C77">
        <w:rPr>
          <w:lang w:bidi="he-IL"/>
        </w:rPr>
        <w:t xml:space="preserve"> </w:t>
      </w:r>
      <w:r>
        <w:rPr>
          <w:lang w:bidi="he-IL"/>
        </w:rPr>
        <w:tab/>
      </w:r>
      <w:r w:rsidR="00DA2C77">
        <w:rPr>
          <w:lang w:bidi="he-IL"/>
        </w:rPr>
        <w:t>Unexpected p</w:t>
      </w:r>
      <w:r w:rsidR="00BB1D1A">
        <w:rPr>
          <w:lang w:bidi="he-IL"/>
        </w:rPr>
        <w:t>roblem: what’</w:t>
      </w:r>
      <w:r w:rsidR="00DA2C77">
        <w:rPr>
          <w:lang w:bidi="he-IL"/>
        </w:rPr>
        <w:t>s he to do about the danger there?</w:t>
      </w:r>
    </w:p>
    <w:p w14:paraId="6AF51F41" w14:textId="77777777" w:rsidR="00DA2C77" w:rsidRDefault="00EC5EAB" w:rsidP="00BB1D1A">
      <w:pPr>
        <w:pStyle w:val="ListParagraph"/>
        <w:ind w:left="720" w:firstLine="720"/>
        <w:rPr>
          <w:lang w:bidi="he-IL"/>
        </w:rPr>
      </w:pPr>
      <w:r>
        <w:rPr>
          <w:lang w:bidi="he-IL"/>
        </w:rPr>
        <w:t>Response</w:t>
      </w:r>
      <w:r w:rsidR="00206E76">
        <w:rPr>
          <w:lang w:bidi="he-IL"/>
        </w:rPr>
        <w:t>:</w:t>
      </w:r>
      <w:r w:rsidR="00DA2C77">
        <w:rPr>
          <w:lang w:bidi="he-IL"/>
        </w:rPr>
        <w:t xml:space="preserve"> </w:t>
      </w:r>
      <w:r>
        <w:rPr>
          <w:lang w:bidi="he-IL"/>
        </w:rPr>
        <w:tab/>
      </w:r>
      <w:r w:rsidR="00DA2C77">
        <w:rPr>
          <w:lang w:bidi="he-IL"/>
        </w:rPr>
        <w:t>Say Sarah is his sister.</w:t>
      </w:r>
    </w:p>
    <w:p w14:paraId="58BCEEE8" w14:textId="77777777" w:rsidR="001D4D7D" w:rsidRDefault="00EC5EAB" w:rsidP="00BB1D1A">
      <w:pPr>
        <w:pStyle w:val="ListParagraph"/>
        <w:ind w:left="2160" w:firstLine="720"/>
        <w:rPr>
          <w:lang w:bidi="he-IL"/>
        </w:rPr>
      </w:pPr>
      <w:r>
        <w:rPr>
          <w:lang w:bidi="he-IL"/>
        </w:rPr>
        <w:t>Implication</w:t>
      </w:r>
      <w:r w:rsidR="00206E76">
        <w:rPr>
          <w:lang w:bidi="he-IL"/>
        </w:rPr>
        <w:t>:</w:t>
      </w:r>
      <w:r w:rsidR="004F37BA">
        <w:rPr>
          <w:lang w:bidi="he-IL"/>
        </w:rPr>
        <w:t xml:space="preserve">   </w:t>
      </w:r>
      <w:r>
        <w:rPr>
          <w:lang w:bidi="he-IL"/>
        </w:rPr>
        <w:tab/>
      </w:r>
      <w:r w:rsidR="004F37BA">
        <w:rPr>
          <w:lang w:bidi="he-IL"/>
        </w:rPr>
        <w:t>Sarah agrees?</w:t>
      </w:r>
    </w:p>
    <w:p w14:paraId="63262281" w14:textId="1CED8EBE" w:rsidR="00DA2C77" w:rsidRDefault="00EC5EAB" w:rsidP="00DA2C77">
      <w:pPr>
        <w:pStyle w:val="ListParagraph"/>
        <w:ind w:left="720" w:firstLine="0"/>
        <w:rPr>
          <w:lang w:bidi="he-IL"/>
        </w:rPr>
      </w:pPr>
      <w:r>
        <w:rPr>
          <w:lang w:bidi="he-IL"/>
        </w:rPr>
        <w:t>Question</w:t>
      </w:r>
      <w:r w:rsidR="00206E76">
        <w:rPr>
          <w:lang w:bidi="he-IL"/>
        </w:rPr>
        <w:t>:</w:t>
      </w:r>
      <w:r w:rsidR="00DA2C77">
        <w:rPr>
          <w:lang w:bidi="he-IL"/>
        </w:rPr>
        <w:t xml:space="preserve"> </w:t>
      </w:r>
      <w:r>
        <w:rPr>
          <w:lang w:bidi="he-IL"/>
        </w:rPr>
        <w:tab/>
      </w:r>
      <w:r w:rsidR="00BB1D1A">
        <w:rPr>
          <w:lang w:bidi="he-IL"/>
        </w:rPr>
        <w:t>Unexpected problem: what’</w:t>
      </w:r>
      <w:r w:rsidR="00DA2C77">
        <w:rPr>
          <w:lang w:bidi="he-IL"/>
        </w:rPr>
        <w:t>s he to do about Sarah getting put in the harem?</w:t>
      </w:r>
    </w:p>
    <w:p w14:paraId="4906A21A" w14:textId="77777777" w:rsidR="00DA2C77" w:rsidRDefault="00EC5EAB" w:rsidP="00BB1D1A">
      <w:pPr>
        <w:pStyle w:val="ListParagraph"/>
        <w:ind w:left="720" w:firstLine="720"/>
        <w:rPr>
          <w:lang w:bidi="he-IL"/>
        </w:rPr>
      </w:pPr>
      <w:r>
        <w:rPr>
          <w:lang w:bidi="he-IL"/>
        </w:rPr>
        <w:t>Response</w:t>
      </w:r>
      <w:r w:rsidR="00206E76">
        <w:rPr>
          <w:lang w:bidi="he-IL"/>
        </w:rPr>
        <w:t>:</w:t>
      </w:r>
      <w:r w:rsidR="00DA2C77">
        <w:rPr>
          <w:lang w:bidi="he-IL"/>
        </w:rPr>
        <w:t xml:space="preserve"> </w:t>
      </w:r>
      <w:r>
        <w:rPr>
          <w:lang w:bidi="he-IL"/>
        </w:rPr>
        <w:tab/>
      </w:r>
      <w:r w:rsidR="00DA2C77">
        <w:rPr>
          <w:lang w:bidi="he-IL"/>
        </w:rPr>
        <w:t>Collect the money.</w:t>
      </w:r>
    </w:p>
    <w:p w14:paraId="1E85A739" w14:textId="77777777" w:rsidR="001D4D7D" w:rsidRDefault="00EC5EAB" w:rsidP="00BB1D1A">
      <w:pPr>
        <w:pStyle w:val="ListParagraph"/>
        <w:ind w:left="2160" w:firstLine="720"/>
        <w:rPr>
          <w:lang w:bidi="he-IL"/>
        </w:rPr>
      </w:pPr>
      <w:r>
        <w:rPr>
          <w:lang w:bidi="he-IL"/>
        </w:rPr>
        <w:t>Implication</w:t>
      </w:r>
      <w:r w:rsidR="00206E76">
        <w:rPr>
          <w:lang w:bidi="he-IL"/>
        </w:rPr>
        <w:t>:</w:t>
      </w:r>
      <w:r w:rsidR="004F37BA">
        <w:rPr>
          <w:lang w:bidi="he-IL"/>
        </w:rPr>
        <w:t xml:space="preserve">   </w:t>
      </w:r>
      <w:r>
        <w:rPr>
          <w:lang w:bidi="he-IL"/>
        </w:rPr>
        <w:tab/>
      </w:r>
      <w:r w:rsidR="004F37BA">
        <w:rPr>
          <w:lang w:bidi="he-IL"/>
        </w:rPr>
        <w:t>He can c</w:t>
      </w:r>
      <w:r w:rsidR="001D4D7D">
        <w:rPr>
          <w:lang w:bidi="he-IL"/>
        </w:rPr>
        <w:t>ongratulate himself and thank God?</w:t>
      </w:r>
    </w:p>
    <w:p w14:paraId="086CFF24" w14:textId="0F6A6DAC" w:rsidR="00DA2C77" w:rsidRDefault="00EC5EAB" w:rsidP="00DA2C77">
      <w:pPr>
        <w:pStyle w:val="ListParagraph"/>
        <w:ind w:left="720" w:firstLine="0"/>
        <w:rPr>
          <w:lang w:bidi="he-IL"/>
        </w:rPr>
      </w:pPr>
      <w:r>
        <w:rPr>
          <w:lang w:bidi="he-IL"/>
        </w:rPr>
        <w:t>Question</w:t>
      </w:r>
      <w:r w:rsidR="00206E76">
        <w:rPr>
          <w:lang w:bidi="he-IL"/>
        </w:rPr>
        <w:t>:</w:t>
      </w:r>
      <w:r w:rsidR="00DA2C77">
        <w:rPr>
          <w:lang w:bidi="he-IL"/>
        </w:rPr>
        <w:t xml:space="preserve"> </w:t>
      </w:r>
      <w:r>
        <w:rPr>
          <w:lang w:bidi="he-IL"/>
        </w:rPr>
        <w:tab/>
      </w:r>
      <w:r w:rsidR="00BB1D1A">
        <w:rPr>
          <w:lang w:bidi="he-IL"/>
        </w:rPr>
        <w:t>Unexpected problem: what’</w:t>
      </w:r>
      <w:r w:rsidR="00DA2C77">
        <w:rPr>
          <w:lang w:bidi="he-IL"/>
        </w:rPr>
        <w:t xml:space="preserve">s he to do about </w:t>
      </w:r>
      <w:r w:rsidR="004F37BA">
        <w:rPr>
          <w:lang w:bidi="he-IL"/>
        </w:rPr>
        <w:t>Ph</w:t>
      </w:r>
      <w:r w:rsidR="00DA2C77">
        <w:rPr>
          <w:lang w:bidi="he-IL"/>
        </w:rPr>
        <w:t>araoh’s rebuke?</w:t>
      </w:r>
    </w:p>
    <w:p w14:paraId="5884BBDA" w14:textId="652CCB24" w:rsidR="00DA2C77" w:rsidRDefault="00EC5EAB" w:rsidP="00BB1D1A">
      <w:pPr>
        <w:pStyle w:val="ListParagraph"/>
        <w:ind w:left="720" w:firstLine="720"/>
        <w:rPr>
          <w:lang w:bidi="he-IL"/>
        </w:rPr>
      </w:pPr>
      <w:r>
        <w:rPr>
          <w:lang w:bidi="he-IL"/>
        </w:rPr>
        <w:t>Response</w:t>
      </w:r>
      <w:r w:rsidR="00206E76">
        <w:rPr>
          <w:lang w:bidi="he-IL"/>
        </w:rPr>
        <w:t>:</w:t>
      </w:r>
      <w:r w:rsidR="00DA2C77">
        <w:rPr>
          <w:lang w:bidi="he-IL"/>
        </w:rPr>
        <w:t xml:space="preserve"> </w:t>
      </w:r>
      <w:r>
        <w:rPr>
          <w:lang w:bidi="he-IL"/>
        </w:rPr>
        <w:tab/>
      </w:r>
      <w:r w:rsidR="00BB1D1A">
        <w:rPr>
          <w:lang w:bidi="he-IL"/>
        </w:rPr>
        <w:t>Take the money and run</w:t>
      </w:r>
      <w:r w:rsidR="00DA2C77">
        <w:rPr>
          <w:lang w:bidi="he-IL"/>
        </w:rPr>
        <w:t>.</w:t>
      </w:r>
    </w:p>
    <w:p w14:paraId="772787BD" w14:textId="77777777" w:rsidR="001D4D7D" w:rsidRDefault="00EC5EAB" w:rsidP="00BB1D1A">
      <w:pPr>
        <w:pStyle w:val="ListParagraph"/>
        <w:ind w:left="2160" w:firstLine="720"/>
        <w:rPr>
          <w:lang w:bidi="he-IL"/>
        </w:rPr>
      </w:pPr>
      <w:r>
        <w:rPr>
          <w:lang w:bidi="he-IL"/>
        </w:rPr>
        <w:t>Implication</w:t>
      </w:r>
      <w:r w:rsidR="00206E76">
        <w:rPr>
          <w:lang w:bidi="he-IL"/>
        </w:rPr>
        <w:t>:</w:t>
      </w:r>
      <w:r w:rsidR="001D4D7D">
        <w:rPr>
          <w:lang w:bidi="he-IL"/>
        </w:rPr>
        <w:t xml:space="preserve">   </w:t>
      </w:r>
      <w:r>
        <w:rPr>
          <w:lang w:bidi="he-IL"/>
        </w:rPr>
        <w:tab/>
      </w:r>
      <w:r w:rsidR="004F37BA">
        <w:rPr>
          <w:lang w:bidi="he-IL"/>
        </w:rPr>
        <w:t>He needs to g</w:t>
      </w:r>
      <w:r w:rsidR="001D4D7D">
        <w:rPr>
          <w:lang w:bidi="he-IL"/>
        </w:rPr>
        <w:t>et back to the way things were.</w:t>
      </w:r>
    </w:p>
    <w:p w14:paraId="428F4CEE" w14:textId="77777777" w:rsidR="002A2F39" w:rsidRDefault="002A2F39" w:rsidP="00DA2C77">
      <w:pPr>
        <w:pStyle w:val="ListParagraph"/>
        <w:ind w:left="720" w:firstLine="0"/>
        <w:rPr>
          <w:lang w:bidi="he-IL"/>
        </w:rPr>
      </w:pPr>
    </w:p>
    <w:p w14:paraId="0E871643" w14:textId="124CC5BE" w:rsidR="000167CF" w:rsidRPr="000167CF" w:rsidRDefault="00F45751" w:rsidP="004F37BA">
      <w:pPr>
        <w:pStyle w:val="ListParagraph"/>
        <w:ind w:left="90" w:firstLine="0"/>
        <w:rPr>
          <w:lang w:val="en-GB" w:bidi="he-IL"/>
        </w:rPr>
      </w:pPr>
      <w:r>
        <w:rPr>
          <w:lang w:val="en-GB" w:bidi="he-IL"/>
        </w:rPr>
        <w:t>T</w:t>
      </w:r>
      <w:r w:rsidR="004F37BA">
        <w:rPr>
          <w:lang w:val="en-GB" w:bidi="he-IL"/>
        </w:rPr>
        <w:t>he lack of overt response to the words of Abra</w:t>
      </w:r>
      <w:r w:rsidR="00BF4EE8">
        <w:rPr>
          <w:lang w:val="en-GB" w:bidi="he-IL"/>
        </w:rPr>
        <w:t>ha</w:t>
      </w:r>
      <w:r w:rsidR="004F37BA">
        <w:rPr>
          <w:lang w:val="en-GB" w:bidi="he-IL"/>
        </w:rPr>
        <w:t>m and</w:t>
      </w:r>
      <w:r w:rsidR="00BB1D1A">
        <w:rPr>
          <w:lang w:val="en-GB" w:bidi="he-IL"/>
        </w:rPr>
        <w:t xml:space="preserve"> </w:t>
      </w:r>
      <w:r>
        <w:rPr>
          <w:lang w:val="en-GB" w:bidi="he-IL"/>
        </w:rPr>
        <w:t xml:space="preserve">Pharaoh means that their words </w:t>
      </w:r>
      <w:r w:rsidR="004F37BA">
        <w:rPr>
          <w:lang w:val="en-GB" w:bidi="he-IL"/>
        </w:rPr>
        <w:t>s</w:t>
      </w:r>
      <w:r w:rsidR="000167CF" w:rsidRPr="000167CF">
        <w:rPr>
          <w:lang w:val="en-GB" w:bidi="he-IL"/>
        </w:rPr>
        <w:t>tand with force in their own right</w:t>
      </w:r>
      <w:r>
        <w:rPr>
          <w:lang w:val="en-GB" w:bidi="he-IL"/>
        </w:rPr>
        <w:t>,</w:t>
      </w:r>
      <w:r w:rsidR="000167CF" w:rsidRPr="000167CF">
        <w:rPr>
          <w:lang w:val="en-GB" w:bidi="he-IL"/>
        </w:rPr>
        <w:t xml:space="preserve"> inviting a response from the audience: what do you think of what Abraham says—what would you say if you were Sarah? What do you think of what Pharaoh says—what would you say if you were Abraham?</w:t>
      </w:r>
    </w:p>
    <w:p w14:paraId="6F6DCCF9" w14:textId="77777777" w:rsidR="002A2F39" w:rsidRDefault="002A2F39" w:rsidP="002A2F39">
      <w:pPr>
        <w:pStyle w:val="ListParagraph"/>
        <w:ind w:left="0" w:firstLine="720"/>
        <w:rPr>
          <w:lang w:bidi="he-IL"/>
        </w:rPr>
      </w:pPr>
      <w:r w:rsidRPr="002A2F39">
        <w:rPr>
          <w:lang w:bidi="he-IL"/>
        </w:rPr>
        <w:t>T</w:t>
      </w:r>
      <w:r w:rsidR="005D37B9">
        <w:rPr>
          <w:lang w:bidi="he-IL"/>
        </w:rPr>
        <w:t xml:space="preserve">he story </w:t>
      </w:r>
      <w:r w:rsidR="004F37BA">
        <w:rPr>
          <w:lang w:bidi="he-IL"/>
        </w:rPr>
        <w:t xml:space="preserve">anticipates the </w:t>
      </w:r>
      <w:r w:rsidR="00F45751">
        <w:rPr>
          <w:lang w:bidi="he-IL"/>
        </w:rPr>
        <w:t xml:space="preserve">later </w:t>
      </w:r>
      <w:r>
        <w:rPr>
          <w:lang w:bidi="he-IL"/>
        </w:rPr>
        <w:t>story of Abraham’s descendants</w:t>
      </w:r>
      <w:r w:rsidR="004F37BA">
        <w:rPr>
          <w:lang w:bidi="he-IL"/>
        </w:rPr>
        <w:t>’</w:t>
      </w:r>
      <w:r>
        <w:rPr>
          <w:lang w:bidi="he-IL"/>
        </w:rPr>
        <w:t xml:space="preserve"> stay in Egypt</w:t>
      </w:r>
      <w:r w:rsidRPr="002A2F39">
        <w:rPr>
          <w:lang w:bidi="he-IL"/>
        </w:rPr>
        <w:t xml:space="preserve">. </w:t>
      </w:r>
      <w:r w:rsidR="00F45751">
        <w:rPr>
          <w:lang w:bidi="he-IL"/>
        </w:rPr>
        <w:t>A</w:t>
      </w:r>
      <w:r>
        <w:rPr>
          <w:lang w:bidi="he-IL"/>
        </w:rPr>
        <w:t xml:space="preserve">gain </w:t>
      </w:r>
      <w:r w:rsidR="004F37BA">
        <w:rPr>
          <w:lang w:bidi="he-IL"/>
        </w:rPr>
        <w:t>a shortage of food</w:t>
      </w:r>
      <w:r w:rsidRPr="002A2F39">
        <w:rPr>
          <w:lang w:bidi="he-IL"/>
        </w:rPr>
        <w:t xml:space="preserve"> </w:t>
      </w:r>
      <w:r>
        <w:rPr>
          <w:lang w:bidi="he-IL"/>
        </w:rPr>
        <w:t>will drive people</w:t>
      </w:r>
      <w:r w:rsidR="00F45751">
        <w:rPr>
          <w:lang w:bidi="he-IL"/>
        </w:rPr>
        <w:t xml:space="preserve"> to go there. A</w:t>
      </w:r>
      <w:r w:rsidR="004F37BA">
        <w:rPr>
          <w:lang w:bidi="he-IL"/>
        </w:rPr>
        <w:t xml:space="preserve">gain they will </w:t>
      </w:r>
      <w:r w:rsidRPr="002A2F39">
        <w:rPr>
          <w:lang w:bidi="he-IL"/>
        </w:rPr>
        <w:t>be resident</w:t>
      </w:r>
      <w:r w:rsidR="00B94B49">
        <w:rPr>
          <w:lang w:bidi="he-IL"/>
        </w:rPr>
        <w:t xml:space="preserve"> alien</w:t>
      </w:r>
      <w:r w:rsidRPr="002A2F39">
        <w:rPr>
          <w:lang w:bidi="he-IL"/>
        </w:rPr>
        <w:t xml:space="preserve">s </w:t>
      </w:r>
      <w:r w:rsidR="004F37BA">
        <w:rPr>
          <w:lang w:bidi="he-IL"/>
        </w:rPr>
        <w:t xml:space="preserve">there </w:t>
      </w:r>
      <w:r w:rsidRPr="002A2F39">
        <w:rPr>
          <w:lang w:bidi="he-IL"/>
        </w:rPr>
        <w:t>rath</w:t>
      </w:r>
      <w:r>
        <w:rPr>
          <w:lang w:bidi="he-IL"/>
        </w:rPr>
        <w:t>er t</w:t>
      </w:r>
      <w:r w:rsidR="00F45751">
        <w:rPr>
          <w:lang w:bidi="he-IL"/>
        </w:rPr>
        <w:t>han citizens (cf. 15:13). A</w:t>
      </w:r>
      <w:r>
        <w:rPr>
          <w:lang w:bidi="he-IL"/>
        </w:rPr>
        <w:t>gain they</w:t>
      </w:r>
      <w:r w:rsidR="00F45751">
        <w:rPr>
          <w:lang w:bidi="he-IL"/>
        </w:rPr>
        <w:t xml:space="preserve"> will </w:t>
      </w:r>
      <w:r w:rsidR="004F37BA">
        <w:rPr>
          <w:lang w:bidi="he-IL"/>
        </w:rPr>
        <w:t>brin</w:t>
      </w:r>
      <w:r w:rsidR="00F45751">
        <w:rPr>
          <w:lang w:bidi="he-IL"/>
        </w:rPr>
        <w:t>g</w:t>
      </w:r>
      <w:r w:rsidR="004F37BA">
        <w:rPr>
          <w:lang w:bidi="he-IL"/>
        </w:rPr>
        <w:t xml:space="preserve"> affliction on </w:t>
      </w:r>
      <w:r w:rsidRPr="002A2F39">
        <w:rPr>
          <w:lang w:bidi="he-IL"/>
        </w:rPr>
        <w:t>Pha</w:t>
      </w:r>
      <w:r w:rsidR="00F45751">
        <w:rPr>
          <w:lang w:bidi="he-IL"/>
        </w:rPr>
        <w:t>raoh and his household. A</w:t>
      </w:r>
      <w:r>
        <w:rPr>
          <w:lang w:bidi="he-IL"/>
        </w:rPr>
        <w:t>gain</w:t>
      </w:r>
      <w:r w:rsidR="004F37BA">
        <w:rPr>
          <w:lang w:bidi="he-IL"/>
        </w:rPr>
        <w:t xml:space="preserve"> </w:t>
      </w:r>
      <w:r w:rsidR="00F45751">
        <w:rPr>
          <w:lang w:bidi="he-IL"/>
        </w:rPr>
        <w:t xml:space="preserve">Pharaoh will </w:t>
      </w:r>
      <w:r w:rsidRPr="002A2F39">
        <w:rPr>
          <w:lang w:bidi="he-IL"/>
        </w:rPr>
        <w:t>send them off and they will go up from Egypt enr</w:t>
      </w:r>
      <w:r>
        <w:rPr>
          <w:lang w:bidi="he-IL"/>
        </w:rPr>
        <w:t xml:space="preserve">iched. </w:t>
      </w:r>
      <w:r w:rsidR="004F37BA" w:rsidRPr="004F37BA">
        <w:rPr>
          <w:lang w:bidi="he-IL"/>
        </w:rPr>
        <w:t>If</w:t>
      </w:r>
      <w:r w:rsidR="004F37BA">
        <w:rPr>
          <w:lang w:bidi="he-IL"/>
        </w:rPr>
        <w:t xml:space="preserve"> </w:t>
      </w:r>
      <w:r w:rsidR="004F37BA" w:rsidRPr="004F37BA">
        <w:rPr>
          <w:lang w:bidi="he-IL"/>
        </w:rPr>
        <w:t xml:space="preserve">Israelites in Egypt knew this story, it </w:t>
      </w:r>
      <w:r w:rsidR="004F37BA">
        <w:rPr>
          <w:lang w:bidi="he-IL"/>
        </w:rPr>
        <w:t xml:space="preserve">could encourage them </w:t>
      </w:r>
      <w:r w:rsidR="00C117B2">
        <w:rPr>
          <w:lang w:bidi="he-IL"/>
        </w:rPr>
        <w:t xml:space="preserve">to see that their ancestors </w:t>
      </w:r>
      <w:r w:rsidR="00C117B2" w:rsidRPr="00C117B2">
        <w:rPr>
          <w:lang w:bidi="he-IL"/>
        </w:rPr>
        <w:t xml:space="preserve">have been this way before and Yahweh has made things work out. </w:t>
      </w:r>
      <w:r w:rsidR="00F45751">
        <w:rPr>
          <w:lang w:bidi="he-IL"/>
        </w:rPr>
        <w:t>For a later</w:t>
      </w:r>
      <w:r w:rsidR="004F37BA">
        <w:rPr>
          <w:lang w:bidi="he-IL"/>
        </w:rPr>
        <w:t xml:space="preserve"> audience that colludes with the storyteller</w:t>
      </w:r>
      <w:r w:rsidR="00C117B2">
        <w:rPr>
          <w:lang w:bidi="he-IL"/>
        </w:rPr>
        <w:t xml:space="preserve"> in listening through the </w:t>
      </w:r>
      <w:r w:rsidR="00F45751">
        <w:rPr>
          <w:lang w:bidi="he-IL"/>
        </w:rPr>
        <w:t>story in Exodus</w:t>
      </w:r>
      <w:r w:rsidR="00C117B2">
        <w:rPr>
          <w:lang w:bidi="he-IL"/>
        </w:rPr>
        <w:t xml:space="preserve"> </w:t>
      </w:r>
      <w:r w:rsidR="00F45751">
        <w:rPr>
          <w:lang w:bidi="he-IL"/>
        </w:rPr>
        <w:t>as if they don’t know the outcome, this</w:t>
      </w:r>
      <w:r w:rsidR="004F37BA">
        <w:rPr>
          <w:lang w:bidi="he-IL"/>
        </w:rPr>
        <w:t xml:space="preserve"> earlier story </w:t>
      </w:r>
      <w:r w:rsidR="00C117B2">
        <w:rPr>
          <w:lang w:bidi="he-IL"/>
        </w:rPr>
        <w:t>makes the same promise to them.</w:t>
      </w:r>
      <w:r w:rsidR="004F37BA">
        <w:rPr>
          <w:lang w:bidi="he-IL"/>
        </w:rPr>
        <w:t xml:space="preserve"> </w:t>
      </w:r>
    </w:p>
    <w:p w14:paraId="625D54FB" w14:textId="2276AC3F" w:rsidR="0045325D" w:rsidRDefault="004A79EB" w:rsidP="0045325D">
      <w:pPr>
        <w:rPr>
          <w:rFonts w:ascii="Calibri" w:eastAsia="Times New Roman" w:hAnsi="Calibri" w:cs="Times New Roman"/>
          <w:szCs w:val="20"/>
          <w:lang w:val="en-GB" w:bidi="he-IL"/>
        </w:rPr>
      </w:pPr>
      <w:r w:rsidRPr="004A79EB">
        <w:rPr>
          <w:rFonts w:ascii="Calibri" w:eastAsia="Times New Roman" w:hAnsi="Calibri" w:cs="Times New Roman"/>
          <w:b/>
          <w:szCs w:val="20"/>
          <w:lang w:bidi="he-IL"/>
        </w:rPr>
        <w:t>12:</w:t>
      </w:r>
      <w:r>
        <w:rPr>
          <w:rFonts w:ascii="Calibri" w:eastAsia="Times New Roman" w:hAnsi="Calibri" w:cs="Times New Roman"/>
          <w:b/>
          <w:szCs w:val="20"/>
          <w:lang w:bidi="he-IL"/>
        </w:rPr>
        <w:t>9-</w:t>
      </w:r>
      <w:r w:rsidRPr="004A79EB">
        <w:rPr>
          <w:rFonts w:ascii="Calibri" w:eastAsia="Times New Roman" w:hAnsi="Calibri" w:cs="Times New Roman"/>
          <w:b/>
          <w:szCs w:val="20"/>
          <w:lang w:bidi="he-IL"/>
        </w:rPr>
        <w:t>10</w:t>
      </w:r>
      <w:r w:rsidRPr="004A79EB">
        <w:rPr>
          <w:rFonts w:ascii="Calibri" w:eastAsia="Times New Roman" w:hAnsi="Calibri" w:cs="Times New Roman"/>
          <w:szCs w:val="20"/>
          <w:lang w:bidi="he-IL"/>
        </w:rPr>
        <w:t xml:space="preserve">. </w:t>
      </w:r>
      <w:r w:rsidR="00AD792F">
        <w:rPr>
          <w:rFonts w:ascii="Calibri" w:eastAsia="Times New Roman" w:hAnsi="Calibri" w:cs="Times New Roman"/>
          <w:szCs w:val="20"/>
          <w:lang w:val="en-GB" w:bidi="he-IL"/>
        </w:rPr>
        <w:t>Abraham and his company</w:t>
      </w:r>
      <w:r w:rsidR="004A1D37">
        <w:rPr>
          <w:rFonts w:ascii="Calibri" w:eastAsia="Times New Roman" w:hAnsi="Calibri" w:cs="Times New Roman"/>
          <w:szCs w:val="20"/>
          <w:lang w:val="en-GB" w:bidi="he-IL"/>
        </w:rPr>
        <w:t xml:space="preserve"> did not settle near Beth E</w:t>
      </w:r>
      <w:r>
        <w:rPr>
          <w:rFonts w:ascii="Calibri" w:eastAsia="Times New Roman" w:hAnsi="Calibri" w:cs="Times New Roman"/>
          <w:szCs w:val="20"/>
          <w:lang w:val="en-GB" w:bidi="he-IL"/>
        </w:rPr>
        <w:t>l</w:t>
      </w:r>
      <w:r w:rsidR="00F45751">
        <w:rPr>
          <w:rFonts w:ascii="Calibri" w:eastAsia="Times New Roman" w:hAnsi="Calibri" w:cs="Times New Roman"/>
          <w:szCs w:val="20"/>
          <w:lang w:val="en-GB" w:bidi="he-IL"/>
        </w:rPr>
        <w:t xml:space="preserve"> for long</w:t>
      </w:r>
      <w:r w:rsidR="0045325D">
        <w:rPr>
          <w:rFonts w:ascii="Calibri" w:eastAsia="Times New Roman" w:hAnsi="Calibri" w:cs="Times New Roman"/>
          <w:szCs w:val="20"/>
          <w:lang w:val="en-GB" w:bidi="he-IL"/>
        </w:rPr>
        <w:t xml:space="preserve">. </w:t>
      </w:r>
      <w:r w:rsidR="00490041">
        <w:rPr>
          <w:rFonts w:ascii="Calibri" w:eastAsia="Times New Roman" w:hAnsi="Calibri" w:cs="Times New Roman"/>
          <w:szCs w:val="20"/>
          <w:lang w:val="en-GB" w:bidi="he-IL"/>
        </w:rPr>
        <w:t>Whereas “</w:t>
      </w:r>
      <w:r w:rsidR="00490041" w:rsidRPr="00490041">
        <w:rPr>
          <w:rFonts w:ascii="Calibri" w:eastAsia="Times New Roman" w:hAnsi="Calibri" w:cs="Times New Roman"/>
          <w:szCs w:val="20"/>
          <w:lang w:val="en-GB" w:bidi="he-IL"/>
        </w:rPr>
        <w:t>spreading tents</w:t>
      </w:r>
      <w:r w:rsidR="00490041">
        <w:rPr>
          <w:rFonts w:ascii="Calibri" w:eastAsia="Times New Roman" w:hAnsi="Calibri" w:cs="Times New Roman"/>
          <w:szCs w:val="20"/>
          <w:lang w:val="en-GB" w:bidi="he-IL"/>
        </w:rPr>
        <w:t>” in v. 8 suggested</w:t>
      </w:r>
      <w:r w:rsidR="00490041" w:rsidRPr="00490041">
        <w:rPr>
          <w:rFonts w:ascii="Calibri" w:eastAsia="Times New Roman" w:hAnsi="Calibri" w:cs="Times New Roman"/>
          <w:szCs w:val="20"/>
          <w:lang w:val="en-GB" w:bidi="he-IL"/>
        </w:rPr>
        <w:t xml:space="preserve"> stopping for a while</w:t>
      </w:r>
      <w:r w:rsidR="00490041">
        <w:rPr>
          <w:rFonts w:ascii="Calibri" w:eastAsia="Times New Roman" w:hAnsi="Calibri" w:cs="Times New Roman"/>
          <w:szCs w:val="20"/>
          <w:lang w:val="en-GB" w:bidi="he-IL"/>
        </w:rPr>
        <w:t>,</w:t>
      </w:r>
      <w:r w:rsidR="00490041" w:rsidRPr="00490041">
        <w:rPr>
          <w:rFonts w:ascii="Calibri" w:eastAsia="Times New Roman" w:hAnsi="Calibri" w:cs="Times New Roman"/>
          <w:szCs w:val="20"/>
          <w:lang w:val="en-GB" w:bidi="he-IL"/>
        </w:rPr>
        <w:t xml:space="preserve"> “</w:t>
      </w:r>
      <w:r w:rsidR="00490041">
        <w:rPr>
          <w:rFonts w:ascii="Calibri" w:eastAsia="Times New Roman" w:hAnsi="Calibri" w:cs="Times New Roman"/>
          <w:szCs w:val="20"/>
          <w:lang w:val="en-GB" w:bidi="he-IL"/>
        </w:rPr>
        <w:t>m</w:t>
      </w:r>
      <w:r w:rsidR="00490041" w:rsidRPr="00490041">
        <w:rPr>
          <w:rFonts w:ascii="Calibri" w:eastAsia="Times New Roman" w:hAnsi="Calibri" w:cs="Times New Roman"/>
          <w:szCs w:val="20"/>
          <w:lang w:val="en-GB" w:bidi="he-IL"/>
        </w:rPr>
        <w:t xml:space="preserve">oved on, gradually moving on” </w:t>
      </w:r>
      <w:r w:rsidR="00490041">
        <w:rPr>
          <w:rFonts w:ascii="Calibri" w:eastAsia="Times New Roman" w:hAnsi="Calibri" w:cs="Times New Roman"/>
          <w:szCs w:val="20"/>
          <w:lang w:val="en-GB" w:bidi="he-IL"/>
        </w:rPr>
        <w:t>implies</w:t>
      </w:r>
      <w:r w:rsidR="00490041" w:rsidRPr="00490041">
        <w:rPr>
          <w:rFonts w:ascii="Calibri" w:eastAsia="Times New Roman" w:hAnsi="Calibri" w:cs="Times New Roman"/>
          <w:szCs w:val="20"/>
          <w:lang w:val="en-GB" w:bidi="he-IL"/>
        </w:rPr>
        <w:t xml:space="preserve"> setting up the encampment </w:t>
      </w:r>
      <w:r w:rsidR="00490041">
        <w:rPr>
          <w:rFonts w:ascii="Calibri" w:eastAsia="Times New Roman" w:hAnsi="Calibri" w:cs="Times New Roman"/>
          <w:szCs w:val="20"/>
          <w:lang w:val="en-GB" w:bidi="he-IL"/>
        </w:rPr>
        <w:t>at a series of diff</w:t>
      </w:r>
      <w:r w:rsidR="005807D4">
        <w:rPr>
          <w:rFonts w:ascii="Calibri" w:eastAsia="Times New Roman" w:hAnsi="Calibri" w:cs="Times New Roman"/>
          <w:szCs w:val="20"/>
          <w:lang w:val="en-GB" w:bidi="he-IL"/>
        </w:rPr>
        <w:t>erent places. It</w:t>
      </w:r>
      <w:r w:rsidR="00490041">
        <w:rPr>
          <w:rFonts w:ascii="Calibri" w:eastAsia="Times New Roman" w:hAnsi="Calibri" w:cs="Times New Roman"/>
          <w:szCs w:val="20"/>
          <w:lang w:val="en-GB" w:bidi="he-IL"/>
        </w:rPr>
        <w:t xml:space="preserve"> might </w:t>
      </w:r>
      <w:r w:rsidR="005807D4">
        <w:rPr>
          <w:rFonts w:ascii="Calibri" w:eastAsia="Times New Roman" w:hAnsi="Calibri" w:cs="Times New Roman"/>
          <w:szCs w:val="20"/>
          <w:lang w:val="en-GB" w:bidi="he-IL"/>
        </w:rPr>
        <w:t>suggest that they we</w:t>
      </w:r>
      <w:r w:rsidR="0045325D">
        <w:rPr>
          <w:rFonts w:ascii="Calibri" w:eastAsia="Times New Roman" w:hAnsi="Calibri" w:cs="Times New Roman"/>
          <w:szCs w:val="20"/>
          <w:lang w:val="en-GB" w:bidi="he-IL"/>
        </w:rPr>
        <w:t>re simply moving around</w:t>
      </w:r>
      <w:r w:rsidR="005807D4">
        <w:rPr>
          <w:rFonts w:ascii="Calibri" w:eastAsia="Times New Roman" w:hAnsi="Calibri" w:cs="Times New Roman"/>
          <w:szCs w:val="20"/>
          <w:lang w:val="en-GB" w:bidi="he-IL"/>
        </w:rPr>
        <w:t xml:space="preserve"> as </w:t>
      </w:r>
      <w:r w:rsidR="0045325D">
        <w:rPr>
          <w:rFonts w:ascii="Calibri" w:eastAsia="Times New Roman" w:hAnsi="Calibri" w:cs="Times New Roman"/>
          <w:szCs w:val="20"/>
          <w:lang w:val="en-GB" w:bidi="he-IL"/>
        </w:rPr>
        <w:t>nomad</w:t>
      </w:r>
      <w:r w:rsidR="005807D4">
        <w:rPr>
          <w:rFonts w:ascii="Calibri" w:eastAsia="Times New Roman" w:hAnsi="Calibri" w:cs="Times New Roman"/>
          <w:szCs w:val="20"/>
          <w:lang w:val="en-GB" w:bidi="he-IL"/>
        </w:rPr>
        <w:t>ic shepherds do. But t</w:t>
      </w:r>
      <w:r w:rsidR="005807D4" w:rsidRPr="005807D4">
        <w:rPr>
          <w:rFonts w:ascii="Calibri" w:eastAsia="Times New Roman" w:hAnsi="Calibri" w:cs="Times New Roman"/>
          <w:szCs w:val="20"/>
          <w:lang w:val="en-GB" w:bidi="he-IL"/>
        </w:rPr>
        <w:t>hey needed to enter into symbolic if discrete possession of Canaan as a whole</w:t>
      </w:r>
      <w:r w:rsidR="005807D4">
        <w:rPr>
          <w:rFonts w:ascii="Calibri" w:eastAsia="Times New Roman" w:hAnsi="Calibri" w:cs="Times New Roman"/>
          <w:szCs w:val="20"/>
          <w:lang w:val="en-GB" w:bidi="he-IL"/>
        </w:rPr>
        <w:t xml:space="preserve">. </w:t>
      </w:r>
      <w:r w:rsidR="0045325D">
        <w:rPr>
          <w:rFonts w:ascii="Calibri" w:eastAsia="Times New Roman" w:hAnsi="Calibri" w:cs="Times New Roman"/>
          <w:szCs w:val="20"/>
          <w:lang w:val="en-GB" w:bidi="he-IL"/>
        </w:rPr>
        <w:t>It’</w:t>
      </w:r>
      <w:r w:rsidR="00DD5193">
        <w:rPr>
          <w:rFonts w:ascii="Calibri" w:eastAsia="Times New Roman" w:hAnsi="Calibri" w:cs="Times New Roman"/>
          <w:szCs w:val="20"/>
          <w:lang w:val="en-GB" w:bidi="he-IL"/>
        </w:rPr>
        <w:t xml:space="preserve">s another thirty miles </w:t>
      </w:r>
      <w:r w:rsidR="00AD792F">
        <w:rPr>
          <w:rFonts w:ascii="Calibri" w:eastAsia="Times New Roman" w:hAnsi="Calibri" w:cs="Times New Roman"/>
          <w:szCs w:val="20"/>
          <w:lang w:val="en-GB" w:bidi="he-IL"/>
        </w:rPr>
        <w:t>from Beth</w:t>
      </w:r>
      <w:r w:rsidR="004A1D37">
        <w:rPr>
          <w:rFonts w:ascii="Calibri" w:eastAsia="Times New Roman" w:hAnsi="Calibri" w:cs="Times New Roman"/>
          <w:szCs w:val="20"/>
          <w:lang w:val="en-GB" w:bidi="he-IL"/>
        </w:rPr>
        <w:t xml:space="preserve"> E</w:t>
      </w:r>
      <w:r w:rsidR="00AD792F">
        <w:rPr>
          <w:rFonts w:ascii="Calibri" w:eastAsia="Times New Roman" w:hAnsi="Calibri" w:cs="Times New Roman"/>
          <w:szCs w:val="20"/>
          <w:lang w:val="en-GB" w:bidi="he-IL"/>
        </w:rPr>
        <w:t xml:space="preserve">l </w:t>
      </w:r>
      <w:r w:rsidR="00DD5193">
        <w:rPr>
          <w:rFonts w:ascii="Calibri" w:eastAsia="Times New Roman" w:hAnsi="Calibri" w:cs="Times New Roman"/>
          <w:szCs w:val="20"/>
          <w:lang w:val="en-GB" w:bidi="he-IL"/>
        </w:rPr>
        <w:t>to Mamre</w:t>
      </w:r>
      <w:r w:rsidR="0045325D">
        <w:rPr>
          <w:rFonts w:ascii="Calibri" w:eastAsia="Times New Roman" w:hAnsi="Calibri" w:cs="Times New Roman"/>
          <w:szCs w:val="20"/>
          <w:lang w:val="en-GB" w:bidi="he-IL"/>
        </w:rPr>
        <w:t>, where Abra</w:t>
      </w:r>
      <w:r w:rsidR="00AD792F">
        <w:rPr>
          <w:rFonts w:ascii="Calibri" w:eastAsia="Times New Roman" w:hAnsi="Calibri" w:cs="Times New Roman"/>
          <w:szCs w:val="20"/>
          <w:lang w:val="en-GB" w:bidi="he-IL"/>
        </w:rPr>
        <w:t>ham will settle in Gen 13</w:t>
      </w:r>
      <w:r w:rsidR="001D27DE">
        <w:rPr>
          <w:rFonts w:ascii="Calibri" w:eastAsia="Times New Roman" w:hAnsi="Calibri" w:cs="Times New Roman"/>
          <w:szCs w:val="20"/>
          <w:lang w:val="en-GB" w:bidi="he-IL"/>
        </w:rPr>
        <w:t>, and another thirty to Beer S</w:t>
      </w:r>
      <w:r w:rsidR="00CC6AAA">
        <w:rPr>
          <w:rFonts w:ascii="Calibri" w:eastAsia="Times New Roman" w:hAnsi="Calibri" w:cs="Times New Roman"/>
          <w:szCs w:val="20"/>
          <w:lang w:val="en-GB" w:bidi="he-IL"/>
        </w:rPr>
        <w:t>heba</w:t>
      </w:r>
      <w:r w:rsidR="009542B9">
        <w:rPr>
          <w:rFonts w:ascii="Calibri" w:eastAsia="Times New Roman" w:hAnsi="Calibri" w:cs="Times New Roman"/>
          <w:szCs w:val="20"/>
          <w:lang w:val="en-GB" w:bidi="he-IL"/>
        </w:rPr>
        <w:t xml:space="preserve"> in the Negev</w:t>
      </w:r>
      <w:r w:rsidR="00AD792F">
        <w:rPr>
          <w:rFonts w:ascii="Calibri" w:eastAsia="Times New Roman" w:hAnsi="Calibri" w:cs="Times New Roman"/>
          <w:szCs w:val="20"/>
          <w:lang w:val="en-GB" w:bidi="he-IL"/>
        </w:rPr>
        <w:t>,</w:t>
      </w:r>
      <w:r w:rsidR="0045325D">
        <w:rPr>
          <w:rFonts w:ascii="Calibri" w:eastAsia="Times New Roman" w:hAnsi="Calibri" w:cs="Times New Roman"/>
          <w:szCs w:val="20"/>
          <w:lang w:val="en-GB" w:bidi="he-IL"/>
        </w:rPr>
        <w:t xml:space="preserve"> w</w:t>
      </w:r>
      <w:r w:rsidR="00CC6AAA">
        <w:rPr>
          <w:rFonts w:ascii="Calibri" w:eastAsia="Times New Roman" w:hAnsi="Calibri" w:cs="Times New Roman"/>
          <w:szCs w:val="20"/>
          <w:lang w:val="en-GB" w:bidi="he-IL"/>
        </w:rPr>
        <w:t>here he will settle later. Beer Sheba</w:t>
      </w:r>
      <w:r w:rsidR="0045325D">
        <w:rPr>
          <w:rFonts w:ascii="Calibri" w:eastAsia="Times New Roman" w:hAnsi="Calibri" w:cs="Times New Roman"/>
          <w:szCs w:val="20"/>
          <w:lang w:val="en-GB" w:bidi="he-IL"/>
        </w:rPr>
        <w:t xml:space="preserve"> will mark the </w:t>
      </w:r>
      <w:r w:rsidR="0045325D">
        <w:rPr>
          <w:rFonts w:ascii="Calibri" w:eastAsia="Times New Roman" w:hAnsi="Calibri" w:cs="Times New Roman"/>
          <w:szCs w:val="20"/>
          <w:lang w:val="en-GB" w:bidi="he-IL"/>
        </w:rPr>
        <w:lastRenderedPageBreak/>
        <w:t>traditional southernmost bounda</w:t>
      </w:r>
      <w:r w:rsidR="00CC6AAA">
        <w:rPr>
          <w:rFonts w:ascii="Calibri" w:eastAsia="Times New Roman" w:hAnsi="Calibri" w:cs="Times New Roman"/>
          <w:szCs w:val="20"/>
          <w:lang w:val="en-GB" w:bidi="he-IL"/>
        </w:rPr>
        <w:t>ry of the country in Israelite times, but there is neither biblical nor archaeological indica</w:t>
      </w:r>
      <w:r w:rsidR="00AD792F">
        <w:rPr>
          <w:rFonts w:ascii="Calibri" w:eastAsia="Times New Roman" w:hAnsi="Calibri" w:cs="Times New Roman"/>
          <w:szCs w:val="20"/>
          <w:lang w:val="en-GB" w:bidi="he-IL"/>
        </w:rPr>
        <w:t>tion of there being a town at Beer Sheba</w:t>
      </w:r>
      <w:r w:rsidR="004A1D37">
        <w:rPr>
          <w:rFonts w:ascii="Calibri" w:eastAsia="Times New Roman" w:hAnsi="Calibri" w:cs="Times New Roman"/>
          <w:szCs w:val="20"/>
          <w:lang w:val="en-GB" w:bidi="he-IL"/>
        </w:rPr>
        <w:t xml:space="preserve"> in Abraham’s day. And neither Mamre nor Beer Sheba is mentioned, as</w:t>
      </w:r>
      <w:r w:rsidR="0045325D">
        <w:rPr>
          <w:rFonts w:ascii="Calibri" w:eastAsia="Times New Roman" w:hAnsi="Calibri" w:cs="Times New Roman"/>
          <w:szCs w:val="20"/>
          <w:lang w:val="en-GB" w:bidi="he-IL"/>
        </w:rPr>
        <w:t xml:space="preserve"> Dan </w:t>
      </w:r>
      <w:r w:rsidR="004A1D37">
        <w:rPr>
          <w:rFonts w:ascii="Calibri" w:eastAsia="Times New Roman" w:hAnsi="Calibri" w:cs="Times New Roman"/>
          <w:szCs w:val="20"/>
          <w:lang w:val="en-GB" w:bidi="he-IL"/>
        </w:rPr>
        <w:t xml:space="preserve">had not been mentioned </w:t>
      </w:r>
      <w:r w:rsidR="0045325D">
        <w:rPr>
          <w:rFonts w:ascii="Calibri" w:eastAsia="Times New Roman" w:hAnsi="Calibri" w:cs="Times New Roman"/>
          <w:szCs w:val="20"/>
          <w:lang w:val="en-GB" w:bidi="he-IL"/>
        </w:rPr>
        <w:t>whe</w:t>
      </w:r>
      <w:r w:rsidR="005807D4">
        <w:rPr>
          <w:rFonts w:ascii="Calibri" w:eastAsia="Times New Roman" w:hAnsi="Calibri" w:cs="Times New Roman"/>
          <w:szCs w:val="20"/>
          <w:lang w:val="en-GB" w:bidi="he-IL"/>
        </w:rPr>
        <w:t xml:space="preserve">n they arrived in Canaan, </w:t>
      </w:r>
      <w:r w:rsidR="004A1D37">
        <w:rPr>
          <w:rFonts w:ascii="Calibri" w:eastAsia="Times New Roman" w:hAnsi="Calibri" w:cs="Times New Roman"/>
          <w:szCs w:val="20"/>
          <w:lang w:val="en-GB" w:bidi="he-IL"/>
        </w:rPr>
        <w:t xml:space="preserve">and as </w:t>
      </w:r>
      <w:r w:rsidR="005807D4">
        <w:rPr>
          <w:rFonts w:ascii="Calibri" w:eastAsia="Times New Roman" w:hAnsi="Calibri" w:cs="Times New Roman"/>
          <w:szCs w:val="20"/>
          <w:lang w:val="en-GB" w:bidi="he-IL"/>
        </w:rPr>
        <w:t xml:space="preserve">Jerusalem </w:t>
      </w:r>
      <w:r w:rsidR="004A1D37">
        <w:rPr>
          <w:rFonts w:ascii="Calibri" w:eastAsia="Times New Roman" w:hAnsi="Calibri" w:cs="Times New Roman"/>
          <w:szCs w:val="20"/>
          <w:lang w:val="en-GB" w:bidi="he-IL"/>
        </w:rPr>
        <w:t xml:space="preserve">is unmentioned </w:t>
      </w:r>
      <w:r w:rsidR="005807D4">
        <w:rPr>
          <w:rFonts w:ascii="Calibri" w:eastAsia="Times New Roman" w:hAnsi="Calibri" w:cs="Times New Roman"/>
          <w:szCs w:val="20"/>
          <w:lang w:val="en-GB" w:bidi="he-IL"/>
        </w:rPr>
        <w:t>as they mak</w:t>
      </w:r>
      <w:r w:rsidR="004A1D37">
        <w:rPr>
          <w:rFonts w:ascii="Calibri" w:eastAsia="Times New Roman" w:hAnsi="Calibri" w:cs="Times New Roman"/>
          <w:szCs w:val="20"/>
          <w:lang w:val="en-GB" w:bidi="he-IL"/>
        </w:rPr>
        <w:t xml:space="preserve">e the journey south. </w:t>
      </w:r>
    </w:p>
    <w:p w14:paraId="31920A02" w14:textId="653A738A" w:rsidR="005D37B9" w:rsidRDefault="004A79EB" w:rsidP="005D37B9">
      <w:pPr>
        <w:rPr>
          <w:lang w:bidi="he-IL"/>
        </w:rPr>
      </w:pPr>
      <w:r>
        <w:rPr>
          <w:lang w:bidi="he-IL"/>
        </w:rPr>
        <w:t xml:space="preserve">But now there is a different reason not to settle (v. 10a). </w:t>
      </w:r>
      <w:r w:rsidR="00247EC7">
        <w:rPr>
          <w:lang w:bidi="he-IL"/>
        </w:rPr>
        <w:t>Food shortage</w:t>
      </w:r>
      <w:r w:rsidR="000A19ED">
        <w:rPr>
          <w:lang w:bidi="he-IL"/>
        </w:rPr>
        <w:t xml:space="preserve"> is a recurring issue in the First Testament (e.g., 26:1</w:t>
      </w:r>
      <w:r w:rsidR="0006575B">
        <w:rPr>
          <w:lang w:bidi="he-IL"/>
        </w:rPr>
        <w:t>; 42:5; 43:1; Ruth 1:1</w:t>
      </w:r>
      <w:r w:rsidR="000A19ED">
        <w:rPr>
          <w:lang w:bidi="he-IL"/>
        </w:rPr>
        <w:t xml:space="preserve">). </w:t>
      </w:r>
      <w:r w:rsidR="00247EC7">
        <w:rPr>
          <w:lang w:bidi="he-IL"/>
        </w:rPr>
        <w:t xml:space="preserve">The mountain country where </w:t>
      </w:r>
      <w:r w:rsidR="00DD5193">
        <w:rPr>
          <w:lang w:bidi="he-IL"/>
        </w:rPr>
        <w:t>Shechem, Beth</w:t>
      </w:r>
      <w:r w:rsidR="004A1D37">
        <w:rPr>
          <w:lang w:bidi="he-IL"/>
        </w:rPr>
        <w:t xml:space="preserve"> E</w:t>
      </w:r>
      <w:r w:rsidR="00DD5193">
        <w:rPr>
          <w:lang w:bidi="he-IL"/>
        </w:rPr>
        <w:t>l, and Mamre</w:t>
      </w:r>
      <w:r w:rsidR="00C117B2">
        <w:rPr>
          <w:lang w:bidi="he-IL"/>
        </w:rPr>
        <w:t xml:space="preserve"> are located</w:t>
      </w:r>
      <w:r w:rsidR="00247EC7">
        <w:rPr>
          <w:lang w:bidi="he-IL"/>
        </w:rPr>
        <w:t xml:space="preserve"> </w:t>
      </w:r>
      <w:r w:rsidR="00C117B2">
        <w:rPr>
          <w:lang w:bidi="he-IL"/>
        </w:rPr>
        <w:t>(</w:t>
      </w:r>
      <w:r w:rsidR="00247EC7">
        <w:rPr>
          <w:lang w:bidi="he-IL"/>
        </w:rPr>
        <w:t>which</w:t>
      </w:r>
      <w:r w:rsidR="00C117B2">
        <w:rPr>
          <w:lang w:bidi="he-IL"/>
        </w:rPr>
        <w:t xml:space="preserve"> is also the main area where Abraham’s</w:t>
      </w:r>
      <w:r w:rsidR="00247EC7">
        <w:rPr>
          <w:lang w:bidi="he-IL"/>
        </w:rPr>
        <w:t xml:space="preserve"> descendants </w:t>
      </w:r>
      <w:r w:rsidR="005807D4">
        <w:rPr>
          <w:lang w:bidi="he-IL"/>
        </w:rPr>
        <w:t xml:space="preserve">will </w:t>
      </w:r>
      <w:r w:rsidR="00247EC7">
        <w:rPr>
          <w:lang w:bidi="he-IL"/>
        </w:rPr>
        <w:t xml:space="preserve">eventually settle and </w:t>
      </w:r>
      <w:r w:rsidR="00C117B2">
        <w:rPr>
          <w:lang w:bidi="he-IL"/>
        </w:rPr>
        <w:t xml:space="preserve">is </w:t>
      </w:r>
      <w:r w:rsidR="00247EC7">
        <w:rPr>
          <w:lang w:bidi="he-IL"/>
        </w:rPr>
        <w:t xml:space="preserve">thus where </w:t>
      </w:r>
      <w:r w:rsidR="004A1D37">
        <w:rPr>
          <w:lang w:bidi="he-IL"/>
        </w:rPr>
        <w:t>many people in the audience live</w:t>
      </w:r>
      <w:r w:rsidR="00C117B2">
        <w:rPr>
          <w:lang w:bidi="he-IL"/>
        </w:rPr>
        <w:t>)</w:t>
      </w:r>
      <w:r w:rsidR="00247EC7">
        <w:rPr>
          <w:lang w:bidi="he-IL"/>
        </w:rPr>
        <w:t xml:space="preserve"> is marginal land. </w:t>
      </w:r>
      <w:r w:rsidR="0061416C">
        <w:rPr>
          <w:lang w:bidi="he-IL"/>
        </w:rPr>
        <w:t>The area roughly corresponds</w:t>
      </w:r>
      <w:r w:rsidR="0061416C" w:rsidRPr="0061416C">
        <w:rPr>
          <w:lang w:bidi="he-IL"/>
        </w:rPr>
        <w:t xml:space="preserve"> to the </w:t>
      </w:r>
      <w:r w:rsidR="003D56BA">
        <w:rPr>
          <w:lang w:bidi="he-IL"/>
        </w:rPr>
        <w:t>“</w:t>
      </w:r>
      <w:r w:rsidR="0061416C" w:rsidRPr="0061416C">
        <w:rPr>
          <w:lang w:bidi="he-IL"/>
        </w:rPr>
        <w:t>West</w:t>
      </w:r>
      <w:r w:rsidR="0061416C">
        <w:rPr>
          <w:lang w:bidi="he-IL"/>
        </w:rPr>
        <w:t xml:space="preserve"> Bank</w:t>
      </w:r>
      <w:r w:rsidR="003D56BA">
        <w:rPr>
          <w:lang w:bidi="he-IL"/>
        </w:rPr>
        <w:t>”</w:t>
      </w:r>
      <w:r w:rsidR="0061416C">
        <w:rPr>
          <w:lang w:bidi="he-IL"/>
        </w:rPr>
        <w:t xml:space="preserve"> or </w:t>
      </w:r>
      <w:r w:rsidR="00C117B2">
        <w:rPr>
          <w:lang w:bidi="he-IL"/>
        </w:rPr>
        <w:t xml:space="preserve">the </w:t>
      </w:r>
      <w:r w:rsidR="004A1D37">
        <w:rPr>
          <w:lang w:bidi="he-IL"/>
        </w:rPr>
        <w:t>Palestinian territory. W</w:t>
      </w:r>
      <w:r w:rsidR="0061416C">
        <w:rPr>
          <w:lang w:bidi="he-IL"/>
        </w:rPr>
        <w:t>ater rights are still an issue</w:t>
      </w:r>
      <w:r w:rsidR="004A1D37">
        <w:rPr>
          <w:lang w:bidi="he-IL"/>
        </w:rPr>
        <w:t xml:space="preserve"> here</w:t>
      </w:r>
      <w:r w:rsidR="0061416C">
        <w:rPr>
          <w:lang w:bidi="he-IL"/>
        </w:rPr>
        <w:t>.</w:t>
      </w:r>
      <w:r w:rsidR="0061416C" w:rsidRPr="0061416C">
        <w:rPr>
          <w:lang w:bidi="he-IL"/>
        </w:rPr>
        <w:t xml:space="preserve"> </w:t>
      </w:r>
      <w:r w:rsidR="00247EC7">
        <w:rPr>
          <w:lang w:bidi="he-IL"/>
        </w:rPr>
        <w:t>The east s</w:t>
      </w:r>
      <w:r w:rsidR="005807D4">
        <w:rPr>
          <w:lang w:bidi="he-IL"/>
        </w:rPr>
        <w:t>ide of the mountain ridge gets minimal rain and</w:t>
      </w:r>
      <w:r w:rsidR="00247EC7">
        <w:rPr>
          <w:lang w:bidi="he-IL"/>
        </w:rPr>
        <w:t xml:space="preserve"> supports only shepherding; in First Testament times</w:t>
      </w:r>
      <w:r w:rsidR="0006575B">
        <w:rPr>
          <w:lang w:bidi="he-IL"/>
        </w:rPr>
        <w:t xml:space="preserve"> much of </w:t>
      </w:r>
      <w:r w:rsidR="0006575B" w:rsidRPr="0006575B">
        <w:rPr>
          <w:lang w:bidi="he-IL"/>
        </w:rPr>
        <w:t>the west side was forest</w:t>
      </w:r>
      <w:r w:rsidR="0006575B">
        <w:rPr>
          <w:lang w:bidi="he-IL"/>
        </w:rPr>
        <w:t xml:space="preserve"> and even the area where one might gro</w:t>
      </w:r>
      <w:r w:rsidR="0061416C">
        <w:rPr>
          <w:lang w:bidi="he-IL"/>
        </w:rPr>
        <w:t xml:space="preserve">w some wheat did not get </w:t>
      </w:r>
      <w:r w:rsidR="0006575B">
        <w:rPr>
          <w:lang w:bidi="he-IL"/>
        </w:rPr>
        <w:t xml:space="preserve">rain </w:t>
      </w:r>
      <w:r w:rsidR="0061416C">
        <w:rPr>
          <w:lang w:bidi="he-IL"/>
        </w:rPr>
        <w:t xml:space="preserve">consistently enough </w:t>
      </w:r>
      <w:r w:rsidR="0006575B">
        <w:rPr>
          <w:lang w:bidi="he-IL"/>
        </w:rPr>
        <w:t xml:space="preserve">for people to be sure of a crop every year. </w:t>
      </w:r>
      <w:r w:rsidR="004A1D37">
        <w:rPr>
          <w:lang w:bidi="he-IL"/>
        </w:rPr>
        <w:t>In order to call this a land flowing with milk and sweetness o</w:t>
      </w:r>
      <w:r w:rsidR="0006575B">
        <w:rPr>
          <w:lang w:bidi="he-IL"/>
        </w:rPr>
        <w:t xml:space="preserve">ne </w:t>
      </w:r>
      <w:r w:rsidR="004A1D37">
        <w:rPr>
          <w:lang w:bidi="he-IL"/>
        </w:rPr>
        <w:t xml:space="preserve">might </w:t>
      </w:r>
      <w:r w:rsidR="0006575B">
        <w:rPr>
          <w:lang w:bidi="he-IL"/>
        </w:rPr>
        <w:t xml:space="preserve">need to include the </w:t>
      </w:r>
      <w:r w:rsidR="004A1D37">
        <w:rPr>
          <w:lang w:bidi="he-IL"/>
        </w:rPr>
        <w:t>plains; likewise</w:t>
      </w:r>
      <w:r w:rsidR="00C117B2">
        <w:rPr>
          <w:lang w:bidi="he-IL"/>
        </w:rPr>
        <w:t xml:space="preserve"> </w:t>
      </w:r>
      <w:r w:rsidR="0006575B">
        <w:rPr>
          <w:lang w:bidi="he-IL"/>
        </w:rPr>
        <w:t>in order to make i</w:t>
      </w:r>
      <w:r w:rsidR="00AC04F9">
        <w:rPr>
          <w:lang w:bidi="he-IL"/>
        </w:rPr>
        <w:t xml:space="preserve">t reasonable to see a poor harvest </w:t>
      </w:r>
      <w:r w:rsidR="0006575B">
        <w:rPr>
          <w:lang w:bidi="he-IL"/>
        </w:rPr>
        <w:t xml:space="preserve">as </w:t>
      </w:r>
      <w:r w:rsidR="00AC04F9">
        <w:rPr>
          <w:lang w:bidi="he-IL"/>
        </w:rPr>
        <w:t xml:space="preserve">something extraordinary that might have been </w:t>
      </w:r>
      <w:r w:rsidR="0006575B">
        <w:rPr>
          <w:lang w:bidi="he-IL"/>
        </w:rPr>
        <w:t>brought about as God’s chastisement for the people’s waywardness, as it sometimes was (e.g., 2 Sam 21; 1 Kings 8:35-37).</w:t>
      </w:r>
      <w:r w:rsidR="00AC04F9">
        <w:rPr>
          <w:lang w:bidi="he-IL"/>
        </w:rPr>
        <w:t xml:space="preserve"> </w:t>
      </w:r>
      <w:r>
        <w:rPr>
          <w:lang w:bidi="he-IL"/>
        </w:rPr>
        <w:t xml:space="preserve">And the further south Abraham would go, the drier the land would become. </w:t>
      </w:r>
      <w:r w:rsidR="00AC04F9">
        <w:rPr>
          <w:lang w:bidi="he-IL"/>
        </w:rPr>
        <w:t>Yet food sh</w:t>
      </w:r>
      <w:r w:rsidR="005807D4">
        <w:rPr>
          <w:lang w:bidi="he-IL"/>
        </w:rPr>
        <w:t xml:space="preserve">ortage fits ill with the promises Yahweh has </w:t>
      </w:r>
      <w:r w:rsidR="00F12C70">
        <w:rPr>
          <w:lang w:bidi="he-IL"/>
        </w:rPr>
        <w:t>made to Abraham. So what is Abraham</w:t>
      </w:r>
      <w:r w:rsidR="00AC04F9">
        <w:rPr>
          <w:lang w:bidi="he-IL"/>
        </w:rPr>
        <w:t xml:space="preserve"> to do? </w:t>
      </w:r>
      <w:r w:rsidR="005807D4">
        <w:rPr>
          <w:lang w:bidi="he-IL"/>
        </w:rPr>
        <w:t xml:space="preserve">Is </w:t>
      </w:r>
      <w:r w:rsidR="00F12C70">
        <w:rPr>
          <w:lang w:bidi="he-IL"/>
        </w:rPr>
        <w:t>Yahweh testing him?</w:t>
      </w:r>
      <w:r w:rsidR="00F12C70" w:rsidRPr="005D37B9">
        <w:rPr>
          <w:vertAlign w:val="superscript"/>
          <w:lang w:bidi="he-IL"/>
        </w:rPr>
        <w:footnoteReference w:id="81"/>
      </w:r>
      <w:r w:rsidR="00F12C70" w:rsidRPr="005D37B9">
        <w:rPr>
          <w:lang w:bidi="he-IL"/>
        </w:rPr>
        <w:t xml:space="preserve"> The temptation to act on the ba</w:t>
      </w:r>
      <w:r w:rsidR="005807D4">
        <w:rPr>
          <w:lang w:bidi="he-IL"/>
        </w:rPr>
        <w:t>sis of non-trust comes after a</w:t>
      </w:r>
      <w:r w:rsidR="00F12C70" w:rsidRPr="005D37B9">
        <w:rPr>
          <w:lang w:bidi="he-IL"/>
        </w:rPr>
        <w:t xml:space="preserve"> great act of trust.</w:t>
      </w:r>
      <w:r w:rsidR="00F12C70" w:rsidRPr="005D37B9">
        <w:rPr>
          <w:vertAlign w:val="superscript"/>
          <w:lang w:bidi="he-IL"/>
        </w:rPr>
        <w:footnoteReference w:id="82"/>
      </w:r>
      <w:r w:rsidR="00435BC2">
        <w:rPr>
          <w:lang w:bidi="he-IL"/>
        </w:rPr>
        <w:t xml:space="preserve"> Bu</w:t>
      </w:r>
      <w:r w:rsidR="00F12C70" w:rsidRPr="005D37B9">
        <w:rPr>
          <w:lang w:bidi="he-IL"/>
        </w:rPr>
        <w:t>t Genesis makes no comment on what God was doing in letting the shortage strike Abraham nor on whether Abraham was doing the right thing.</w:t>
      </w:r>
      <w:r w:rsidR="00F12C70">
        <w:rPr>
          <w:lang w:bidi="he-IL"/>
        </w:rPr>
        <w:t xml:space="preserve"> </w:t>
      </w:r>
      <w:r w:rsidR="004F2469">
        <w:rPr>
          <w:lang w:bidi="he-IL"/>
        </w:rPr>
        <w:t>Looking back</w:t>
      </w:r>
      <w:r w:rsidR="00236D17">
        <w:rPr>
          <w:lang w:bidi="he-IL"/>
        </w:rPr>
        <w:t xml:space="preserve"> from 1 Kings 8:35-37, one could</w:t>
      </w:r>
      <w:r w:rsidR="005807D4">
        <w:rPr>
          <w:lang w:bidi="he-IL"/>
        </w:rPr>
        <w:t xml:space="preserve"> think</w:t>
      </w:r>
      <w:r w:rsidR="004F2469">
        <w:rPr>
          <w:lang w:bidi="he-IL"/>
        </w:rPr>
        <w:t xml:space="preserve"> th</w:t>
      </w:r>
      <w:r w:rsidR="003A0AB3">
        <w:rPr>
          <w:lang w:bidi="he-IL"/>
        </w:rPr>
        <w:t>at he might have talked to</w:t>
      </w:r>
      <w:r w:rsidR="004F2469">
        <w:rPr>
          <w:lang w:bidi="he-IL"/>
        </w:rPr>
        <w:t xml:space="preserve"> Yahweh about i</w:t>
      </w:r>
      <w:r w:rsidR="003A0AB3">
        <w:rPr>
          <w:lang w:bidi="he-IL"/>
        </w:rPr>
        <w:t>t</w:t>
      </w:r>
      <w:r w:rsidR="004F2469">
        <w:rPr>
          <w:lang w:bidi="he-IL"/>
        </w:rPr>
        <w:t xml:space="preserve">. </w:t>
      </w:r>
      <w:r w:rsidR="00435BC2">
        <w:rPr>
          <w:lang w:bidi="he-IL"/>
        </w:rPr>
        <w:t>Ye</w:t>
      </w:r>
      <w:r w:rsidR="005D5FB0">
        <w:rPr>
          <w:lang w:bidi="he-IL"/>
        </w:rPr>
        <w:t xml:space="preserve">t there is no reference to calling in Yahweh’s name between 12:8 and 13:4. </w:t>
      </w:r>
    </w:p>
    <w:p w14:paraId="4A96CCFC" w14:textId="7BF94572" w:rsidR="00F12C70" w:rsidRPr="00F12C70" w:rsidRDefault="00AC04F9" w:rsidP="00F12C70">
      <w:pPr>
        <w:rPr>
          <w:lang w:bidi="he-IL"/>
        </w:rPr>
      </w:pPr>
      <w:r>
        <w:rPr>
          <w:lang w:bidi="he-IL"/>
        </w:rPr>
        <w:t xml:space="preserve">The repetition </w:t>
      </w:r>
      <w:r w:rsidR="003A0AB3">
        <w:rPr>
          <w:lang w:bidi="he-IL"/>
        </w:rPr>
        <w:t xml:space="preserve">of reference to the </w:t>
      </w:r>
      <w:r w:rsidR="00236D17">
        <w:rPr>
          <w:lang w:bidi="he-IL"/>
        </w:rPr>
        <w:t xml:space="preserve">food shortage </w:t>
      </w:r>
      <w:r w:rsidR="004A79EB">
        <w:rPr>
          <w:lang w:bidi="he-IL"/>
        </w:rPr>
        <w:t>(</w:t>
      </w:r>
      <w:r>
        <w:rPr>
          <w:lang w:bidi="he-IL"/>
        </w:rPr>
        <w:t>v. 10</w:t>
      </w:r>
      <w:r w:rsidR="00F12C70">
        <w:rPr>
          <w:lang w:bidi="he-IL"/>
        </w:rPr>
        <w:t>b</w:t>
      </w:r>
      <w:r w:rsidR="004A79EB">
        <w:rPr>
          <w:lang w:bidi="he-IL"/>
        </w:rPr>
        <w:t>)</w:t>
      </w:r>
      <w:r>
        <w:rPr>
          <w:lang w:bidi="he-IL"/>
        </w:rPr>
        <w:t xml:space="preserve"> implies that they tried to cope with it for a while</w:t>
      </w:r>
      <w:r w:rsidR="00236D17">
        <w:rPr>
          <w:lang w:bidi="he-IL"/>
        </w:rPr>
        <w:t>,</w:t>
      </w:r>
      <w:r>
        <w:rPr>
          <w:lang w:bidi="he-IL"/>
        </w:rPr>
        <w:t xml:space="preserve"> but eventually the situation became impossible. In good times the Canaanites might be prepared to barter grain with Abraham, but </w:t>
      </w:r>
      <w:r w:rsidR="00435BC2">
        <w:rPr>
          <w:lang w:bidi="he-IL"/>
        </w:rPr>
        <w:t xml:space="preserve">perhaps </w:t>
      </w:r>
      <w:r>
        <w:rPr>
          <w:lang w:bidi="he-IL"/>
        </w:rPr>
        <w:t>not in tough times. S</w:t>
      </w:r>
      <w:r w:rsidR="004F2469">
        <w:rPr>
          <w:lang w:bidi="he-IL"/>
        </w:rPr>
        <w:t>o Abraham’s family and staff have</w:t>
      </w:r>
      <w:r w:rsidR="003A0AB3">
        <w:rPr>
          <w:lang w:bidi="he-IL"/>
        </w:rPr>
        <w:t xml:space="preserve"> nothing to eat. What is Abraham</w:t>
      </w:r>
      <w:r>
        <w:rPr>
          <w:lang w:bidi="he-IL"/>
        </w:rPr>
        <w:t xml:space="preserve"> to do? </w:t>
      </w:r>
      <w:r w:rsidR="006330EF">
        <w:rPr>
          <w:lang w:bidi="he-IL"/>
        </w:rPr>
        <w:t xml:space="preserve">Ironically, </w:t>
      </w:r>
      <w:r w:rsidR="00236D17">
        <w:rPr>
          <w:lang w:bidi="he-IL"/>
        </w:rPr>
        <w:t xml:space="preserve">before Yahweh’s summons to Canaan and his making his promises, Abraham lived in </w:t>
      </w:r>
      <w:r w:rsidR="006330EF">
        <w:rPr>
          <w:lang w:bidi="he-IL"/>
        </w:rPr>
        <w:t xml:space="preserve">a region where water </w:t>
      </w:r>
      <w:r w:rsidR="00236D17">
        <w:rPr>
          <w:lang w:bidi="he-IL"/>
        </w:rPr>
        <w:t xml:space="preserve">was </w:t>
      </w:r>
      <w:r w:rsidR="006330EF">
        <w:rPr>
          <w:lang w:bidi="he-IL"/>
        </w:rPr>
        <w:t xml:space="preserve">not so much of an issue because of the presence of the two great </w:t>
      </w:r>
      <w:r w:rsidR="003A0AB3">
        <w:rPr>
          <w:lang w:bidi="he-IL"/>
        </w:rPr>
        <w:t xml:space="preserve">Mesopotamian </w:t>
      </w:r>
      <w:proofErr w:type="gramStart"/>
      <w:r w:rsidR="006330EF">
        <w:rPr>
          <w:lang w:bidi="he-IL"/>
        </w:rPr>
        <w:t>rivers</w:t>
      </w:r>
      <w:proofErr w:type="gramEnd"/>
      <w:r w:rsidR="006330EF">
        <w:rPr>
          <w:lang w:bidi="he-IL"/>
        </w:rPr>
        <w:t>.</w:t>
      </w:r>
      <w:r w:rsidR="00F12C70">
        <w:rPr>
          <w:lang w:bidi="he-IL"/>
        </w:rPr>
        <w:t xml:space="preserve"> T</w:t>
      </w:r>
      <w:r>
        <w:rPr>
          <w:lang w:bidi="he-IL"/>
        </w:rPr>
        <w:t xml:space="preserve">he Nile </w:t>
      </w:r>
      <w:r w:rsidR="00236D17">
        <w:rPr>
          <w:lang w:bidi="he-IL"/>
        </w:rPr>
        <w:t xml:space="preserve">likewise </w:t>
      </w:r>
      <w:r>
        <w:rPr>
          <w:lang w:bidi="he-IL"/>
        </w:rPr>
        <w:t xml:space="preserve">made Egypt’s position less vulnerable than Canaan’s (the Egyptians viewed rain as a second-best </w:t>
      </w:r>
      <w:r w:rsidR="00236D17">
        <w:rPr>
          <w:lang w:bidi="he-IL"/>
        </w:rPr>
        <w:t>substitute for the Nile). It</w:t>
      </w:r>
      <w:r w:rsidR="005C0AEE">
        <w:rPr>
          <w:lang w:bidi="he-IL"/>
        </w:rPr>
        <w:t xml:space="preserve"> made Egy</w:t>
      </w:r>
      <w:r w:rsidR="00236D17">
        <w:rPr>
          <w:lang w:bidi="he-IL"/>
        </w:rPr>
        <w:t xml:space="preserve">pt a natural direction </w:t>
      </w:r>
      <w:r w:rsidR="005C0AEE">
        <w:rPr>
          <w:lang w:bidi="he-IL"/>
        </w:rPr>
        <w:t xml:space="preserve">to look </w:t>
      </w:r>
      <w:r w:rsidR="00236D17">
        <w:rPr>
          <w:lang w:bidi="he-IL"/>
        </w:rPr>
        <w:t>during a food shortage, as it will be</w:t>
      </w:r>
      <w:r w:rsidR="005C0AEE">
        <w:rPr>
          <w:lang w:bidi="he-IL"/>
        </w:rPr>
        <w:t xml:space="preserve"> in the Joseph story</w:t>
      </w:r>
      <w:r w:rsidR="00F12C70">
        <w:rPr>
          <w:lang w:bidi="he-IL"/>
        </w:rPr>
        <w:t>; o</w:t>
      </w:r>
      <w:r w:rsidR="00F12C70" w:rsidRPr="00F12C70">
        <w:rPr>
          <w:lang w:bidi="he-IL"/>
        </w:rPr>
        <w:t xml:space="preserve">ne </w:t>
      </w:r>
      <w:r w:rsidR="00F12C70">
        <w:rPr>
          <w:lang w:bidi="he-IL"/>
        </w:rPr>
        <w:t xml:space="preserve">then </w:t>
      </w:r>
      <w:r w:rsidR="003D56BA">
        <w:rPr>
          <w:lang w:bidi="he-IL"/>
        </w:rPr>
        <w:t>“</w:t>
      </w:r>
      <w:r w:rsidR="00F12C70" w:rsidRPr="00F12C70">
        <w:rPr>
          <w:lang w:bidi="he-IL"/>
        </w:rPr>
        <w:t>goes down</w:t>
      </w:r>
      <w:r w:rsidR="003D56BA">
        <w:rPr>
          <w:lang w:bidi="he-IL"/>
        </w:rPr>
        <w:t>”</w:t>
      </w:r>
      <w:r w:rsidR="00F12C70" w:rsidRPr="00F12C70">
        <w:rPr>
          <w:lang w:bidi="he-IL"/>
        </w:rPr>
        <w:t xml:space="preserve"> f</w:t>
      </w:r>
      <w:r w:rsidR="00F12C70">
        <w:rPr>
          <w:lang w:bidi="he-IL"/>
        </w:rPr>
        <w:t>rom mountainous Canaan to Egypt</w:t>
      </w:r>
      <w:r w:rsidR="00F12C70" w:rsidRPr="00F12C70">
        <w:rPr>
          <w:lang w:bidi="he-IL"/>
        </w:rPr>
        <w:t xml:space="preserve"> </w:t>
      </w:r>
      <w:r w:rsidR="00F12C70">
        <w:rPr>
          <w:lang w:bidi="he-IL"/>
        </w:rPr>
        <w:t>(</w:t>
      </w:r>
      <w:r w:rsidR="00F12C70" w:rsidRPr="00F12C70">
        <w:rPr>
          <w:lang w:bidi="he-IL"/>
        </w:rPr>
        <w:t xml:space="preserve">and </w:t>
      </w:r>
      <w:r w:rsidR="003D56BA">
        <w:rPr>
          <w:lang w:bidi="he-IL"/>
        </w:rPr>
        <w:t>“</w:t>
      </w:r>
      <w:r w:rsidR="00F12C70" w:rsidRPr="00F12C70">
        <w:rPr>
          <w:lang w:bidi="he-IL"/>
        </w:rPr>
        <w:t>goes up</w:t>
      </w:r>
      <w:r w:rsidR="003D56BA">
        <w:rPr>
          <w:lang w:bidi="he-IL"/>
        </w:rPr>
        <w:t>”</w:t>
      </w:r>
      <w:r w:rsidR="00F12C70" w:rsidRPr="00F12C70">
        <w:rPr>
          <w:lang w:bidi="he-IL"/>
        </w:rPr>
        <w:t xml:space="preserve"> from Egypt to Canaan</w:t>
      </w:r>
      <w:r w:rsidR="00F12C70">
        <w:rPr>
          <w:lang w:bidi="he-IL"/>
        </w:rPr>
        <w:t>)</w:t>
      </w:r>
      <w:r w:rsidR="00F12C70" w:rsidRPr="00F12C70">
        <w:rPr>
          <w:lang w:bidi="he-IL"/>
        </w:rPr>
        <w:t>.</w:t>
      </w:r>
      <w:r w:rsidR="00F12C70">
        <w:rPr>
          <w:lang w:bidi="he-IL"/>
        </w:rPr>
        <w:t xml:space="preserve"> </w:t>
      </w:r>
      <w:r w:rsidR="00273E9E">
        <w:rPr>
          <w:lang w:bidi="he-IL"/>
        </w:rPr>
        <w:t xml:space="preserve">A letter from an Egyptian </w:t>
      </w:r>
      <w:r w:rsidR="00273E9E" w:rsidRPr="00273E9E">
        <w:rPr>
          <w:lang w:bidi="he-IL"/>
        </w:rPr>
        <w:t xml:space="preserve">border official </w:t>
      </w:r>
      <w:r w:rsidR="00273E9E">
        <w:rPr>
          <w:lang w:bidi="he-IL"/>
        </w:rPr>
        <w:t xml:space="preserve">in about Moses’s time refers to Bedouin-type Edomites seeking entry to Egypt </w:t>
      </w:r>
      <w:r w:rsidR="003D56BA">
        <w:rPr>
          <w:lang w:bidi="he-IL"/>
        </w:rPr>
        <w:t>“</w:t>
      </w:r>
      <w:r w:rsidR="00273E9E">
        <w:rPr>
          <w:lang w:bidi="he-IL"/>
        </w:rPr>
        <w:t xml:space="preserve">to keep them alive and </w:t>
      </w:r>
      <w:r w:rsidR="005747CD">
        <w:rPr>
          <w:lang w:bidi="he-IL"/>
        </w:rPr>
        <w:t>to keep their cattle alive.</w:t>
      </w:r>
      <w:r w:rsidR="003D56BA">
        <w:rPr>
          <w:lang w:bidi="he-IL"/>
        </w:rPr>
        <w:t>”</w:t>
      </w:r>
      <w:r w:rsidR="005747CD">
        <w:rPr>
          <w:rStyle w:val="FootnoteReference"/>
          <w:lang w:bidi="he-IL"/>
        </w:rPr>
        <w:footnoteReference w:id="83"/>
      </w:r>
      <w:r w:rsidR="005747CD">
        <w:rPr>
          <w:lang w:bidi="he-IL"/>
        </w:rPr>
        <w:t xml:space="preserve"> </w:t>
      </w:r>
      <w:r w:rsidR="00F12C70" w:rsidRPr="00F12C70">
        <w:rPr>
          <w:lang w:bidi="he-IL"/>
        </w:rPr>
        <w:t xml:space="preserve">To speak of </w:t>
      </w:r>
      <w:r w:rsidR="003D56BA">
        <w:rPr>
          <w:lang w:bidi="he-IL"/>
        </w:rPr>
        <w:t>“</w:t>
      </w:r>
      <w:r w:rsidR="00F12C70" w:rsidRPr="00F12C70">
        <w:rPr>
          <w:lang w:bidi="he-IL"/>
        </w:rPr>
        <w:t>residing</w:t>
      </w:r>
      <w:r w:rsidR="00B94B49">
        <w:rPr>
          <w:lang w:bidi="he-IL"/>
        </w:rPr>
        <w:t xml:space="preserve"> as an alien</w:t>
      </w:r>
      <w:r w:rsidR="003D56BA">
        <w:rPr>
          <w:lang w:bidi="he-IL"/>
        </w:rPr>
        <w:t>”</w:t>
      </w:r>
      <w:r w:rsidR="00F12C70" w:rsidRPr="00F12C70">
        <w:rPr>
          <w:lang w:bidi="he-IL"/>
        </w:rPr>
        <w:t xml:space="preserve"> (</w:t>
      </w:r>
      <w:r w:rsidR="00F12C70" w:rsidRPr="00F12C70">
        <w:rPr>
          <w:i/>
          <w:lang w:bidi="he-IL"/>
        </w:rPr>
        <w:t>gûr</w:t>
      </w:r>
      <w:r w:rsidR="00F12C70" w:rsidRPr="00F12C70">
        <w:rPr>
          <w:lang w:bidi="he-IL"/>
        </w:rPr>
        <w:t xml:space="preserve">, with the noun </w:t>
      </w:r>
      <w:r w:rsidR="00F12C70" w:rsidRPr="00F12C70">
        <w:rPr>
          <w:i/>
          <w:lang w:bidi="he-IL"/>
        </w:rPr>
        <w:t>gēr</w:t>
      </w:r>
      <w:r w:rsidR="00F12C70" w:rsidRPr="00F12C70">
        <w:rPr>
          <w:lang w:bidi="he-IL"/>
        </w:rPr>
        <w:t xml:space="preserve">) in Egypt presupposes the position of people who live in a country </w:t>
      </w:r>
      <w:r w:rsidR="00435BC2">
        <w:rPr>
          <w:lang w:bidi="he-IL"/>
        </w:rPr>
        <w:t>that is not their own, who</w:t>
      </w:r>
      <w:r w:rsidR="00B94B49">
        <w:rPr>
          <w:lang w:bidi="he-IL"/>
        </w:rPr>
        <w:t xml:space="preserve"> are not</w:t>
      </w:r>
      <w:r w:rsidR="00F12C70" w:rsidRPr="00F12C70">
        <w:rPr>
          <w:lang w:bidi="he-IL"/>
        </w:rPr>
        <w:t xml:space="preserve"> citizen</w:t>
      </w:r>
      <w:r w:rsidR="00B94B49">
        <w:rPr>
          <w:lang w:bidi="he-IL"/>
        </w:rPr>
        <w:t>s</w:t>
      </w:r>
      <w:r w:rsidR="00435BC2">
        <w:rPr>
          <w:lang w:bidi="he-IL"/>
        </w:rPr>
        <w:t>. It i</w:t>
      </w:r>
      <w:r w:rsidR="00F12C70" w:rsidRPr="00F12C70">
        <w:rPr>
          <w:lang w:bidi="he-IL"/>
        </w:rPr>
        <w:t xml:space="preserve">s the position of Abraham’s people in Canaan (23:4; 35:27; more generally Exod 6:4) but also in the various other places where they go (e.g., Gen 21:23; 26:3). </w:t>
      </w:r>
    </w:p>
    <w:p w14:paraId="1642CCB8" w14:textId="7CABA2C1" w:rsidR="005C0AEE" w:rsidRDefault="005C0AEE" w:rsidP="000A19ED">
      <w:pPr>
        <w:rPr>
          <w:lang w:bidi="he-IL"/>
        </w:rPr>
      </w:pPr>
      <w:r>
        <w:rPr>
          <w:b/>
          <w:lang w:bidi="he-IL"/>
        </w:rPr>
        <w:t xml:space="preserve">12:11-16. </w:t>
      </w:r>
      <w:r w:rsidR="007D2451">
        <w:rPr>
          <w:lang w:bidi="he-IL"/>
        </w:rPr>
        <w:t>Perhaps</w:t>
      </w:r>
      <w:r>
        <w:rPr>
          <w:lang w:bidi="he-IL"/>
        </w:rPr>
        <w:t xml:space="preserve"> Abraham has not thought thro</w:t>
      </w:r>
      <w:r w:rsidR="00A3525B">
        <w:rPr>
          <w:lang w:bidi="he-IL"/>
        </w:rPr>
        <w:t>ugh how things would work out. If</w:t>
      </w:r>
      <w:r>
        <w:rPr>
          <w:lang w:bidi="he-IL"/>
        </w:rPr>
        <w:t xml:space="preserve"> in real terms Abraham </w:t>
      </w:r>
      <w:r w:rsidR="00A3525B">
        <w:rPr>
          <w:lang w:bidi="he-IL"/>
        </w:rPr>
        <w:t>is the equivalent of 35 to 40, Sarah might be 30 to 35 and maybe looks better than the average woman of that age because she has not gone through half a dozen pregnancies or more.</w:t>
      </w:r>
      <w:r w:rsidR="00D173BF">
        <w:rPr>
          <w:rStyle w:val="FootnoteReference"/>
          <w:lang w:bidi="he-IL"/>
        </w:rPr>
        <w:footnoteReference w:id="84"/>
      </w:r>
    </w:p>
    <w:p w14:paraId="7953F6EF" w14:textId="047D0797" w:rsidR="009D4D5C" w:rsidRDefault="007D2451" w:rsidP="000A19ED">
      <w:pPr>
        <w:rPr>
          <w:lang w:bidi="he-IL"/>
        </w:rPr>
      </w:pPr>
      <w:r>
        <w:rPr>
          <w:lang w:bidi="he-IL"/>
        </w:rPr>
        <w:t>I</w:t>
      </w:r>
      <w:r w:rsidR="00F12C70">
        <w:rPr>
          <w:lang w:bidi="he-IL"/>
        </w:rPr>
        <w:t>s there any reason for Abraham’s</w:t>
      </w:r>
      <w:r w:rsidR="00D913A1">
        <w:rPr>
          <w:lang w:bidi="he-IL"/>
        </w:rPr>
        <w:t xml:space="preserve"> fear </w:t>
      </w:r>
      <w:r w:rsidR="00F12C70">
        <w:rPr>
          <w:lang w:bidi="he-IL"/>
        </w:rPr>
        <w:t xml:space="preserve">of the Egyptians </w:t>
      </w:r>
      <w:r w:rsidR="00D913A1">
        <w:rPr>
          <w:lang w:bidi="he-IL"/>
        </w:rPr>
        <w:t>(v. 12)?</w:t>
      </w:r>
      <w:r w:rsidR="00435BC2">
        <w:rPr>
          <w:lang w:bidi="he-IL"/>
        </w:rPr>
        <w:t xml:space="preserve"> Similar words about killing and </w:t>
      </w:r>
      <w:r>
        <w:rPr>
          <w:lang w:bidi="he-IL"/>
        </w:rPr>
        <w:t>letting live recur in Exod 1:16, 22, so m</w:t>
      </w:r>
      <w:r w:rsidR="00435BC2">
        <w:rPr>
          <w:lang w:bidi="he-IL"/>
        </w:rPr>
        <w:t>aybe Abr</w:t>
      </w:r>
      <w:r>
        <w:rPr>
          <w:lang w:bidi="he-IL"/>
        </w:rPr>
        <w:t>aham is being realistic</w:t>
      </w:r>
      <w:r w:rsidR="00435BC2">
        <w:rPr>
          <w:rStyle w:val="FootnoteReference"/>
          <w:lang w:bidi="he-IL"/>
        </w:rPr>
        <w:footnoteReference w:id="85"/>
      </w:r>
      <w:r>
        <w:rPr>
          <w:lang w:bidi="he-IL"/>
        </w:rPr>
        <w:t>—at least to a later audience it might seem so.</w:t>
      </w:r>
      <w:r w:rsidR="00D913A1">
        <w:rPr>
          <w:lang w:bidi="he-IL"/>
        </w:rPr>
        <w:t xml:space="preserve"> </w:t>
      </w:r>
      <w:r w:rsidR="00E115A8">
        <w:rPr>
          <w:i/>
          <w:lang w:bidi="he-IL"/>
        </w:rPr>
        <w:t>Gen</w:t>
      </w:r>
      <w:r w:rsidR="00952C5E">
        <w:rPr>
          <w:i/>
          <w:lang w:bidi="he-IL"/>
        </w:rPr>
        <w:t>Ap</w:t>
      </w:r>
      <w:r w:rsidR="00BF4ED5">
        <w:rPr>
          <w:i/>
          <w:lang w:bidi="he-IL"/>
        </w:rPr>
        <w:t xml:space="preserve"> </w:t>
      </w:r>
      <w:r w:rsidR="00BF4ED5">
        <w:rPr>
          <w:lang w:bidi="he-IL"/>
        </w:rPr>
        <w:t>19 has the danger revealed to Abraham in a dream,</w:t>
      </w:r>
      <w:r>
        <w:rPr>
          <w:rStyle w:val="FootnoteReference"/>
          <w:lang w:bidi="he-IL"/>
        </w:rPr>
        <w:footnoteReference w:id="86"/>
      </w:r>
      <w:r w:rsidR="00BF4ED5">
        <w:rPr>
          <w:lang w:bidi="he-IL"/>
        </w:rPr>
        <w:t xml:space="preserve"> which </w:t>
      </w:r>
      <w:r w:rsidR="00966A1B">
        <w:rPr>
          <w:lang w:bidi="he-IL"/>
        </w:rPr>
        <w:t xml:space="preserve">excuses Abraham </w:t>
      </w:r>
      <w:r w:rsidR="00966A1B">
        <w:rPr>
          <w:lang w:bidi="he-IL"/>
        </w:rPr>
        <w:lastRenderedPageBreak/>
        <w:t>from responsibility for deceit,</w:t>
      </w:r>
      <w:r w:rsidR="00966A1B">
        <w:rPr>
          <w:rStyle w:val="FootnoteReference"/>
          <w:lang w:bidi="he-IL"/>
        </w:rPr>
        <w:footnoteReference w:id="87"/>
      </w:r>
      <w:r w:rsidR="00966A1B">
        <w:rPr>
          <w:lang w:bidi="he-IL"/>
        </w:rPr>
        <w:t xml:space="preserve"> </w:t>
      </w:r>
      <w:r w:rsidR="00BF4ED5">
        <w:rPr>
          <w:lang w:bidi="he-IL"/>
        </w:rPr>
        <w:t xml:space="preserve">makes Sarah cry, and has Pharaoh indeed minded to kill Abraham. But in Genesis </w:t>
      </w:r>
      <w:r w:rsidR="003A0AB3">
        <w:rPr>
          <w:lang w:bidi="he-IL"/>
        </w:rPr>
        <w:t xml:space="preserve">itself, </w:t>
      </w:r>
      <w:r w:rsidR="009A5D4A">
        <w:rPr>
          <w:lang w:bidi="he-IL"/>
        </w:rPr>
        <w:t>Pharaoh’s later protest</w:t>
      </w:r>
      <w:r w:rsidR="00BF4ED5">
        <w:rPr>
          <w:lang w:bidi="he-IL"/>
        </w:rPr>
        <w:t xml:space="preserve"> in vv. 18-19 hardly supports Abraham’s fear</w:t>
      </w:r>
      <w:r w:rsidR="009A5D4A">
        <w:rPr>
          <w:lang w:bidi="he-IL"/>
        </w:rPr>
        <w:t>.</w:t>
      </w:r>
      <w:r w:rsidR="009A5D4A">
        <w:rPr>
          <w:rStyle w:val="FootnoteReference"/>
          <w:lang w:bidi="he-IL"/>
        </w:rPr>
        <w:footnoteReference w:id="88"/>
      </w:r>
      <w:r w:rsidR="009A5D4A">
        <w:rPr>
          <w:lang w:bidi="he-IL"/>
        </w:rPr>
        <w:t xml:space="preserve"> </w:t>
      </w:r>
      <w:r w:rsidR="003A0AB3">
        <w:rPr>
          <w:lang w:bidi="he-IL"/>
        </w:rPr>
        <w:t>What is its basis</w:t>
      </w:r>
      <w:r w:rsidR="00D913A1">
        <w:rPr>
          <w:lang w:bidi="he-IL"/>
        </w:rPr>
        <w:t xml:space="preserve">? </w:t>
      </w:r>
      <w:r w:rsidR="009A5D4A">
        <w:rPr>
          <w:lang w:bidi="he-IL"/>
        </w:rPr>
        <w:t xml:space="preserve">Is Abraham simply fearful of </w:t>
      </w:r>
      <w:r w:rsidR="003D56BA">
        <w:rPr>
          <w:lang w:bidi="he-IL"/>
        </w:rPr>
        <w:t>“</w:t>
      </w:r>
      <w:r w:rsidR="009A5D4A">
        <w:rPr>
          <w:lang w:bidi="he-IL"/>
        </w:rPr>
        <w:t>the other</w:t>
      </w:r>
      <w:r w:rsidR="003D56BA">
        <w:rPr>
          <w:lang w:bidi="he-IL"/>
        </w:rPr>
        <w:t>”</w:t>
      </w:r>
      <w:r w:rsidR="009A5D4A">
        <w:rPr>
          <w:lang w:bidi="he-IL"/>
        </w:rPr>
        <w:t xml:space="preserve">? </w:t>
      </w:r>
      <w:r w:rsidR="00A3525B">
        <w:rPr>
          <w:lang w:bidi="he-IL"/>
        </w:rPr>
        <w:t>It’s said that men are ambivalent about their wives’ attractiveness and sexua</w:t>
      </w:r>
      <w:r w:rsidR="00D913A1">
        <w:rPr>
          <w:lang w:bidi="he-IL"/>
        </w:rPr>
        <w:t>lity</w:t>
      </w:r>
      <w:r w:rsidR="00A3525B">
        <w:rPr>
          <w:lang w:bidi="he-IL"/>
        </w:rPr>
        <w:t>. It makes a man feel good to have other men fancy his wife but it also feels a bit dangerous.</w:t>
      </w:r>
      <w:r w:rsidR="00F12C70">
        <w:rPr>
          <w:rStyle w:val="FootnoteReference"/>
          <w:lang w:bidi="he-IL"/>
        </w:rPr>
        <w:footnoteReference w:id="89"/>
      </w:r>
      <w:r w:rsidR="003A0AB3">
        <w:rPr>
          <w:lang w:bidi="he-IL"/>
        </w:rPr>
        <w:t xml:space="preserve"> If Abraham </w:t>
      </w:r>
      <w:r w:rsidR="00AE62FF">
        <w:rPr>
          <w:lang w:bidi="he-IL"/>
        </w:rPr>
        <w:t xml:space="preserve">feels this ambivalence, </w:t>
      </w:r>
      <w:r w:rsidR="00A3525B">
        <w:rPr>
          <w:lang w:bidi="he-IL"/>
        </w:rPr>
        <w:t>it will turn out that h</w:t>
      </w:r>
      <w:r w:rsidR="000B63C7">
        <w:rPr>
          <w:lang w:bidi="he-IL"/>
        </w:rPr>
        <w:t>e is justified</w:t>
      </w:r>
      <w:r w:rsidR="00411F45">
        <w:rPr>
          <w:lang w:bidi="he-IL"/>
        </w:rPr>
        <w:t>, though his action perhaps implies that he doesn’t take into account the promise in v. 3</w:t>
      </w:r>
      <w:r w:rsidR="003A0AB3">
        <w:rPr>
          <w:lang w:bidi="he-IL"/>
        </w:rPr>
        <w:t>. H</w:t>
      </w:r>
      <w:r w:rsidR="000B63C7">
        <w:rPr>
          <w:lang w:bidi="he-IL"/>
        </w:rPr>
        <w:t>e</w:t>
      </w:r>
      <w:r w:rsidR="00A3525B">
        <w:rPr>
          <w:lang w:bidi="he-IL"/>
        </w:rPr>
        <w:t xml:space="preserve"> </w:t>
      </w:r>
      <w:r w:rsidR="003A0AB3">
        <w:rPr>
          <w:lang w:bidi="he-IL"/>
        </w:rPr>
        <w:t xml:space="preserve">evidently </w:t>
      </w:r>
      <w:r w:rsidR="00A3525B">
        <w:rPr>
          <w:lang w:bidi="he-IL"/>
        </w:rPr>
        <w:t xml:space="preserve">cannot </w:t>
      </w:r>
      <w:r w:rsidR="000B63C7">
        <w:rPr>
          <w:lang w:bidi="he-IL"/>
        </w:rPr>
        <w:t>assume patria</w:t>
      </w:r>
      <w:r w:rsidR="003A0AB3">
        <w:rPr>
          <w:lang w:bidi="he-IL"/>
        </w:rPr>
        <w:t>rchal authority over Sarah (it’</w:t>
      </w:r>
      <w:r w:rsidR="000B63C7">
        <w:rPr>
          <w:lang w:bidi="he-IL"/>
        </w:rPr>
        <w:t>s not the last stor</w:t>
      </w:r>
      <w:r w:rsidR="003A0AB3">
        <w:rPr>
          <w:lang w:bidi="he-IL"/>
        </w:rPr>
        <w:t>y that will indicate it); he has</w:t>
      </w:r>
      <w:r w:rsidR="000B63C7">
        <w:rPr>
          <w:lang w:bidi="he-IL"/>
        </w:rPr>
        <w:t xml:space="preserve"> to make nice in order to win her cooperation. He needs to say </w:t>
      </w:r>
      <w:r w:rsidR="003D56BA">
        <w:rPr>
          <w:lang w:bidi="he-IL"/>
        </w:rPr>
        <w:t>“</w:t>
      </w:r>
      <w:r w:rsidR="00755545">
        <w:rPr>
          <w:lang w:bidi="he-IL"/>
        </w:rPr>
        <w:t>please</w:t>
      </w:r>
      <w:r w:rsidR="003D56BA">
        <w:rPr>
          <w:lang w:bidi="he-IL"/>
        </w:rPr>
        <w:t>”</w:t>
      </w:r>
      <w:r w:rsidR="00755545">
        <w:rPr>
          <w:lang w:bidi="he-IL"/>
        </w:rPr>
        <w:t xml:space="preserve"> more than once.</w:t>
      </w:r>
      <w:r w:rsidR="005F1D90">
        <w:rPr>
          <w:rStyle w:val="FootnoteReference"/>
          <w:lang w:bidi="he-IL"/>
        </w:rPr>
        <w:footnoteReference w:id="90"/>
      </w:r>
      <w:r w:rsidR="00755545">
        <w:rPr>
          <w:lang w:bidi="he-IL"/>
        </w:rPr>
        <w:t xml:space="preserve"> </w:t>
      </w:r>
    </w:p>
    <w:p w14:paraId="29D206D9" w14:textId="75FBD432" w:rsidR="00D173BF" w:rsidRDefault="00D414D0" w:rsidP="00D414D0">
      <w:pPr>
        <w:rPr>
          <w:lang w:bidi="he-IL"/>
        </w:rPr>
      </w:pPr>
      <w:r>
        <w:rPr>
          <w:lang w:bidi="he-IL"/>
        </w:rPr>
        <w:t>His scheme (v. 13</w:t>
      </w:r>
      <w:r w:rsidR="009D4D5C">
        <w:rPr>
          <w:lang w:bidi="he-IL"/>
        </w:rPr>
        <w:t>) will involve</w:t>
      </w:r>
      <w:r w:rsidR="00755545">
        <w:rPr>
          <w:lang w:bidi="he-IL"/>
        </w:rPr>
        <w:t xml:space="preserve"> being economical with the truth</w:t>
      </w:r>
      <w:r w:rsidR="00395DC9">
        <w:rPr>
          <w:lang w:bidi="he-IL"/>
        </w:rPr>
        <w:t xml:space="preserve"> </w:t>
      </w:r>
      <w:r w:rsidR="00525F62">
        <w:rPr>
          <w:lang w:bidi="he-IL"/>
        </w:rPr>
        <w:t xml:space="preserve">in either </w:t>
      </w:r>
      <w:r w:rsidR="00395DC9">
        <w:rPr>
          <w:lang w:bidi="he-IL"/>
        </w:rPr>
        <w:t xml:space="preserve">the narrower or the looser sense. </w:t>
      </w:r>
      <w:r w:rsidR="003D56BA">
        <w:rPr>
          <w:lang w:bidi="he-IL"/>
        </w:rPr>
        <w:t>“</w:t>
      </w:r>
      <w:r w:rsidR="005747CD">
        <w:rPr>
          <w:lang w:bidi="he-IL"/>
        </w:rPr>
        <w:t>Sister</w:t>
      </w:r>
      <w:r w:rsidR="003D56BA">
        <w:rPr>
          <w:lang w:bidi="he-IL"/>
        </w:rPr>
        <w:t>”</w:t>
      </w:r>
      <w:r w:rsidR="005747CD">
        <w:rPr>
          <w:lang w:bidi="he-IL"/>
        </w:rPr>
        <w:t xml:space="preserve"> can suggest </w:t>
      </w:r>
      <w:r w:rsidR="003D56BA">
        <w:rPr>
          <w:lang w:bidi="he-IL"/>
        </w:rPr>
        <w:t>“</w:t>
      </w:r>
      <w:r w:rsidR="005747CD">
        <w:rPr>
          <w:lang w:bidi="he-IL"/>
        </w:rPr>
        <w:t>sweetheart</w:t>
      </w:r>
      <w:r w:rsidR="003D56BA">
        <w:rPr>
          <w:lang w:bidi="he-IL"/>
        </w:rPr>
        <w:t>”</w:t>
      </w:r>
      <w:r w:rsidR="005747CD">
        <w:rPr>
          <w:lang w:bidi="he-IL"/>
        </w:rPr>
        <w:t xml:space="preserve"> (</w:t>
      </w:r>
      <w:r w:rsidR="002A7B1D">
        <w:rPr>
          <w:lang w:bidi="he-IL"/>
        </w:rPr>
        <w:t>e.g., Song of Songs</w:t>
      </w:r>
      <w:r w:rsidR="0005171C">
        <w:rPr>
          <w:lang w:bidi="he-IL"/>
        </w:rPr>
        <w:t xml:space="preserve"> </w:t>
      </w:r>
      <w:r w:rsidR="001420AF">
        <w:rPr>
          <w:lang w:bidi="he-IL"/>
        </w:rPr>
        <w:t>4:9-10),</w:t>
      </w:r>
      <w:r w:rsidR="002A7B1D">
        <w:rPr>
          <w:rStyle w:val="FootnoteReference"/>
          <w:lang w:bidi="he-IL"/>
        </w:rPr>
        <w:footnoteReference w:id="91"/>
      </w:r>
      <w:r w:rsidR="001420AF">
        <w:rPr>
          <w:lang w:bidi="he-IL"/>
        </w:rPr>
        <w:t xml:space="preserve"> and l</w:t>
      </w:r>
      <w:r w:rsidR="00395DC9">
        <w:rPr>
          <w:lang w:bidi="he-IL"/>
        </w:rPr>
        <w:t xml:space="preserve">ater </w:t>
      </w:r>
      <w:r w:rsidR="002A7B1D">
        <w:rPr>
          <w:lang w:bidi="he-IL"/>
        </w:rPr>
        <w:t>Abraham will</w:t>
      </w:r>
      <w:r w:rsidR="00395DC9">
        <w:rPr>
          <w:lang w:bidi="he-IL"/>
        </w:rPr>
        <w:t xml:space="preserve"> claim that Sarah is his (half-</w:t>
      </w:r>
      <w:proofErr w:type="gramStart"/>
      <w:r w:rsidR="00395DC9">
        <w:rPr>
          <w:lang w:bidi="he-IL"/>
        </w:rPr>
        <w:t>)sister</w:t>
      </w:r>
      <w:proofErr w:type="gramEnd"/>
      <w:r w:rsidR="00395DC9">
        <w:rPr>
          <w:lang w:bidi="he-IL"/>
        </w:rPr>
        <w:t xml:space="preserve"> and she </w:t>
      </w:r>
      <w:r w:rsidR="002A7B1D">
        <w:rPr>
          <w:lang w:bidi="he-IL"/>
        </w:rPr>
        <w:t>will confirm</w:t>
      </w:r>
      <w:r w:rsidR="00395DC9">
        <w:rPr>
          <w:lang w:bidi="he-IL"/>
        </w:rPr>
        <w:t xml:space="preserve"> it (20:1-18), so maybe he is</w:t>
      </w:r>
      <w:r w:rsidR="00755545">
        <w:rPr>
          <w:lang w:bidi="he-IL"/>
        </w:rPr>
        <w:t xml:space="preserve"> reveal</w:t>
      </w:r>
      <w:r w:rsidR="00395DC9">
        <w:rPr>
          <w:lang w:bidi="he-IL"/>
        </w:rPr>
        <w:t>ing only one</w:t>
      </w:r>
      <w:r w:rsidR="00755545">
        <w:rPr>
          <w:lang w:bidi="he-IL"/>
        </w:rPr>
        <w:t xml:space="preserve"> of the relevant</w:t>
      </w:r>
      <w:r w:rsidR="00395DC9">
        <w:rPr>
          <w:lang w:bidi="he-IL"/>
        </w:rPr>
        <w:t xml:space="preserve"> facts. B</w:t>
      </w:r>
      <w:r w:rsidR="00395DC9" w:rsidRPr="00395DC9">
        <w:rPr>
          <w:lang w:bidi="he-IL"/>
        </w:rPr>
        <w:t>ut we don’t know if th</w:t>
      </w:r>
      <w:r w:rsidR="00395DC9">
        <w:rPr>
          <w:lang w:bidi="he-IL"/>
        </w:rPr>
        <w:t>e</w:t>
      </w:r>
      <w:r w:rsidR="00395DC9" w:rsidRPr="00395DC9">
        <w:rPr>
          <w:lang w:bidi="he-IL"/>
        </w:rPr>
        <w:t>y are both lying</w:t>
      </w:r>
      <w:r w:rsidR="001420AF">
        <w:rPr>
          <w:lang w:bidi="he-IL"/>
        </w:rPr>
        <w:t xml:space="preserve"> on that later occasion</w:t>
      </w:r>
      <w:r w:rsidR="00525F62">
        <w:rPr>
          <w:lang w:bidi="he-IL"/>
        </w:rPr>
        <w:t>.</w:t>
      </w:r>
      <w:r w:rsidR="00395DC9" w:rsidRPr="00395DC9">
        <w:rPr>
          <w:lang w:bidi="he-IL"/>
        </w:rPr>
        <w:t xml:space="preserve"> </w:t>
      </w:r>
      <w:r w:rsidR="00395DC9">
        <w:rPr>
          <w:lang w:bidi="he-IL"/>
        </w:rPr>
        <w:t>Gen</w:t>
      </w:r>
      <w:r w:rsidR="00525F62">
        <w:rPr>
          <w:lang w:bidi="he-IL"/>
        </w:rPr>
        <w:t xml:space="preserve">esis </w:t>
      </w:r>
      <w:r w:rsidR="00B81F1C">
        <w:rPr>
          <w:lang w:bidi="he-IL"/>
        </w:rPr>
        <w:t xml:space="preserve">never tells us </w:t>
      </w:r>
      <w:r w:rsidR="00395DC9">
        <w:rPr>
          <w:lang w:bidi="he-IL"/>
        </w:rPr>
        <w:t>her parents</w:t>
      </w:r>
      <w:r w:rsidR="00B81F1C">
        <w:rPr>
          <w:lang w:bidi="he-IL"/>
        </w:rPr>
        <w:t>’ identity</w:t>
      </w:r>
      <w:r w:rsidR="00395DC9">
        <w:rPr>
          <w:lang w:bidi="he-IL"/>
        </w:rPr>
        <w:t>.</w:t>
      </w:r>
      <w:r w:rsidR="00727890">
        <w:rPr>
          <w:lang w:bidi="he-IL"/>
        </w:rPr>
        <w:t xml:space="preserve"> </w:t>
      </w:r>
      <w:r w:rsidR="00B81F1C">
        <w:rPr>
          <w:lang w:bidi="he-IL"/>
        </w:rPr>
        <w:t>And Genesis may look at Abraham (or Abraham might look at himself) the same way Exodus looks at</w:t>
      </w:r>
      <w:r w:rsidR="00525F62">
        <w:rPr>
          <w:lang w:bidi="he-IL"/>
        </w:rPr>
        <w:t xml:space="preserve"> the midwives in Exod 2:15-22: o</w:t>
      </w:r>
      <w:r w:rsidR="00B81F1C">
        <w:rPr>
          <w:lang w:bidi="he-IL"/>
        </w:rPr>
        <w:t>ne does not owe truthfulness to people who are using their power in an untruthful way.</w:t>
      </w:r>
      <w:r w:rsidR="009D4D5C" w:rsidRPr="009D4D5C">
        <w:rPr>
          <w:lang w:bidi="he-IL"/>
        </w:rPr>
        <w:t xml:space="preserve"> </w:t>
      </w:r>
      <w:r w:rsidR="009D4D5C">
        <w:rPr>
          <w:lang w:bidi="he-IL"/>
        </w:rPr>
        <w:t>But does he not recognize that his scheme for pro</w:t>
      </w:r>
      <w:r>
        <w:rPr>
          <w:lang w:bidi="he-IL"/>
        </w:rPr>
        <w:t xml:space="preserve">tecting himself imperils Sarah? </w:t>
      </w:r>
      <w:r w:rsidR="0005171C">
        <w:rPr>
          <w:lang w:bidi="he-IL"/>
        </w:rPr>
        <w:t xml:space="preserve">It </w:t>
      </w:r>
      <w:r w:rsidR="00525F62">
        <w:rPr>
          <w:lang w:bidi="he-IL"/>
        </w:rPr>
        <w:t xml:space="preserve">will transpire that things </w:t>
      </w:r>
      <w:r>
        <w:rPr>
          <w:lang w:bidi="he-IL"/>
        </w:rPr>
        <w:t>go very well for Abraham. B</w:t>
      </w:r>
      <w:r w:rsidR="0005171C">
        <w:rPr>
          <w:lang w:bidi="he-IL"/>
        </w:rPr>
        <w:t>ut in the first instan</w:t>
      </w:r>
      <w:r>
        <w:rPr>
          <w:lang w:bidi="he-IL"/>
        </w:rPr>
        <w:t xml:space="preserve">ce, </w:t>
      </w:r>
      <w:r w:rsidR="00525F62">
        <w:rPr>
          <w:lang w:bidi="he-IL"/>
        </w:rPr>
        <w:t>by “things being good” Abraham simply means he won’t get killed (</w:t>
      </w:r>
      <w:r w:rsidR="0005171C">
        <w:rPr>
          <w:lang w:bidi="he-IL"/>
        </w:rPr>
        <w:t xml:space="preserve">the same parallelism </w:t>
      </w:r>
      <w:r w:rsidR="00525F62">
        <w:rPr>
          <w:lang w:bidi="he-IL"/>
        </w:rPr>
        <w:t xml:space="preserve">comes </w:t>
      </w:r>
      <w:r w:rsidR="0005171C">
        <w:rPr>
          <w:lang w:bidi="he-IL"/>
        </w:rPr>
        <w:t>in Jer 38:20</w:t>
      </w:r>
      <w:r w:rsidR="001420AF">
        <w:rPr>
          <w:lang w:bidi="he-IL"/>
        </w:rPr>
        <w:t>)</w:t>
      </w:r>
      <w:r w:rsidR="0005171C">
        <w:rPr>
          <w:lang w:bidi="he-IL"/>
        </w:rPr>
        <w:t>.</w:t>
      </w:r>
      <w:r w:rsidR="0005171C">
        <w:rPr>
          <w:rStyle w:val="FootnoteReference"/>
          <w:lang w:bidi="he-IL"/>
        </w:rPr>
        <w:footnoteReference w:id="92"/>
      </w:r>
      <w:r w:rsidR="0005171C">
        <w:rPr>
          <w:lang w:bidi="he-IL"/>
        </w:rPr>
        <w:t xml:space="preserve"> </w:t>
      </w:r>
      <w:r w:rsidR="00525F62">
        <w:rPr>
          <w:lang w:bidi="he-IL"/>
        </w:rPr>
        <w:t>Perhaps he</w:t>
      </w:r>
      <w:r w:rsidR="009D4D5C">
        <w:rPr>
          <w:lang w:bidi="he-IL"/>
        </w:rPr>
        <w:t xml:space="preserve"> doe</w:t>
      </w:r>
      <w:r>
        <w:rPr>
          <w:lang w:bidi="he-IL"/>
        </w:rPr>
        <w:t>s</w:t>
      </w:r>
      <w:r w:rsidR="009D4D5C">
        <w:rPr>
          <w:lang w:bidi="he-IL"/>
        </w:rPr>
        <w:t>n’</w:t>
      </w:r>
      <w:r w:rsidR="00D173BF">
        <w:rPr>
          <w:lang w:bidi="he-IL"/>
        </w:rPr>
        <w:t xml:space="preserve">t imagine </w:t>
      </w:r>
      <w:r w:rsidR="002C7FD8">
        <w:rPr>
          <w:lang w:bidi="he-IL"/>
        </w:rPr>
        <w:t xml:space="preserve">simply surrendering Sarah to some other man but being able </w:t>
      </w:r>
      <w:r w:rsidR="001420AF" w:rsidRPr="001420AF">
        <w:rPr>
          <w:lang w:bidi="he-IL"/>
        </w:rPr>
        <w:t xml:space="preserve">as her brother </w:t>
      </w:r>
      <w:r w:rsidR="002C7FD8">
        <w:rPr>
          <w:lang w:bidi="he-IL"/>
        </w:rPr>
        <w:t>to fend off suitors.</w:t>
      </w:r>
      <w:r w:rsidR="002C7FD8">
        <w:rPr>
          <w:rStyle w:val="FootnoteReference"/>
          <w:lang w:bidi="he-IL"/>
        </w:rPr>
        <w:footnoteReference w:id="93"/>
      </w:r>
      <w:r w:rsidR="00761FFC">
        <w:rPr>
          <w:lang w:bidi="he-IL"/>
        </w:rPr>
        <w:t xml:space="preserve"> Sarah apparently agrees; her “silent acquiescence… contrasts markedly with the enterprising initiatives of the women who birthed the Exodus narrative, those shrewd quick-thinking midwives, and its celebrator, the daringly outspoken Miriam.”</w:t>
      </w:r>
      <w:r w:rsidR="00761FFC">
        <w:rPr>
          <w:rStyle w:val="FootnoteReference"/>
          <w:lang w:bidi="he-IL"/>
        </w:rPr>
        <w:footnoteReference w:id="94"/>
      </w:r>
      <w:r w:rsidR="00260F2E">
        <w:rPr>
          <w:lang w:bidi="he-IL"/>
        </w:rPr>
        <w:t xml:space="preserve"> </w:t>
      </w:r>
      <w:r w:rsidR="00D2592B">
        <w:rPr>
          <w:lang w:bidi="he-IL"/>
        </w:rPr>
        <w:t xml:space="preserve">She was “faced with a Sophie’s Choice” and “she did what she had to do. </w:t>
      </w:r>
      <w:r w:rsidR="00260F2E">
        <w:rPr>
          <w:lang w:bidi="he-IL"/>
        </w:rPr>
        <w:t>If sleeping with the enemy would save Abraham and get then through the famine</w:t>
      </w:r>
      <w:r w:rsidR="00D2592B">
        <w:rPr>
          <w:lang w:bidi="he-IL"/>
        </w:rPr>
        <w:t>, so be it.”</w:t>
      </w:r>
      <w:r w:rsidR="00D2592B">
        <w:rPr>
          <w:rStyle w:val="FootnoteReference"/>
          <w:lang w:bidi="he-IL"/>
        </w:rPr>
        <w:footnoteReference w:id="95"/>
      </w:r>
      <w:r w:rsidR="00D2592B">
        <w:rPr>
          <w:lang w:bidi="he-IL"/>
        </w:rPr>
        <w:t xml:space="preserve"> </w:t>
      </w:r>
    </w:p>
    <w:p w14:paraId="795D8ADF" w14:textId="046E5FB0" w:rsidR="008B1689" w:rsidRPr="008B1689" w:rsidRDefault="00395DC9" w:rsidP="008B1689">
      <w:pPr>
        <w:rPr>
          <w:lang w:bidi="he-IL"/>
        </w:rPr>
      </w:pPr>
      <w:r>
        <w:rPr>
          <w:lang w:bidi="he-IL"/>
        </w:rPr>
        <w:t>Events confirm Abraham’s assessment of his wife’s attractiveness and its results (v</w:t>
      </w:r>
      <w:r w:rsidR="00411F45">
        <w:rPr>
          <w:lang w:bidi="he-IL"/>
        </w:rPr>
        <w:t>v</w:t>
      </w:r>
      <w:r>
        <w:rPr>
          <w:lang w:bidi="he-IL"/>
        </w:rPr>
        <w:t>. 14</w:t>
      </w:r>
      <w:r w:rsidR="001420AF">
        <w:rPr>
          <w:lang w:bidi="he-IL"/>
        </w:rPr>
        <w:t>-15</w:t>
      </w:r>
      <w:r>
        <w:rPr>
          <w:lang w:bidi="he-IL"/>
        </w:rPr>
        <w:t>).</w:t>
      </w:r>
      <w:r w:rsidR="00BF4ED5">
        <w:rPr>
          <w:rStyle w:val="FootnoteReference"/>
          <w:lang w:bidi="he-IL"/>
        </w:rPr>
        <w:footnoteReference w:id="96"/>
      </w:r>
      <w:r>
        <w:rPr>
          <w:lang w:bidi="he-IL"/>
        </w:rPr>
        <w:t xml:space="preserve"> </w:t>
      </w:r>
      <w:r w:rsidR="001420AF">
        <w:rPr>
          <w:lang w:bidi="he-IL"/>
        </w:rPr>
        <w:t xml:space="preserve">If </w:t>
      </w:r>
      <w:r w:rsidR="00491D85">
        <w:rPr>
          <w:lang w:bidi="he-IL"/>
        </w:rPr>
        <w:t>Abraham isn’t very</w:t>
      </w:r>
      <w:r>
        <w:rPr>
          <w:lang w:bidi="he-IL"/>
        </w:rPr>
        <w:t xml:space="preserve"> patriarchal, Sarah has to deal with the patriarchal state of the world in general</w:t>
      </w:r>
      <w:r w:rsidR="001420AF">
        <w:rPr>
          <w:lang w:bidi="he-IL"/>
        </w:rPr>
        <w:t xml:space="preserve"> and </w:t>
      </w:r>
      <w:r w:rsidR="00491D85">
        <w:rPr>
          <w:lang w:bidi="he-IL"/>
        </w:rPr>
        <w:t xml:space="preserve">of </w:t>
      </w:r>
      <w:r w:rsidR="001420AF">
        <w:rPr>
          <w:lang w:bidi="he-IL"/>
        </w:rPr>
        <w:t>politics in particular</w:t>
      </w:r>
      <w:r>
        <w:rPr>
          <w:lang w:bidi="he-IL"/>
        </w:rPr>
        <w:t xml:space="preserve">. </w:t>
      </w:r>
      <w:r w:rsidR="001420AF">
        <w:rPr>
          <w:lang w:bidi="he-IL"/>
        </w:rPr>
        <w:t>P</w:t>
      </w:r>
      <w:r w:rsidR="005747CD">
        <w:rPr>
          <w:lang w:bidi="he-IL"/>
        </w:rPr>
        <w:t xml:space="preserve">erhaps Abraham had not worked out that it would be </w:t>
      </w:r>
      <w:r w:rsidR="004F37BA">
        <w:rPr>
          <w:lang w:bidi="he-IL"/>
        </w:rPr>
        <w:t>Ph</w:t>
      </w:r>
      <w:r w:rsidR="005747CD">
        <w:rPr>
          <w:lang w:bidi="he-IL"/>
        </w:rPr>
        <w:t xml:space="preserve">araoh’s staff who took a fancy to Sarah on </w:t>
      </w:r>
      <w:r w:rsidR="00F916CA">
        <w:rPr>
          <w:lang w:bidi="he-IL"/>
        </w:rPr>
        <w:t>t</w:t>
      </w:r>
      <w:r w:rsidR="005747CD">
        <w:rPr>
          <w:lang w:bidi="he-IL"/>
        </w:rPr>
        <w:t>hei</w:t>
      </w:r>
      <w:r w:rsidR="00F916CA">
        <w:rPr>
          <w:lang w:bidi="he-IL"/>
        </w:rPr>
        <w:t>r</w:t>
      </w:r>
      <w:r w:rsidR="005747CD">
        <w:rPr>
          <w:lang w:bidi="he-IL"/>
        </w:rPr>
        <w:t xml:space="preserve"> master’s behalf. </w:t>
      </w:r>
      <w:r>
        <w:rPr>
          <w:lang w:bidi="he-IL"/>
        </w:rPr>
        <w:t>An important person like a pharaoh keeps a harem as a mark of his status, and S</w:t>
      </w:r>
      <w:r w:rsidR="00411F45">
        <w:rPr>
          <w:lang w:bidi="he-IL"/>
        </w:rPr>
        <w:t>a</w:t>
      </w:r>
      <w:r>
        <w:rPr>
          <w:lang w:bidi="he-IL"/>
        </w:rPr>
        <w:t>rah</w:t>
      </w:r>
      <w:r w:rsidR="00411F45">
        <w:rPr>
          <w:lang w:bidi="he-IL"/>
        </w:rPr>
        <w:t xml:space="preserve"> has to join it. </w:t>
      </w:r>
      <w:r w:rsidR="00F916CA">
        <w:rPr>
          <w:lang w:bidi="he-IL"/>
        </w:rPr>
        <w:t xml:space="preserve">Maybe she never actually meets </w:t>
      </w:r>
      <w:r w:rsidR="004F37BA">
        <w:rPr>
          <w:lang w:bidi="he-IL"/>
        </w:rPr>
        <w:t>Ph</w:t>
      </w:r>
      <w:r w:rsidR="00F916CA">
        <w:rPr>
          <w:lang w:bidi="he-IL"/>
        </w:rPr>
        <w:t xml:space="preserve">araoh, </w:t>
      </w:r>
      <w:r w:rsidR="006C4D3A">
        <w:rPr>
          <w:lang w:bidi="he-IL"/>
        </w:rPr>
        <w:t>perhaps because she will need a six-month beauty treatment like Esther,</w:t>
      </w:r>
      <w:r w:rsidR="006C4D3A">
        <w:rPr>
          <w:rStyle w:val="FootnoteReference"/>
          <w:lang w:bidi="he-IL"/>
        </w:rPr>
        <w:footnoteReference w:id="97"/>
      </w:r>
      <w:r w:rsidR="006C4D3A">
        <w:rPr>
          <w:lang w:bidi="he-IL"/>
        </w:rPr>
        <w:t xml:space="preserve"> </w:t>
      </w:r>
      <w:r w:rsidR="00F916CA">
        <w:rPr>
          <w:lang w:bidi="he-IL"/>
        </w:rPr>
        <w:t xml:space="preserve">though at least </w:t>
      </w:r>
      <w:r w:rsidR="001420AF">
        <w:rPr>
          <w:lang w:bidi="he-IL"/>
        </w:rPr>
        <w:t>m</w:t>
      </w:r>
      <w:r w:rsidR="003B4B22">
        <w:rPr>
          <w:lang w:bidi="he-IL"/>
        </w:rPr>
        <w:t xml:space="preserve">oving into Pharaoh’s household </w:t>
      </w:r>
      <w:r w:rsidR="001420AF">
        <w:rPr>
          <w:lang w:bidi="he-IL"/>
        </w:rPr>
        <w:t>will give her the</w:t>
      </w:r>
      <w:r w:rsidR="00F916CA">
        <w:rPr>
          <w:lang w:bidi="he-IL"/>
        </w:rPr>
        <w:t xml:space="preserve"> chance to develop a distaste for Egyptian idolatry, garlic, and onions.</w:t>
      </w:r>
      <w:r w:rsidR="00F916CA">
        <w:rPr>
          <w:rStyle w:val="FootnoteReference"/>
          <w:lang w:bidi="he-IL"/>
        </w:rPr>
        <w:footnoteReference w:id="98"/>
      </w:r>
      <w:r w:rsidR="00F916CA">
        <w:rPr>
          <w:lang w:bidi="he-IL"/>
        </w:rPr>
        <w:t xml:space="preserve"> </w:t>
      </w:r>
      <w:r w:rsidR="005F1989" w:rsidRPr="005F1989">
        <w:rPr>
          <w:lang w:bidi="he-IL"/>
        </w:rPr>
        <w:t xml:space="preserve">A poem attributed to Ephrem imagines Sarah’s own opinions on this </w:t>
      </w:r>
      <w:r w:rsidR="005F1989">
        <w:rPr>
          <w:lang w:bidi="he-IL"/>
        </w:rPr>
        <w:t>entire episode</w:t>
      </w:r>
      <w:r w:rsidR="005F1989" w:rsidRPr="005F1989">
        <w:rPr>
          <w:lang w:bidi="he-IL"/>
        </w:rPr>
        <w:t>.</w:t>
      </w:r>
      <w:r w:rsidR="005F1989">
        <w:rPr>
          <w:rStyle w:val="FootnoteReference"/>
          <w:lang w:bidi="he-IL"/>
        </w:rPr>
        <w:footnoteReference w:id="99"/>
      </w:r>
      <w:r w:rsidR="005F1989">
        <w:rPr>
          <w:lang w:bidi="he-IL"/>
        </w:rPr>
        <w:t xml:space="preserve"> But the story does not look at things from her viewpoint, and neither do Abraham or Pharaoh.</w:t>
      </w:r>
      <w:r w:rsidR="005F1989">
        <w:rPr>
          <w:rStyle w:val="FootnoteReference"/>
          <w:lang w:bidi="he-IL"/>
        </w:rPr>
        <w:footnoteReference w:id="100"/>
      </w:r>
      <w:r w:rsidR="008B1689">
        <w:rPr>
          <w:lang w:bidi="he-IL"/>
        </w:rPr>
        <w:t xml:space="preserve"> It does indicate an ambiguity about both the </w:t>
      </w:r>
      <w:r w:rsidR="008B1689">
        <w:rPr>
          <w:lang w:bidi="he-IL"/>
        </w:rPr>
        <w:lastRenderedPageBreak/>
        <w:t>men she is involved with, in the way they treat her. And “t</w:t>
      </w:r>
      <w:r w:rsidR="008B1689" w:rsidRPr="008B1689">
        <w:rPr>
          <w:rFonts w:eastAsia="Times New Roman" w:cs="Times New Roman"/>
        </w:rPr>
        <w:t>he confrontation between Abram and Pharaoh does not end with the defeat of the wicked and the triumph of the upright. The central protagonists remain morally ambiguous.</w:t>
      </w:r>
      <w:r w:rsidR="008B1689">
        <w:rPr>
          <w:rFonts w:eastAsia="Times New Roman" w:cs="Times New Roman"/>
        </w:rPr>
        <w:t>”</w:t>
      </w:r>
      <w:r w:rsidR="008B1689">
        <w:rPr>
          <w:rStyle w:val="FootnoteReference"/>
          <w:rFonts w:eastAsia="Times New Roman" w:cs="Times New Roman"/>
        </w:rPr>
        <w:footnoteReference w:id="101"/>
      </w:r>
    </w:p>
    <w:p w14:paraId="14A57743" w14:textId="77777777" w:rsidR="0005171C" w:rsidRDefault="00411F45" w:rsidP="000A19ED">
      <w:pPr>
        <w:rPr>
          <w:lang w:bidi="he-IL"/>
        </w:rPr>
      </w:pPr>
      <w:r>
        <w:rPr>
          <w:lang w:bidi="he-IL"/>
        </w:rPr>
        <w:t>Abraham does well ou</w:t>
      </w:r>
      <w:r w:rsidR="005747CD">
        <w:rPr>
          <w:lang w:bidi="he-IL"/>
        </w:rPr>
        <w:t>t of the scheme</w:t>
      </w:r>
      <w:r w:rsidR="001420AF">
        <w:rPr>
          <w:lang w:bidi="he-IL"/>
        </w:rPr>
        <w:t xml:space="preserve"> (v. 16)</w:t>
      </w:r>
      <w:r w:rsidR="005747CD">
        <w:rPr>
          <w:lang w:bidi="he-IL"/>
        </w:rPr>
        <w:t>. H</w:t>
      </w:r>
      <w:r>
        <w:rPr>
          <w:lang w:bidi="he-IL"/>
        </w:rPr>
        <w:t>e is treated as hi</w:t>
      </w:r>
      <w:r w:rsidR="005747CD">
        <w:rPr>
          <w:lang w:bidi="he-IL"/>
        </w:rPr>
        <w:t xml:space="preserve">s sister’s guardian and </w:t>
      </w:r>
      <w:r w:rsidR="00491D85">
        <w:rPr>
          <w:lang w:bidi="he-IL"/>
        </w:rPr>
        <w:t xml:space="preserve">he </w:t>
      </w:r>
      <w:r>
        <w:rPr>
          <w:lang w:bidi="he-IL"/>
        </w:rPr>
        <w:t>receives the kind of wedding gifts that a wealthy man</w:t>
      </w:r>
      <w:r w:rsidR="00491D85">
        <w:rPr>
          <w:lang w:bidi="he-IL"/>
        </w:rPr>
        <w:t xml:space="preserve"> would give</w:t>
      </w:r>
      <w:r>
        <w:rPr>
          <w:lang w:bidi="he-IL"/>
        </w:rPr>
        <w:t xml:space="preserve">. </w:t>
      </w:r>
      <w:r w:rsidR="0005171C">
        <w:rPr>
          <w:lang w:bidi="he-IL"/>
        </w:rPr>
        <w:t>Flock</w:t>
      </w:r>
      <w:r w:rsidR="001420AF">
        <w:rPr>
          <w:lang w:bidi="he-IL"/>
        </w:rPr>
        <w:t>s cover</w:t>
      </w:r>
      <w:r w:rsidR="00491D85">
        <w:rPr>
          <w:lang w:bidi="he-IL"/>
        </w:rPr>
        <w:t xml:space="preserve"> </w:t>
      </w:r>
      <w:r w:rsidR="0005171C">
        <w:rPr>
          <w:lang w:bidi="he-IL"/>
        </w:rPr>
        <w:t>sheep and goats; herd</w:t>
      </w:r>
      <w:r w:rsidR="001420AF">
        <w:rPr>
          <w:lang w:bidi="he-IL"/>
        </w:rPr>
        <w:t>s cover</w:t>
      </w:r>
      <w:r w:rsidR="0005171C">
        <w:rPr>
          <w:lang w:bidi="he-IL"/>
        </w:rPr>
        <w:t xml:space="preserve"> oxen, bulls, and cows</w:t>
      </w:r>
      <w:r w:rsidR="001420AF">
        <w:rPr>
          <w:lang w:bidi="he-IL"/>
        </w:rPr>
        <w:t>; (male) donkeys carry things;</w:t>
      </w:r>
      <w:r w:rsidR="001E6E26">
        <w:rPr>
          <w:lang w:bidi="he-IL"/>
        </w:rPr>
        <w:t xml:space="preserve"> female donkeys carry people; camels </w:t>
      </w:r>
      <w:r w:rsidR="002228BF">
        <w:rPr>
          <w:lang w:bidi="he-IL"/>
        </w:rPr>
        <w:t>carry both. Camels</w:t>
      </w:r>
      <w:r w:rsidR="001420AF">
        <w:rPr>
          <w:lang w:bidi="he-IL"/>
        </w:rPr>
        <w:t xml:space="preserve"> </w:t>
      </w:r>
      <w:r w:rsidR="001E6E26">
        <w:rPr>
          <w:lang w:bidi="he-IL"/>
        </w:rPr>
        <w:t>appear several times in Genesi</w:t>
      </w:r>
      <w:r w:rsidR="002228BF">
        <w:rPr>
          <w:lang w:bidi="he-IL"/>
        </w:rPr>
        <w:t>s but there is little</w:t>
      </w:r>
      <w:r w:rsidR="001E6E26">
        <w:rPr>
          <w:lang w:bidi="he-IL"/>
        </w:rPr>
        <w:t xml:space="preserve"> other evidence </w:t>
      </w:r>
      <w:r w:rsidR="002228BF">
        <w:rPr>
          <w:lang w:bidi="he-IL"/>
        </w:rPr>
        <w:t>for them in Canaan</w:t>
      </w:r>
      <w:r w:rsidR="001E6E26">
        <w:rPr>
          <w:lang w:bidi="he-IL"/>
        </w:rPr>
        <w:t xml:space="preserve"> until after Moses’s day</w:t>
      </w:r>
      <w:r w:rsidR="001420AF">
        <w:rPr>
          <w:lang w:bidi="he-IL"/>
        </w:rPr>
        <w:t>,</w:t>
      </w:r>
      <w:r w:rsidR="001E6E26">
        <w:rPr>
          <w:lang w:bidi="he-IL"/>
        </w:rPr>
        <w:t xml:space="preserve"> so they may be another result</w:t>
      </w:r>
      <w:r w:rsidR="001420AF">
        <w:rPr>
          <w:lang w:bidi="he-IL"/>
        </w:rPr>
        <w:t xml:space="preserve"> of the story being told in term</w:t>
      </w:r>
      <w:r w:rsidR="001E6E26">
        <w:rPr>
          <w:lang w:bidi="he-IL"/>
        </w:rPr>
        <w:t>s that work for the listeners.</w:t>
      </w:r>
      <w:r w:rsidR="002228BF">
        <w:rPr>
          <w:lang w:bidi="he-IL"/>
        </w:rPr>
        <w:t xml:space="preserve"> Either way, they are a marker of distinctive prosperity.</w:t>
      </w:r>
    </w:p>
    <w:p w14:paraId="2ADD0EB2" w14:textId="4CEDAB7F" w:rsidR="00411F45" w:rsidRDefault="00E34DE5" w:rsidP="000A19ED">
      <w:pPr>
        <w:rPr>
          <w:lang w:bidi="he-IL"/>
        </w:rPr>
      </w:pPr>
      <w:r>
        <w:rPr>
          <w:b/>
          <w:lang w:bidi="he-IL"/>
        </w:rPr>
        <w:t>12:17—13:1</w:t>
      </w:r>
      <w:r w:rsidR="00FB01E1">
        <w:rPr>
          <w:b/>
          <w:lang w:bidi="he-IL"/>
        </w:rPr>
        <w:t xml:space="preserve">. </w:t>
      </w:r>
      <w:r w:rsidR="00D414D0">
        <w:rPr>
          <w:lang w:bidi="he-IL"/>
        </w:rPr>
        <w:t>W</w:t>
      </w:r>
      <w:r w:rsidR="00A367FA">
        <w:rPr>
          <w:lang w:bidi="he-IL"/>
        </w:rPr>
        <w:t xml:space="preserve">hat were Abraham and Sarah thinking? And what actually happened in the harem? </w:t>
      </w:r>
      <w:r w:rsidR="00411F45">
        <w:rPr>
          <w:lang w:bidi="he-IL"/>
        </w:rPr>
        <w:t>We d</w:t>
      </w:r>
      <w:r w:rsidR="00FB01E1">
        <w:rPr>
          <w:lang w:bidi="he-IL"/>
        </w:rPr>
        <w:t>on’t discover the answer</w:t>
      </w:r>
      <w:r w:rsidR="001420AF">
        <w:rPr>
          <w:lang w:bidi="he-IL"/>
        </w:rPr>
        <w:t xml:space="preserve"> to these questions, but we do get an indication</w:t>
      </w:r>
      <w:r w:rsidR="00411F45">
        <w:rPr>
          <w:lang w:bidi="he-IL"/>
        </w:rPr>
        <w:t xml:space="preserve"> of </w:t>
      </w:r>
      <w:r w:rsidR="001420AF">
        <w:rPr>
          <w:lang w:bidi="he-IL"/>
        </w:rPr>
        <w:t xml:space="preserve">what Yahweh is thinking. </w:t>
      </w:r>
      <w:r w:rsidR="00C01782">
        <w:rPr>
          <w:lang w:bidi="he-IL"/>
        </w:rPr>
        <w:t>It won’t be the last time in Genesis that Yahweh is absent when there is trouble but then intervenes.</w:t>
      </w:r>
      <w:r w:rsidR="00C01782" w:rsidRPr="00C01782">
        <w:rPr>
          <w:vertAlign w:val="superscript"/>
          <w:lang w:bidi="he-IL"/>
        </w:rPr>
        <w:footnoteReference w:id="102"/>
      </w:r>
      <w:r w:rsidR="00C01782">
        <w:rPr>
          <w:lang w:bidi="he-IL"/>
        </w:rPr>
        <w:t xml:space="preserve"> </w:t>
      </w:r>
      <w:r w:rsidR="001420AF">
        <w:rPr>
          <w:lang w:bidi="he-IL"/>
        </w:rPr>
        <w:t>He</w:t>
      </w:r>
      <w:r w:rsidR="00411F45">
        <w:rPr>
          <w:lang w:bidi="he-IL"/>
        </w:rPr>
        <w:t xml:space="preserve"> is not prepared to surrender Sarah, as Abraham is. Sarah is integral to the plan Yahweh has formu</w:t>
      </w:r>
      <w:r w:rsidR="00D414D0">
        <w:rPr>
          <w:lang w:bidi="he-IL"/>
        </w:rPr>
        <w:t>lated, which he announced in 12:</w:t>
      </w:r>
      <w:r w:rsidR="00411F45">
        <w:rPr>
          <w:lang w:bidi="he-IL"/>
        </w:rPr>
        <w:t>2.</w:t>
      </w:r>
      <w:r w:rsidR="00997B66">
        <w:rPr>
          <w:lang w:bidi="he-IL"/>
        </w:rPr>
        <w:t xml:space="preserve"> Genesis draws attentio</w:t>
      </w:r>
      <w:r w:rsidR="001920DA">
        <w:rPr>
          <w:lang w:bidi="he-IL"/>
        </w:rPr>
        <w:t>n to the real point about Sarah’</w:t>
      </w:r>
      <w:r w:rsidR="00997B66">
        <w:rPr>
          <w:lang w:bidi="he-IL"/>
        </w:rPr>
        <w:t xml:space="preserve">s </w:t>
      </w:r>
      <w:r w:rsidR="001920DA">
        <w:rPr>
          <w:lang w:bidi="he-IL"/>
        </w:rPr>
        <w:t xml:space="preserve">relationship to </w:t>
      </w:r>
      <w:r w:rsidR="00997B66">
        <w:rPr>
          <w:lang w:bidi="he-IL"/>
        </w:rPr>
        <w:t>Abraham</w:t>
      </w:r>
      <w:r w:rsidR="001920DA">
        <w:rPr>
          <w:lang w:bidi="he-IL"/>
        </w:rPr>
        <w:t>. She is hi</w:t>
      </w:r>
      <w:r w:rsidR="00997B66">
        <w:rPr>
          <w:lang w:bidi="he-IL"/>
        </w:rPr>
        <w:t xml:space="preserve">s wife, whether or not she is his sister. </w:t>
      </w:r>
      <w:r w:rsidR="003D56BA">
        <w:rPr>
          <w:lang w:bidi="he-IL"/>
        </w:rPr>
        <w:t>“</w:t>
      </w:r>
      <w:r w:rsidR="001920DA">
        <w:rPr>
          <w:lang w:bidi="he-IL"/>
        </w:rPr>
        <w:t>Afflictions</w:t>
      </w:r>
      <w:r w:rsidR="003D56BA">
        <w:rPr>
          <w:lang w:bidi="he-IL"/>
        </w:rPr>
        <w:t>”</w:t>
      </w:r>
      <w:r w:rsidR="001920DA">
        <w:rPr>
          <w:lang w:bidi="he-IL"/>
        </w:rPr>
        <w:t xml:space="preserve"> is </w:t>
      </w:r>
      <w:r w:rsidR="004F2469">
        <w:rPr>
          <w:lang w:bidi="he-IL"/>
        </w:rPr>
        <w:t>nicely the term that accompanies reference to food shortage in 1 Kings 8:35-37, with a hint that Abraham has brought trouble on the Egyptians in order to try to resolve the trouble he was in, thou</w:t>
      </w:r>
      <w:r w:rsidR="001420AF">
        <w:rPr>
          <w:lang w:bidi="he-IL"/>
        </w:rPr>
        <w:t xml:space="preserve">gh the vast bulk of occurrences of the term </w:t>
      </w:r>
      <w:r w:rsidR="004F2469">
        <w:rPr>
          <w:lang w:bidi="he-IL"/>
        </w:rPr>
        <w:t>come in Lev 13—</w:t>
      </w:r>
      <w:r w:rsidR="00FB01E1">
        <w:rPr>
          <w:lang w:bidi="he-IL"/>
        </w:rPr>
        <w:t>14 to describe the skin ailment</w:t>
      </w:r>
      <w:r w:rsidR="00491D85">
        <w:rPr>
          <w:lang w:bidi="he-IL"/>
        </w:rPr>
        <w:t xml:space="preserve"> commonly termed</w:t>
      </w:r>
      <w:r w:rsidR="004F2469">
        <w:rPr>
          <w:lang w:bidi="he-IL"/>
        </w:rPr>
        <w:t xml:space="preserve"> leprosy. </w:t>
      </w:r>
      <w:r w:rsidR="00FB01E1">
        <w:rPr>
          <w:lang w:bidi="he-IL"/>
        </w:rPr>
        <w:t>It wouldn’t be surprising if the</w:t>
      </w:r>
      <w:r w:rsidR="00491D85">
        <w:rPr>
          <w:lang w:bidi="he-IL"/>
        </w:rPr>
        <w:t>se</w:t>
      </w:r>
      <w:r w:rsidR="00FB01E1">
        <w:rPr>
          <w:lang w:bidi="he-IL"/>
        </w:rPr>
        <w:t xml:space="preserve"> afflicti</w:t>
      </w:r>
      <w:r w:rsidR="00491D85">
        <w:rPr>
          <w:lang w:bidi="he-IL"/>
        </w:rPr>
        <w:t>ons</w:t>
      </w:r>
      <w:r w:rsidR="00FB01E1">
        <w:rPr>
          <w:lang w:bidi="he-IL"/>
        </w:rPr>
        <w:t xml:space="preserve"> were venereal disease, which would inhibit sexual activity and thus protect Sarah.</w:t>
      </w:r>
      <w:r w:rsidR="006C4D3A">
        <w:rPr>
          <w:rStyle w:val="FootnoteReference"/>
          <w:lang w:bidi="he-IL"/>
        </w:rPr>
        <w:footnoteReference w:id="103"/>
      </w:r>
      <w:r w:rsidR="00D414D0">
        <w:rPr>
          <w:lang w:bidi="he-IL"/>
        </w:rPr>
        <w:t xml:space="preserve"> But m</w:t>
      </w:r>
      <w:r w:rsidR="00FB01E1">
        <w:rPr>
          <w:lang w:bidi="he-IL"/>
        </w:rPr>
        <w:t xml:space="preserve">ore scarily for an Egyptian, the next time the Torah refers to an </w:t>
      </w:r>
      <w:r w:rsidR="00491D85">
        <w:rPr>
          <w:lang w:bidi="he-IL"/>
        </w:rPr>
        <w:t>“</w:t>
      </w:r>
      <w:r w:rsidR="00FB01E1">
        <w:rPr>
          <w:lang w:bidi="he-IL"/>
        </w:rPr>
        <w:t>affliction,</w:t>
      </w:r>
      <w:r w:rsidR="00491D85">
        <w:rPr>
          <w:lang w:bidi="he-IL"/>
        </w:rPr>
        <w:t>”</w:t>
      </w:r>
      <w:r w:rsidR="00FB01E1">
        <w:rPr>
          <w:lang w:bidi="he-IL"/>
        </w:rPr>
        <w:t xml:space="preserve"> it is the death of Egypt’s firstborn (Exod 11:1). </w:t>
      </w:r>
      <w:r w:rsidR="00D414D0">
        <w:rPr>
          <w:lang w:bidi="he-IL"/>
        </w:rPr>
        <w:t>And like that trouble, this trouble comes because God acts,</w:t>
      </w:r>
      <w:r w:rsidR="00D82708">
        <w:rPr>
          <w:lang w:bidi="he-IL"/>
        </w:rPr>
        <w:t xml:space="preserve"> not because wrongdoing </w:t>
      </w:r>
      <w:r w:rsidR="003D56BA">
        <w:rPr>
          <w:lang w:bidi="he-IL"/>
        </w:rPr>
        <w:t>“</w:t>
      </w:r>
      <w:r w:rsidR="00D82708">
        <w:rPr>
          <w:lang w:bidi="he-IL"/>
        </w:rPr>
        <w:t>naturally</w:t>
      </w:r>
      <w:r w:rsidR="003D56BA">
        <w:rPr>
          <w:lang w:bidi="he-IL"/>
        </w:rPr>
        <w:t>”</w:t>
      </w:r>
      <w:r w:rsidR="00D82708">
        <w:rPr>
          <w:lang w:bidi="he-IL"/>
        </w:rPr>
        <w:t xml:space="preserve"> </w:t>
      </w:r>
      <w:r w:rsidR="00D414D0">
        <w:rPr>
          <w:lang w:bidi="he-IL"/>
        </w:rPr>
        <w:t>has its outworking</w:t>
      </w:r>
      <w:r w:rsidR="00D82708">
        <w:rPr>
          <w:lang w:bidi="he-IL"/>
        </w:rPr>
        <w:t xml:space="preserve">. </w:t>
      </w:r>
      <w:r w:rsidR="00D82708" w:rsidRPr="00D82708">
        <w:rPr>
          <w:lang w:bidi="he-IL"/>
        </w:rPr>
        <w:t xml:space="preserve">As usual, </w:t>
      </w:r>
      <w:r w:rsidR="00D82708">
        <w:rPr>
          <w:lang w:bidi="he-IL"/>
        </w:rPr>
        <w:t>adversity</w:t>
      </w:r>
      <w:r w:rsidR="00D82708" w:rsidRPr="00D82708">
        <w:rPr>
          <w:lang w:bidi="he-IL"/>
        </w:rPr>
        <w:t xml:space="preserve"> for </w:t>
      </w:r>
      <w:r w:rsidR="00D82708">
        <w:rPr>
          <w:lang w:bidi="he-IL"/>
        </w:rPr>
        <w:t xml:space="preserve">a leader means </w:t>
      </w:r>
      <w:r w:rsidR="00D82708" w:rsidRPr="00D82708">
        <w:rPr>
          <w:lang w:bidi="he-IL"/>
        </w:rPr>
        <w:t>adversity for his ho</w:t>
      </w:r>
      <w:r w:rsidR="00D82708">
        <w:rPr>
          <w:lang w:bidi="he-IL"/>
        </w:rPr>
        <w:t>usehold, as blessing for a leader</w:t>
      </w:r>
      <w:r w:rsidR="00D82708" w:rsidRPr="00D82708">
        <w:rPr>
          <w:lang w:bidi="he-IL"/>
        </w:rPr>
        <w:t xml:space="preserve"> means blessing for his household. </w:t>
      </w:r>
      <w:r w:rsidR="00FB01E1">
        <w:rPr>
          <w:lang w:bidi="he-IL"/>
        </w:rPr>
        <w:t xml:space="preserve">Yahweh is evidently not troubled about the </w:t>
      </w:r>
      <w:r w:rsidR="003D56BA">
        <w:rPr>
          <w:lang w:bidi="he-IL"/>
        </w:rPr>
        <w:t>“</w:t>
      </w:r>
      <w:r w:rsidR="00FB01E1">
        <w:rPr>
          <w:lang w:bidi="he-IL"/>
        </w:rPr>
        <w:t>unfairness</w:t>
      </w:r>
      <w:r w:rsidR="003D56BA">
        <w:rPr>
          <w:lang w:bidi="he-IL"/>
        </w:rPr>
        <w:t>”</w:t>
      </w:r>
      <w:r w:rsidR="00FB01E1">
        <w:rPr>
          <w:lang w:bidi="he-IL"/>
        </w:rPr>
        <w:t xml:space="preserve"> involved in his treatment of </w:t>
      </w:r>
      <w:r w:rsidR="00D82708">
        <w:rPr>
          <w:lang w:bidi="he-IL"/>
        </w:rPr>
        <w:t xml:space="preserve">Pharaoh and </w:t>
      </w:r>
      <w:r w:rsidR="00FB01E1">
        <w:rPr>
          <w:lang w:bidi="he-IL"/>
        </w:rPr>
        <w:t xml:space="preserve">the Egyptians. There are bigger issues at stake. </w:t>
      </w:r>
      <w:r w:rsidR="007507A5">
        <w:rPr>
          <w:lang w:bidi="he-IL"/>
        </w:rPr>
        <w:t>And presumably the afflictions disappear once the Egyptians have got rid of Abraham and Sarah.</w:t>
      </w:r>
    </w:p>
    <w:p w14:paraId="7D8995D5" w14:textId="3FF443B0" w:rsidR="00E34DE5" w:rsidRDefault="007507A5" w:rsidP="000A19ED">
      <w:pPr>
        <w:rPr>
          <w:rStyle w:val="st"/>
        </w:rPr>
      </w:pPr>
      <w:r>
        <w:rPr>
          <w:lang w:bidi="he-IL"/>
        </w:rPr>
        <w:t>W</w:t>
      </w:r>
      <w:r w:rsidR="00411F45">
        <w:rPr>
          <w:lang w:bidi="he-IL"/>
        </w:rPr>
        <w:t xml:space="preserve">e </w:t>
      </w:r>
      <w:r w:rsidR="00D414D0">
        <w:rPr>
          <w:lang w:bidi="he-IL"/>
        </w:rPr>
        <w:t>d</w:t>
      </w:r>
      <w:r>
        <w:rPr>
          <w:lang w:bidi="he-IL"/>
        </w:rPr>
        <w:t xml:space="preserve">o </w:t>
      </w:r>
      <w:r w:rsidR="00411F45">
        <w:rPr>
          <w:lang w:bidi="he-IL"/>
        </w:rPr>
        <w:t xml:space="preserve">discover what </w:t>
      </w:r>
      <w:r w:rsidR="004F37BA">
        <w:rPr>
          <w:lang w:bidi="he-IL"/>
        </w:rPr>
        <w:t>Ph</w:t>
      </w:r>
      <w:r w:rsidR="00411F45">
        <w:rPr>
          <w:lang w:bidi="he-IL"/>
        </w:rPr>
        <w:t>araoh wa</w:t>
      </w:r>
      <w:r>
        <w:rPr>
          <w:lang w:bidi="he-IL"/>
        </w:rPr>
        <w:t>s thinking (v</w:t>
      </w:r>
      <w:r w:rsidR="002B48AD">
        <w:rPr>
          <w:lang w:bidi="he-IL"/>
        </w:rPr>
        <w:t>v</w:t>
      </w:r>
      <w:r>
        <w:rPr>
          <w:lang w:bidi="he-IL"/>
        </w:rPr>
        <w:t>. 18</w:t>
      </w:r>
      <w:r w:rsidR="002B48AD">
        <w:rPr>
          <w:lang w:bidi="he-IL"/>
        </w:rPr>
        <w:t>-19</w:t>
      </w:r>
      <w:r w:rsidR="00491D85">
        <w:rPr>
          <w:lang w:bidi="he-IL"/>
        </w:rPr>
        <w:t xml:space="preserve">). While Gen 12 has not previously </w:t>
      </w:r>
      <w:r>
        <w:rPr>
          <w:lang w:bidi="he-IL"/>
        </w:rPr>
        <w:t>referred to the call of Abraham, it now does</w:t>
      </w:r>
      <w:r w:rsidR="00D82708">
        <w:rPr>
          <w:lang w:bidi="he-IL"/>
        </w:rPr>
        <w:t>, but it is Pharaoh who does the calling</w:t>
      </w:r>
      <w:r>
        <w:rPr>
          <w:lang w:bidi="he-IL"/>
        </w:rPr>
        <w:t xml:space="preserve">. We don’t discover how </w:t>
      </w:r>
      <w:r w:rsidR="004F37BA">
        <w:rPr>
          <w:lang w:bidi="he-IL"/>
        </w:rPr>
        <w:t>Ph</w:t>
      </w:r>
      <w:r>
        <w:rPr>
          <w:lang w:bidi="he-IL"/>
        </w:rPr>
        <w:t>araoh learned the fuller truth about</w:t>
      </w:r>
      <w:r w:rsidR="00D82708">
        <w:rPr>
          <w:lang w:bidi="he-IL"/>
        </w:rPr>
        <w:t xml:space="preserve"> Sarah’s status</w:t>
      </w:r>
      <w:r w:rsidR="00EB7FA7">
        <w:rPr>
          <w:lang w:bidi="he-IL"/>
        </w:rPr>
        <w:t xml:space="preserve"> (contrast 20:1-3)</w:t>
      </w:r>
      <w:r w:rsidR="00D82708">
        <w:rPr>
          <w:lang w:bidi="he-IL"/>
        </w:rPr>
        <w:t xml:space="preserve">. We do see </w:t>
      </w:r>
      <w:r w:rsidR="004F37BA">
        <w:rPr>
          <w:lang w:bidi="he-IL"/>
        </w:rPr>
        <w:t>Ph</w:t>
      </w:r>
      <w:r w:rsidR="00D82708">
        <w:rPr>
          <w:lang w:bidi="he-IL"/>
        </w:rPr>
        <w:t>araoh doing</w:t>
      </w:r>
      <w:r>
        <w:rPr>
          <w:lang w:bidi="he-IL"/>
        </w:rPr>
        <w:t xml:space="preserve"> the right thing</w:t>
      </w:r>
      <w:r w:rsidR="0063291F">
        <w:rPr>
          <w:lang w:bidi="he-IL"/>
        </w:rPr>
        <w:t>,</w:t>
      </w:r>
      <w:r w:rsidR="008B1689">
        <w:rPr>
          <w:lang w:bidi="he-IL"/>
        </w:rPr>
        <w:t xml:space="preserve"> which is also the thing</w:t>
      </w:r>
      <w:r>
        <w:rPr>
          <w:lang w:bidi="he-IL"/>
        </w:rPr>
        <w:t xml:space="preserve"> that is in his interest. </w:t>
      </w:r>
      <w:r w:rsidR="003D56BA">
        <w:rPr>
          <w:lang w:bidi="he-IL"/>
        </w:rPr>
        <w:t>“</w:t>
      </w:r>
      <w:r w:rsidR="00A367FA">
        <w:rPr>
          <w:lang w:bidi="he-IL"/>
        </w:rPr>
        <w:t xml:space="preserve">The Egyptian emerges rather saintly, </w:t>
      </w:r>
      <w:r w:rsidR="00A367FA">
        <w:rPr>
          <w:rStyle w:val="st"/>
        </w:rPr>
        <w:t>but Abram, the one in whom the Egyptians and other nations are to be blessed, appears rather sinister.</w:t>
      </w:r>
      <w:r w:rsidR="003D56BA">
        <w:rPr>
          <w:rStyle w:val="st"/>
        </w:rPr>
        <w:t>”</w:t>
      </w:r>
      <w:r w:rsidR="00A367FA">
        <w:rPr>
          <w:rStyle w:val="FootnoteReference"/>
        </w:rPr>
        <w:footnoteReference w:id="104"/>
      </w:r>
      <w:r w:rsidR="001D5CCF">
        <w:rPr>
          <w:rStyle w:val="st"/>
        </w:rPr>
        <w:t xml:space="preserve"> Indeed, he brings curse rather than blessing.</w:t>
      </w:r>
    </w:p>
    <w:p w14:paraId="2245FE0C" w14:textId="77777777" w:rsidR="002A2F39" w:rsidRDefault="002B48AD" w:rsidP="002A2F39">
      <w:pPr>
        <w:rPr>
          <w:lang w:bidi="he-IL"/>
        </w:rPr>
      </w:pPr>
      <w:r>
        <w:rPr>
          <w:rStyle w:val="st"/>
        </w:rPr>
        <w:t xml:space="preserve">So </w:t>
      </w:r>
      <w:r w:rsidR="004F37BA">
        <w:rPr>
          <w:rStyle w:val="st"/>
        </w:rPr>
        <w:t>Ph</w:t>
      </w:r>
      <w:r>
        <w:rPr>
          <w:rStyle w:val="st"/>
        </w:rPr>
        <w:t>araoh sends Abraham off (12:20—13:1), as</w:t>
      </w:r>
      <w:r w:rsidRPr="002B48AD">
        <w:t xml:space="preserve"> Yahweh God sent off</w:t>
      </w:r>
      <w:r>
        <w:t xml:space="preserve"> Adam and Eve from his garden</w:t>
      </w:r>
      <w:r w:rsidRPr="002B48AD">
        <w:t xml:space="preserve"> </w:t>
      </w:r>
      <w:r>
        <w:t>(</w:t>
      </w:r>
      <w:r w:rsidRPr="002B48AD">
        <w:t>3:23)</w:t>
      </w:r>
      <w:r>
        <w:t xml:space="preserve">. They </w:t>
      </w:r>
      <w:r w:rsidR="002A2F39">
        <w:rPr>
          <w:lang w:bidi="he-IL"/>
        </w:rPr>
        <w:t>return to the southland,</w:t>
      </w:r>
      <w:r w:rsidR="00C5299B">
        <w:rPr>
          <w:rStyle w:val="FootnoteReference"/>
          <w:lang w:bidi="he-IL"/>
        </w:rPr>
        <w:footnoteReference w:id="105"/>
      </w:r>
      <w:r w:rsidR="002A2F39">
        <w:rPr>
          <w:lang w:bidi="he-IL"/>
        </w:rPr>
        <w:t xml:space="preserve"> to where things started to go wrong, and to where the story can get back on track.</w:t>
      </w:r>
      <w:r>
        <w:rPr>
          <w:lang w:bidi="he-IL"/>
        </w:rPr>
        <w:t xml:space="preserve"> Genesis draws attention to the combined presence of Abraham and his possessions and Sarah and Lot, as in 12:5.</w:t>
      </w:r>
    </w:p>
    <w:p w14:paraId="30F00FF2" w14:textId="48A339D9" w:rsidR="00375245" w:rsidRDefault="00E34DE5" w:rsidP="000A19ED">
      <w:pPr>
        <w:rPr>
          <w:lang w:bidi="he-IL"/>
        </w:rPr>
      </w:pPr>
      <w:r>
        <w:rPr>
          <w:b/>
          <w:lang w:bidi="he-IL"/>
        </w:rPr>
        <w:t xml:space="preserve">13:2-4. </w:t>
      </w:r>
      <w:r>
        <w:rPr>
          <w:lang w:bidi="he-IL"/>
        </w:rPr>
        <w:t xml:space="preserve">Abraham’s livestock will include the ones given him by </w:t>
      </w:r>
      <w:r w:rsidR="004F37BA">
        <w:rPr>
          <w:lang w:bidi="he-IL"/>
        </w:rPr>
        <w:t>Ph</w:t>
      </w:r>
      <w:r>
        <w:rPr>
          <w:lang w:bidi="he-IL"/>
        </w:rPr>
        <w:t>araoh as a wedding gift</w:t>
      </w:r>
      <w:r w:rsidR="0063291F">
        <w:rPr>
          <w:lang w:bidi="he-IL"/>
        </w:rPr>
        <w:t xml:space="preserve"> for Sarah</w:t>
      </w:r>
      <w:r w:rsidR="0066394D">
        <w:rPr>
          <w:lang w:bidi="he-IL"/>
        </w:rPr>
        <w:t>. P</w:t>
      </w:r>
      <w:r w:rsidR="00375245">
        <w:rPr>
          <w:lang w:bidi="he-IL"/>
        </w:rPr>
        <w:t>erhaps the same applies to the silver and gold,</w:t>
      </w:r>
      <w:r w:rsidR="00B81F1C">
        <w:rPr>
          <w:rStyle w:val="FootnoteReference"/>
          <w:lang w:bidi="he-IL"/>
        </w:rPr>
        <w:footnoteReference w:id="106"/>
      </w:r>
      <w:r w:rsidR="00375245">
        <w:rPr>
          <w:lang w:bidi="he-IL"/>
        </w:rPr>
        <w:t xml:space="preserve"> if the anticipation of the exodus holds further: see Exod 11:2, just after the reference to a</w:t>
      </w:r>
      <w:r w:rsidR="0063291F">
        <w:rPr>
          <w:lang w:bidi="he-IL"/>
        </w:rPr>
        <w:t>ffliction (also 3:22; 12:35; also</w:t>
      </w:r>
      <w:r w:rsidR="00375245">
        <w:rPr>
          <w:lang w:bidi="he-IL"/>
        </w:rPr>
        <w:t xml:space="preserve"> Gen 20:16; and the description </w:t>
      </w:r>
      <w:r w:rsidR="00375245">
        <w:rPr>
          <w:lang w:bidi="he-IL"/>
        </w:rPr>
        <w:lastRenderedPageBreak/>
        <w:t xml:space="preserve">of wedding gifts in 24:53). Getting </w:t>
      </w:r>
      <w:r w:rsidR="00952C5E">
        <w:rPr>
          <w:lang w:bidi="he-IL"/>
        </w:rPr>
        <w:t>back to the southland</w:t>
      </w:r>
      <w:r w:rsidR="00375245">
        <w:rPr>
          <w:lang w:bidi="he-IL"/>
        </w:rPr>
        <w:t xml:space="preserve">, he resumes his Bedouin-like </w:t>
      </w:r>
      <w:r w:rsidR="003D56BA">
        <w:rPr>
          <w:lang w:bidi="he-IL"/>
        </w:rPr>
        <w:t>“</w:t>
      </w:r>
      <w:r w:rsidR="00375245">
        <w:rPr>
          <w:lang w:bidi="he-IL"/>
        </w:rPr>
        <w:t>moving on</w:t>
      </w:r>
      <w:r w:rsidR="003D56BA">
        <w:rPr>
          <w:lang w:bidi="he-IL"/>
        </w:rPr>
        <w:t>”</w:t>
      </w:r>
      <w:r w:rsidR="00375245">
        <w:rPr>
          <w:lang w:bidi="he-IL"/>
        </w:rPr>
        <w:t xml:space="preserve"> but retraces his footsteps </w:t>
      </w:r>
      <w:r w:rsidR="0066394D">
        <w:rPr>
          <w:lang w:bidi="he-IL"/>
        </w:rPr>
        <w:t>back to where he was in 12:8</w:t>
      </w:r>
      <w:r w:rsidR="005D5FB0">
        <w:rPr>
          <w:lang w:bidi="he-IL"/>
        </w:rPr>
        <w:t>, back to the altar he had set up there, and back to doing his own calling</w:t>
      </w:r>
      <w:r w:rsidR="001536C2">
        <w:rPr>
          <w:lang w:bidi="he-IL"/>
        </w:rPr>
        <w:t>, with Yahweh’s name,</w:t>
      </w:r>
      <w:r w:rsidR="001536C2">
        <w:rPr>
          <w:rStyle w:val="FootnoteReference"/>
          <w:lang w:bidi="he-IL"/>
        </w:rPr>
        <w:footnoteReference w:id="107"/>
      </w:r>
      <w:r w:rsidR="001536C2">
        <w:rPr>
          <w:lang w:bidi="he-IL"/>
        </w:rPr>
        <w:t xml:space="preserve"> as he had earlier called out</w:t>
      </w:r>
      <w:r w:rsidR="005D5FB0">
        <w:rPr>
          <w:lang w:bidi="he-IL"/>
        </w:rPr>
        <w:t xml:space="preserve"> there. Yes, the story is back on track.</w:t>
      </w:r>
      <w:r w:rsidR="001D4D7D">
        <w:rPr>
          <w:lang w:bidi="he-IL"/>
        </w:rPr>
        <w:t xml:space="preserve"> </w:t>
      </w:r>
    </w:p>
    <w:p w14:paraId="04A08511" w14:textId="77777777" w:rsidR="00050CED" w:rsidRDefault="00050CED">
      <w:pPr>
        <w:spacing w:after="200" w:line="276" w:lineRule="auto"/>
        <w:ind w:firstLine="0"/>
        <w:rPr>
          <w:rFonts w:ascii="Calibri" w:eastAsia="Times New Roman" w:hAnsi="Calibri" w:cs="Times New Roman"/>
          <w:szCs w:val="20"/>
          <w:lang w:bidi="he-IL"/>
        </w:rPr>
      </w:pPr>
      <w:r>
        <w:rPr>
          <w:lang w:bidi="he-IL"/>
        </w:rPr>
        <w:br w:type="page"/>
      </w:r>
    </w:p>
    <w:p w14:paraId="1D1DA1F6" w14:textId="77777777" w:rsidR="00050CED" w:rsidRDefault="00050CED" w:rsidP="00050CED">
      <w:pPr>
        <w:pStyle w:val="Heading1"/>
        <w:rPr>
          <w:lang w:bidi="he-IL"/>
        </w:rPr>
      </w:pPr>
      <w:r>
        <w:rPr>
          <w:lang w:bidi="he-IL"/>
        </w:rPr>
        <w:lastRenderedPageBreak/>
        <w:t>Genesis 13:5-18</w:t>
      </w:r>
      <w:r w:rsidRPr="00DA695A">
        <w:rPr>
          <w:lang w:bidi="he-IL"/>
        </w:rPr>
        <w:t>—</w:t>
      </w:r>
      <w:proofErr w:type="gramStart"/>
      <w:r w:rsidRPr="00DA695A">
        <w:rPr>
          <w:lang w:bidi="he-IL"/>
        </w:rPr>
        <w:t>The</w:t>
      </w:r>
      <w:proofErr w:type="gramEnd"/>
      <w:r w:rsidRPr="00DA695A">
        <w:rPr>
          <w:lang w:bidi="he-IL"/>
        </w:rPr>
        <w:t xml:space="preserve"> </w:t>
      </w:r>
      <w:r>
        <w:rPr>
          <w:lang w:bidi="he-IL"/>
        </w:rPr>
        <w:t>Scarcity of Land</w:t>
      </w:r>
    </w:p>
    <w:p w14:paraId="14DB2A78" w14:textId="77777777" w:rsidR="00050CED" w:rsidRDefault="00050CED" w:rsidP="00050CED">
      <w:pPr>
        <w:pStyle w:val="ListParagraph"/>
        <w:ind w:left="720" w:firstLine="0"/>
        <w:rPr>
          <w:lang w:bidi="he-IL"/>
        </w:rPr>
      </w:pPr>
    </w:p>
    <w:p w14:paraId="36F8F7BD" w14:textId="77777777" w:rsidR="00141055" w:rsidRPr="00DA695A" w:rsidRDefault="00141055" w:rsidP="00141055">
      <w:pPr>
        <w:pStyle w:val="Heading2"/>
        <w:rPr>
          <w:lang w:bidi="he-IL"/>
        </w:rPr>
      </w:pPr>
      <w:r>
        <w:rPr>
          <w:lang w:bidi="he-IL"/>
        </w:rPr>
        <w:t>Overview</w:t>
      </w:r>
    </w:p>
    <w:p w14:paraId="0844E5B4" w14:textId="5A442293" w:rsidR="00050CED" w:rsidRDefault="00741F70" w:rsidP="00050CED">
      <w:pPr>
        <w:pStyle w:val="ListParagraph"/>
        <w:ind w:left="0" w:firstLine="720"/>
        <w:rPr>
          <w:lang w:bidi="he-IL"/>
        </w:rPr>
      </w:pPr>
      <w:r>
        <w:rPr>
          <w:lang w:bidi="he-IL"/>
        </w:rPr>
        <w:t>In a sense, the problem in this next story</w:t>
      </w:r>
      <w:r w:rsidR="00050CED">
        <w:rPr>
          <w:lang w:bidi="he-IL"/>
        </w:rPr>
        <w:t xml:space="preserve"> is the problem of abundance, </w:t>
      </w:r>
      <w:r>
        <w:rPr>
          <w:lang w:bidi="he-IL"/>
        </w:rPr>
        <w:t>in that both Abra</w:t>
      </w:r>
      <w:r w:rsidR="00BF4EE8">
        <w:rPr>
          <w:lang w:bidi="he-IL"/>
        </w:rPr>
        <w:t>ha</w:t>
      </w:r>
      <w:r>
        <w:rPr>
          <w:lang w:bidi="he-IL"/>
        </w:rPr>
        <w:t>m and Lot have many flocks and herds and people</w:t>
      </w:r>
      <w:r w:rsidR="00EE46EB">
        <w:rPr>
          <w:lang w:bidi="he-IL"/>
        </w:rPr>
        <w:t>. But in another sense it is again the problem of scarcity,</w:t>
      </w:r>
      <w:r>
        <w:rPr>
          <w:lang w:bidi="he-IL"/>
        </w:rPr>
        <w:t xml:space="preserve"> in that there are not enough resources to fulfill the needs that follow. What is Abraham to do when the resultant </w:t>
      </w:r>
      <w:r w:rsidR="00EE46EB">
        <w:rPr>
          <w:lang w:bidi="he-IL"/>
        </w:rPr>
        <w:t xml:space="preserve">twofold </w:t>
      </w:r>
      <w:r>
        <w:rPr>
          <w:lang w:bidi="he-IL"/>
        </w:rPr>
        <w:t xml:space="preserve">problem issues in conflict </w:t>
      </w:r>
      <w:r w:rsidRPr="00741F70">
        <w:rPr>
          <w:lang w:bidi="he-IL"/>
        </w:rPr>
        <w:t>within the extended family</w:t>
      </w:r>
      <w:r>
        <w:rPr>
          <w:lang w:bidi="he-IL"/>
        </w:rPr>
        <w:t>?</w:t>
      </w:r>
      <w:r w:rsidR="0097307B">
        <w:rPr>
          <w:lang w:bidi="he-IL"/>
        </w:rPr>
        <w:t xml:space="preserve"> The answer is, split, and be generous: let Lot choose the land he wants and </w:t>
      </w:r>
      <w:r>
        <w:rPr>
          <w:lang w:bidi="he-IL"/>
        </w:rPr>
        <w:t>Abraham will go elsewhere. T</w:t>
      </w:r>
      <w:r w:rsidR="0097307B">
        <w:rPr>
          <w:lang w:bidi="he-IL"/>
        </w:rPr>
        <w:t>hat generosity solves the problem of conflict. But Abraham’s action again has unforeseen consequences. On</w:t>
      </w:r>
      <w:r w:rsidR="004D403B">
        <w:rPr>
          <w:lang w:bidi="he-IL"/>
        </w:rPr>
        <w:t>e is that</w:t>
      </w:r>
      <w:r w:rsidR="00EE46EB">
        <w:rPr>
          <w:lang w:bidi="he-IL"/>
        </w:rPr>
        <w:t xml:space="preserve"> Lot</w:t>
      </w:r>
      <w:r w:rsidR="0097307B">
        <w:rPr>
          <w:lang w:bidi="he-IL"/>
        </w:rPr>
        <w:t xml:space="preserve"> cho</w:t>
      </w:r>
      <w:r w:rsidR="00EE46EB">
        <w:rPr>
          <w:lang w:bidi="he-IL"/>
        </w:rPr>
        <w:t>oses</w:t>
      </w:r>
      <w:r w:rsidR="0097307B">
        <w:rPr>
          <w:lang w:bidi="he-IL"/>
        </w:rPr>
        <w:t xml:space="preserve"> to go and live near </w:t>
      </w:r>
      <w:r w:rsidR="004D403B">
        <w:rPr>
          <w:lang w:bidi="he-IL"/>
        </w:rPr>
        <w:t xml:space="preserve">the wicked city of Sodom. Another is that he has </w:t>
      </w:r>
      <w:r w:rsidR="00BC16DF">
        <w:rPr>
          <w:lang w:bidi="he-IL"/>
        </w:rPr>
        <w:t xml:space="preserve">left Abraham without </w:t>
      </w:r>
      <w:r w:rsidR="00EE46EB">
        <w:rPr>
          <w:lang w:bidi="he-IL"/>
        </w:rPr>
        <w:t xml:space="preserve">a possible </w:t>
      </w:r>
      <w:r w:rsidR="00BC16DF">
        <w:rPr>
          <w:lang w:bidi="he-IL"/>
        </w:rPr>
        <w:t>heir.</w:t>
      </w:r>
      <w:r w:rsidR="00BC16DF">
        <w:rPr>
          <w:rStyle w:val="FootnoteReference"/>
          <w:lang w:bidi="he-IL"/>
        </w:rPr>
        <w:footnoteReference w:id="108"/>
      </w:r>
      <w:r w:rsidR="00BC16DF">
        <w:rPr>
          <w:lang w:bidi="he-IL"/>
        </w:rPr>
        <w:t xml:space="preserve"> </w:t>
      </w:r>
      <w:r w:rsidR="00EE46EB">
        <w:rPr>
          <w:lang w:bidi="he-IL"/>
        </w:rPr>
        <w:t xml:space="preserve">But yet another </w:t>
      </w:r>
      <w:r w:rsidR="0097307B">
        <w:rPr>
          <w:lang w:bidi="he-IL"/>
        </w:rPr>
        <w:t xml:space="preserve">is a renewed and more explicit promise </w:t>
      </w:r>
      <w:r w:rsidR="00EE46EB">
        <w:rPr>
          <w:lang w:bidi="he-IL"/>
        </w:rPr>
        <w:t xml:space="preserve">by Yahweh </w:t>
      </w:r>
      <w:r w:rsidR="0097307B">
        <w:rPr>
          <w:lang w:bidi="he-IL"/>
        </w:rPr>
        <w:t>to Abraham.</w:t>
      </w:r>
    </w:p>
    <w:p w14:paraId="562CEE46" w14:textId="77777777" w:rsidR="00050CED" w:rsidRPr="00495304" w:rsidRDefault="00050CED" w:rsidP="00050CED">
      <w:pPr>
        <w:pStyle w:val="Heading2"/>
        <w:rPr>
          <w:vertAlign w:val="superscript"/>
          <w:lang w:bidi="he-IL"/>
        </w:rPr>
      </w:pPr>
      <w:r w:rsidRPr="00DA695A">
        <w:rPr>
          <w:lang w:bidi="he-IL"/>
        </w:rPr>
        <w:t>Translation</w:t>
      </w:r>
    </w:p>
    <w:p w14:paraId="2795CD77" w14:textId="5DAF7CD6" w:rsidR="00EE46EB" w:rsidRDefault="00050CED" w:rsidP="00050CED">
      <w:pPr>
        <w:rPr>
          <w:rFonts w:ascii="Calibri" w:eastAsia="Times New Roman" w:hAnsi="Calibri" w:cs="Times New Roman"/>
          <w:szCs w:val="18"/>
          <w:lang w:val="en-GB" w:bidi="he-IL"/>
        </w:rPr>
      </w:pPr>
      <w:r>
        <w:rPr>
          <w:rFonts w:ascii="Calibri" w:eastAsia="Times New Roman" w:hAnsi="Calibri" w:cs="Times New Roman"/>
          <w:szCs w:val="18"/>
          <w:vertAlign w:val="superscript"/>
          <w:lang w:bidi="he-IL"/>
        </w:rPr>
        <w:t>5</w:t>
      </w:r>
      <w:r w:rsidR="00D6442A">
        <w:rPr>
          <w:rFonts w:ascii="Calibri" w:eastAsia="Times New Roman" w:hAnsi="Calibri" w:cs="Times New Roman"/>
          <w:szCs w:val="18"/>
          <w:lang w:val="en-GB" w:bidi="he-IL"/>
        </w:rPr>
        <w:t>Now L</w:t>
      </w:r>
      <w:r w:rsidRPr="00050CED">
        <w:rPr>
          <w:rFonts w:ascii="Calibri" w:eastAsia="Times New Roman" w:hAnsi="Calibri" w:cs="Times New Roman"/>
          <w:szCs w:val="18"/>
          <w:lang w:val="en-GB" w:bidi="he-IL"/>
        </w:rPr>
        <w:t xml:space="preserve">ot, who went with </w:t>
      </w:r>
      <w:r w:rsidR="00BF4EE8">
        <w:rPr>
          <w:rFonts w:ascii="Calibri" w:eastAsia="Times New Roman" w:hAnsi="Calibri" w:cs="Times New Roman"/>
          <w:szCs w:val="18"/>
          <w:lang w:val="en-GB" w:bidi="he-IL"/>
        </w:rPr>
        <w:t>Abram</w:t>
      </w:r>
      <w:r w:rsidRPr="00050CED">
        <w:rPr>
          <w:rFonts w:ascii="Calibri" w:eastAsia="Times New Roman" w:hAnsi="Calibri" w:cs="Times New Roman"/>
          <w:szCs w:val="18"/>
          <w:lang w:val="en-GB" w:bidi="he-IL"/>
        </w:rPr>
        <w:t xml:space="preserve">, also </w:t>
      </w:r>
      <w:r>
        <w:rPr>
          <w:rFonts w:ascii="Calibri" w:eastAsia="Times New Roman" w:hAnsi="Calibri" w:cs="Times New Roman"/>
          <w:szCs w:val="18"/>
          <w:lang w:val="en-GB" w:bidi="he-IL"/>
        </w:rPr>
        <w:t xml:space="preserve">had flock and herd and tents, </w:t>
      </w:r>
      <w:r>
        <w:rPr>
          <w:rFonts w:ascii="Calibri" w:eastAsia="Times New Roman" w:hAnsi="Calibri" w:cs="Times New Roman"/>
          <w:szCs w:val="18"/>
          <w:vertAlign w:val="superscript"/>
          <w:lang w:val="en-GB" w:bidi="he-IL"/>
        </w:rPr>
        <w:t>6</w:t>
      </w:r>
      <w:r w:rsidRPr="00050CED">
        <w:rPr>
          <w:rFonts w:ascii="Calibri" w:eastAsia="Times New Roman" w:hAnsi="Calibri" w:cs="Times New Roman"/>
          <w:szCs w:val="18"/>
          <w:lang w:val="en-GB" w:bidi="he-IL"/>
        </w:rPr>
        <w:t>and the region</w:t>
      </w:r>
      <w:r w:rsidR="00C209E9">
        <w:rPr>
          <w:rFonts w:ascii="Calibri" w:eastAsia="Times New Roman" w:hAnsi="Calibri" w:cs="Times New Roman"/>
          <w:szCs w:val="18"/>
          <w:lang w:val="en-GB" w:bidi="he-IL"/>
        </w:rPr>
        <w:t xml:space="preserve"> </w:t>
      </w:r>
      <w:r w:rsidRPr="00050CED">
        <w:rPr>
          <w:rFonts w:ascii="Calibri" w:eastAsia="Times New Roman" w:hAnsi="Calibri" w:cs="Times New Roman"/>
          <w:szCs w:val="18"/>
          <w:lang w:val="en-GB" w:bidi="he-IL"/>
        </w:rPr>
        <w:t>could</w:t>
      </w:r>
      <w:r w:rsidR="00112BFC">
        <w:rPr>
          <w:rFonts w:ascii="Calibri" w:eastAsia="Times New Roman" w:hAnsi="Calibri" w:cs="Times New Roman"/>
          <w:szCs w:val="18"/>
          <w:lang w:val="en-GB" w:bidi="he-IL"/>
        </w:rPr>
        <w:t>n’t support them living as one</w:t>
      </w:r>
      <w:r w:rsidRPr="00050CED">
        <w:rPr>
          <w:rFonts w:ascii="Calibri" w:eastAsia="Times New Roman" w:hAnsi="Calibri" w:cs="Times New Roman"/>
          <w:szCs w:val="18"/>
          <w:lang w:val="en-GB" w:bidi="he-IL"/>
        </w:rPr>
        <w:t>, because their property was great. So</w:t>
      </w:r>
      <w:r w:rsidR="004B28BC">
        <w:rPr>
          <w:rFonts w:ascii="Calibri" w:eastAsia="Times New Roman" w:hAnsi="Calibri" w:cs="Times New Roman"/>
          <w:szCs w:val="18"/>
          <w:lang w:val="en-GB" w:bidi="he-IL"/>
        </w:rPr>
        <w:t xml:space="preserve"> they couldn’t live as one</w:t>
      </w:r>
      <w:r w:rsidR="00112BFC">
        <w:rPr>
          <w:rFonts w:ascii="Calibri" w:eastAsia="Times New Roman" w:hAnsi="Calibri" w:cs="Times New Roman"/>
          <w:szCs w:val="18"/>
          <w:lang w:val="en-GB" w:bidi="he-IL"/>
        </w:rPr>
        <w:t xml:space="preserve">, </w:t>
      </w:r>
      <w:r w:rsidR="00D6442A">
        <w:rPr>
          <w:rFonts w:ascii="Calibri" w:eastAsia="Times New Roman" w:hAnsi="Calibri" w:cs="Times New Roman"/>
          <w:szCs w:val="18"/>
          <w:vertAlign w:val="superscript"/>
          <w:lang w:val="en-GB" w:bidi="he-IL"/>
        </w:rPr>
        <w:t>7</w:t>
      </w:r>
      <w:r w:rsidR="00112BFC">
        <w:rPr>
          <w:rFonts w:ascii="Calibri" w:eastAsia="Times New Roman" w:hAnsi="Calibri" w:cs="Times New Roman"/>
          <w:szCs w:val="18"/>
          <w:lang w:val="en-GB" w:bidi="he-IL"/>
        </w:rPr>
        <w:t>and t</w:t>
      </w:r>
      <w:r w:rsidRPr="00050CED">
        <w:rPr>
          <w:rFonts w:ascii="Calibri" w:eastAsia="Times New Roman" w:hAnsi="Calibri" w:cs="Times New Roman"/>
          <w:szCs w:val="18"/>
          <w:lang w:val="en-GB" w:bidi="he-IL"/>
        </w:rPr>
        <w:t xml:space="preserve">here was argument between the herdsmen of </w:t>
      </w:r>
      <w:r w:rsidR="00BF4EE8">
        <w:rPr>
          <w:rFonts w:ascii="Calibri" w:eastAsia="Times New Roman" w:hAnsi="Calibri" w:cs="Times New Roman"/>
          <w:szCs w:val="18"/>
          <w:lang w:val="en-GB" w:bidi="he-IL"/>
        </w:rPr>
        <w:t>Abram</w:t>
      </w:r>
      <w:r w:rsidRPr="00050CED">
        <w:rPr>
          <w:rFonts w:ascii="Calibri" w:eastAsia="Times New Roman" w:hAnsi="Calibri" w:cs="Times New Roman"/>
          <w:szCs w:val="18"/>
          <w:lang w:val="en-GB" w:bidi="he-IL"/>
        </w:rPr>
        <w:t>’s livestock and the herdsmen o</w:t>
      </w:r>
      <w:r w:rsidR="002E3B05">
        <w:rPr>
          <w:rFonts w:ascii="Calibri" w:eastAsia="Times New Roman" w:hAnsi="Calibri" w:cs="Times New Roman"/>
          <w:szCs w:val="18"/>
          <w:lang w:val="en-GB" w:bidi="he-IL"/>
        </w:rPr>
        <w:t xml:space="preserve">f Lot’s livestock; </w:t>
      </w:r>
      <w:r w:rsidR="00D6442A">
        <w:rPr>
          <w:rFonts w:ascii="Calibri" w:eastAsia="Times New Roman" w:hAnsi="Calibri" w:cs="Times New Roman"/>
          <w:szCs w:val="18"/>
          <w:lang w:val="en-GB" w:bidi="he-IL"/>
        </w:rPr>
        <w:t>the Kena‘a</w:t>
      </w:r>
      <w:r w:rsidR="001E41E0">
        <w:rPr>
          <w:rFonts w:ascii="Calibri" w:eastAsia="Times New Roman" w:hAnsi="Calibri" w:cs="Times New Roman"/>
          <w:szCs w:val="18"/>
          <w:lang w:val="en-GB" w:bidi="he-IL"/>
        </w:rPr>
        <w:t>nite (</w:t>
      </w:r>
      <w:r w:rsidR="008032D0">
        <w:rPr>
          <w:rFonts w:ascii="Calibri" w:eastAsia="Times New Roman" w:hAnsi="Calibri" w:cs="Times New Roman"/>
          <w:szCs w:val="18"/>
          <w:lang w:val="en-GB" w:bidi="he-IL"/>
        </w:rPr>
        <w:t>the Perizzite)</w:t>
      </w:r>
      <w:r w:rsidR="001E41E0">
        <w:rPr>
          <w:rStyle w:val="FootnoteReference"/>
          <w:rFonts w:ascii="Calibri" w:eastAsia="Times New Roman" w:hAnsi="Calibri" w:cs="Times New Roman"/>
          <w:szCs w:val="18"/>
          <w:lang w:val="en-GB" w:bidi="he-IL"/>
        </w:rPr>
        <w:footnoteReference w:id="109"/>
      </w:r>
      <w:r w:rsidR="008032D0">
        <w:rPr>
          <w:rFonts w:ascii="Calibri" w:eastAsia="Times New Roman" w:hAnsi="Calibri" w:cs="Times New Roman"/>
          <w:szCs w:val="18"/>
          <w:lang w:val="en-GB" w:bidi="he-IL"/>
        </w:rPr>
        <w:t xml:space="preserve"> was</w:t>
      </w:r>
      <w:r w:rsidR="00D6442A">
        <w:rPr>
          <w:rFonts w:ascii="Calibri" w:eastAsia="Times New Roman" w:hAnsi="Calibri" w:cs="Times New Roman"/>
          <w:szCs w:val="18"/>
          <w:lang w:val="en-GB" w:bidi="he-IL"/>
        </w:rPr>
        <w:t xml:space="preserve"> </w:t>
      </w:r>
      <w:r w:rsidR="00977511">
        <w:rPr>
          <w:rFonts w:ascii="Calibri" w:eastAsia="Times New Roman" w:hAnsi="Calibri" w:cs="Times New Roman"/>
          <w:szCs w:val="18"/>
          <w:lang w:val="en-GB" w:bidi="he-IL"/>
        </w:rPr>
        <w:t>then living in the region</w:t>
      </w:r>
      <w:r w:rsidR="00D6442A">
        <w:rPr>
          <w:rFonts w:ascii="Calibri" w:eastAsia="Times New Roman" w:hAnsi="Calibri" w:cs="Times New Roman"/>
          <w:szCs w:val="18"/>
          <w:lang w:val="en-GB" w:bidi="he-IL"/>
        </w:rPr>
        <w:t xml:space="preserve">. </w:t>
      </w:r>
      <w:r w:rsidR="00D6442A">
        <w:rPr>
          <w:rFonts w:ascii="Calibri" w:eastAsia="Times New Roman" w:hAnsi="Calibri" w:cs="Times New Roman"/>
          <w:szCs w:val="18"/>
          <w:vertAlign w:val="superscript"/>
          <w:lang w:val="en-GB" w:bidi="he-IL"/>
        </w:rPr>
        <w:t>8</w:t>
      </w:r>
      <w:r w:rsidR="00D6442A">
        <w:rPr>
          <w:rFonts w:ascii="Calibri" w:eastAsia="Times New Roman" w:hAnsi="Calibri" w:cs="Times New Roman"/>
          <w:szCs w:val="18"/>
          <w:lang w:val="en-GB" w:bidi="he-IL"/>
        </w:rPr>
        <w:t xml:space="preserve">So </w:t>
      </w:r>
      <w:r w:rsidR="00BF4EE8">
        <w:rPr>
          <w:rFonts w:ascii="Calibri" w:eastAsia="Times New Roman" w:hAnsi="Calibri" w:cs="Times New Roman"/>
          <w:szCs w:val="18"/>
          <w:lang w:val="en-GB" w:bidi="he-IL"/>
        </w:rPr>
        <w:t>Abram</w:t>
      </w:r>
      <w:r w:rsidR="00D6442A">
        <w:rPr>
          <w:rFonts w:ascii="Calibri" w:eastAsia="Times New Roman" w:hAnsi="Calibri" w:cs="Times New Roman"/>
          <w:szCs w:val="18"/>
          <w:lang w:val="en-GB" w:bidi="he-IL"/>
        </w:rPr>
        <w:t xml:space="preserve"> said to Lot, </w:t>
      </w:r>
      <w:r w:rsidR="003D56BA">
        <w:rPr>
          <w:rFonts w:ascii="Calibri" w:eastAsia="Times New Roman" w:hAnsi="Calibri" w:cs="Times New Roman"/>
          <w:szCs w:val="18"/>
          <w:lang w:val="en-GB" w:bidi="he-IL"/>
        </w:rPr>
        <w:t>“</w:t>
      </w:r>
      <w:r w:rsidRPr="00050CED">
        <w:rPr>
          <w:rFonts w:ascii="Calibri" w:eastAsia="Times New Roman" w:hAnsi="Calibri" w:cs="Times New Roman"/>
          <w:szCs w:val="18"/>
          <w:lang w:val="en-GB" w:bidi="he-IL"/>
        </w:rPr>
        <w:t>Please, there mustn’t be arguing between me and you and between my herdsmen and your herd</w:t>
      </w:r>
      <w:r w:rsidR="00D6442A">
        <w:rPr>
          <w:rFonts w:ascii="Calibri" w:eastAsia="Times New Roman" w:hAnsi="Calibri" w:cs="Times New Roman"/>
          <w:szCs w:val="18"/>
          <w:lang w:val="en-GB" w:bidi="he-IL"/>
        </w:rPr>
        <w:t xml:space="preserve">smen, because we’re </w:t>
      </w:r>
      <w:r w:rsidR="006D4496">
        <w:rPr>
          <w:rFonts w:ascii="Calibri" w:eastAsia="Times New Roman" w:hAnsi="Calibri" w:cs="Times New Roman"/>
          <w:szCs w:val="18"/>
          <w:lang w:val="en-GB" w:bidi="he-IL"/>
        </w:rPr>
        <w:t xml:space="preserve">men who are </w:t>
      </w:r>
      <w:r w:rsidR="00D6442A">
        <w:rPr>
          <w:rFonts w:ascii="Calibri" w:eastAsia="Times New Roman" w:hAnsi="Calibri" w:cs="Times New Roman"/>
          <w:szCs w:val="18"/>
          <w:lang w:val="en-GB" w:bidi="he-IL"/>
        </w:rPr>
        <w:t>brothers.</w:t>
      </w:r>
      <w:r w:rsidR="006D4496">
        <w:rPr>
          <w:rStyle w:val="FootnoteReference"/>
          <w:rFonts w:ascii="Calibri" w:eastAsia="Times New Roman" w:hAnsi="Calibri" w:cs="Times New Roman"/>
          <w:szCs w:val="18"/>
          <w:lang w:val="en-GB" w:bidi="he-IL"/>
        </w:rPr>
        <w:footnoteReference w:id="110"/>
      </w:r>
      <w:r w:rsidR="00D6442A">
        <w:rPr>
          <w:rFonts w:ascii="Calibri" w:eastAsia="Times New Roman" w:hAnsi="Calibri" w:cs="Times New Roman"/>
          <w:szCs w:val="18"/>
          <w:lang w:val="en-GB" w:bidi="he-IL"/>
        </w:rPr>
        <w:t xml:space="preserve"> </w:t>
      </w:r>
      <w:r w:rsidR="00D6442A">
        <w:rPr>
          <w:rFonts w:ascii="Calibri" w:eastAsia="Times New Roman" w:hAnsi="Calibri" w:cs="Times New Roman"/>
          <w:szCs w:val="18"/>
          <w:vertAlign w:val="superscript"/>
          <w:lang w:val="en-GB" w:bidi="he-IL"/>
        </w:rPr>
        <w:t>9</w:t>
      </w:r>
      <w:r w:rsidRPr="00050CED">
        <w:rPr>
          <w:rFonts w:ascii="Calibri" w:eastAsia="Times New Roman" w:hAnsi="Calibri" w:cs="Times New Roman"/>
          <w:szCs w:val="18"/>
          <w:lang w:val="en-GB" w:bidi="he-IL"/>
        </w:rPr>
        <w:t>The entire country is before you, isn’t it? Part from me, please: if you go north, I’ll go south, but</w:t>
      </w:r>
      <w:r w:rsidR="00D6442A">
        <w:rPr>
          <w:rFonts w:ascii="Calibri" w:eastAsia="Times New Roman" w:hAnsi="Calibri" w:cs="Times New Roman"/>
          <w:szCs w:val="18"/>
          <w:lang w:val="en-GB" w:bidi="he-IL"/>
        </w:rPr>
        <w:t xml:space="preserve"> if you go south, I’ll go north</w:t>
      </w:r>
      <w:r w:rsidRPr="00050CED">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54779E">
        <w:rPr>
          <w:rStyle w:val="FootnoteReference"/>
          <w:rFonts w:ascii="Calibri" w:eastAsia="Times New Roman" w:hAnsi="Calibri" w:cs="Times New Roman"/>
          <w:szCs w:val="18"/>
          <w:lang w:val="en-GB" w:bidi="he-IL"/>
        </w:rPr>
        <w:footnoteReference w:id="111"/>
      </w:r>
      <w:r w:rsidRPr="00050CED">
        <w:rPr>
          <w:rFonts w:ascii="Calibri" w:eastAsia="Times New Roman" w:hAnsi="Calibri" w:cs="Times New Roman"/>
          <w:szCs w:val="18"/>
          <w:lang w:val="en-GB" w:bidi="he-IL"/>
        </w:rPr>
        <w:t xml:space="preserve"> </w:t>
      </w:r>
      <w:r w:rsidR="00D6442A">
        <w:rPr>
          <w:rFonts w:ascii="Calibri" w:eastAsia="Times New Roman" w:hAnsi="Calibri" w:cs="Times New Roman"/>
          <w:szCs w:val="18"/>
          <w:vertAlign w:val="superscript"/>
          <w:lang w:val="en-GB" w:bidi="he-IL"/>
        </w:rPr>
        <w:t>10</w:t>
      </w:r>
      <w:r w:rsidRPr="00050CED">
        <w:rPr>
          <w:rFonts w:ascii="Calibri" w:eastAsia="Times New Roman" w:hAnsi="Calibri" w:cs="Times New Roman"/>
          <w:szCs w:val="18"/>
          <w:lang w:val="en-GB" w:bidi="he-IL"/>
        </w:rPr>
        <w:t>Lot lifted his eyes and looked</w:t>
      </w:r>
      <w:r w:rsidR="00D805BB">
        <w:rPr>
          <w:rFonts w:ascii="Calibri" w:eastAsia="Times New Roman" w:hAnsi="Calibri" w:cs="Times New Roman"/>
          <w:szCs w:val="18"/>
          <w:lang w:val="en-GB" w:bidi="he-IL"/>
        </w:rPr>
        <w:t xml:space="preserve"> at the entire </w:t>
      </w:r>
      <w:r w:rsidR="007B5674">
        <w:rPr>
          <w:rFonts w:ascii="Calibri" w:eastAsia="Times New Roman" w:hAnsi="Calibri" w:cs="Times New Roman"/>
          <w:szCs w:val="18"/>
          <w:lang w:val="en-GB" w:bidi="he-IL"/>
        </w:rPr>
        <w:t>Yarden area</w:t>
      </w:r>
      <w:r w:rsidRPr="00050CED">
        <w:rPr>
          <w:rFonts w:ascii="Calibri" w:eastAsia="Times New Roman" w:hAnsi="Calibri" w:cs="Times New Roman"/>
          <w:szCs w:val="18"/>
          <w:lang w:val="en-GB" w:bidi="he-IL"/>
        </w:rPr>
        <w:t>, that it was well-watered, all of it, before Yahweh devastated Sedom</w:t>
      </w:r>
      <w:r w:rsidR="00D6442A">
        <w:rPr>
          <w:rFonts w:ascii="Calibri" w:eastAsia="Times New Roman" w:hAnsi="Calibri" w:cs="Times New Roman"/>
          <w:szCs w:val="18"/>
          <w:lang w:val="en-GB" w:bidi="he-IL"/>
        </w:rPr>
        <w:t xml:space="preserve"> and Amorah</w:t>
      </w:r>
      <w:r w:rsidR="001E41E0">
        <w:rPr>
          <w:rFonts w:ascii="Calibri" w:eastAsia="Times New Roman" w:hAnsi="Calibri" w:cs="Times New Roman"/>
          <w:szCs w:val="18"/>
          <w:lang w:val="en-GB" w:bidi="he-IL"/>
        </w:rPr>
        <w:t>—</w:t>
      </w:r>
      <w:r w:rsidRPr="00050CED">
        <w:rPr>
          <w:rFonts w:ascii="Calibri" w:eastAsia="Times New Roman" w:hAnsi="Calibri" w:cs="Times New Roman"/>
          <w:szCs w:val="18"/>
          <w:lang w:val="en-GB" w:bidi="he-IL"/>
        </w:rPr>
        <w:t xml:space="preserve">like Yahweh’s garden, like the country of </w:t>
      </w:r>
      <w:r w:rsidR="00D6442A" w:rsidRPr="00D6442A">
        <w:rPr>
          <w:rFonts w:ascii="Calibri" w:eastAsia="Times New Roman" w:hAnsi="Calibri" w:cs="Times New Roman"/>
          <w:szCs w:val="18"/>
          <w:lang w:bidi="he-IL"/>
        </w:rPr>
        <w:t>Miṣrayim</w:t>
      </w:r>
      <w:r w:rsidR="0054779E">
        <w:rPr>
          <w:rFonts w:ascii="Calibri" w:eastAsia="Times New Roman" w:hAnsi="Calibri" w:cs="Times New Roman"/>
          <w:szCs w:val="18"/>
          <w:lang w:bidi="he-IL"/>
        </w:rPr>
        <w:t>,</w:t>
      </w:r>
      <w:r w:rsidR="00D6442A" w:rsidRPr="00D6442A">
        <w:rPr>
          <w:rFonts w:ascii="Calibri" w:eastAsia="Times New Roman" w:hAnsi="Calibri" w:cs="Times New Roman"/>
          <w:szCs w:val="18"/>
          <w:lang w:val="en-GB" w:bidi="he-IL"/>
        </w:rPr>
        <w:t xml:space="preserve"> </w:t>
      </w:r>
      <w:r w:rsidR="00D6442A">
        <w:rPr>
          <w:rFonts w:ascii="Calibri" w:eastAsia="Times New Roman" w:hAnsi="Calibri" w:cs="Times New Roman"/>
          <w:szCs w:val="18"/>
          <w:lang w:val="en-GB" w:bidi="he-IL"/>
        </w:rPr>
        <w:t>as</w:t>
      </w:r>
      <w:r w:rsidR="003A26CD">
        <w:rPr>
          <w:rFonts w:ascii="Calibri" w:eastAsia="Times New Roman" w:hAnsi="Calibri" w:cs="Times New Roman"/>
          <w:szCs w:val="18"/>
          <w:lang w:val="en-GB" w:bidi="he-IL"/>
        </w:rPr>
        <w:t xml:space="preserve"> you come to Ṣ</w:t>
      </w:r>
      <w:r w:rsidR="00D6442A">
        <w:rPr>
          <w:rFonts w:ascii="Calibri" w:eastAsia="Times New Roman" w:hAnsi="Calibri" w:cs="Times New Roman"/>
          <w:szCs w:val="18"/>
          <w:lang w:val="en-GB" w:bidi="he-IL"/>
        </w:rPr>
        <w:t xml:space="preserve">o’ar; </w:t>
      </w:r>
      <w:r w:rsidR="00D6442A">
        <w:rPr>
          <w:rFonts w:ascii="Calibri" w:eastAsia="Times New Roman" w:hAnsi="Calibri" w:cs="Times New Roman"/>
          <w:szCs w:val="18"/>
          <w:vertAlign w:val="superscript"/>
          <w:lang w:val="en-GB" w:bidi="he-IL"/>
        </w:rPr>
        <w:t>11</w:t>
      </w:r>
      <w:r w:rsidRPr="00050CED">
        <w:rPr>
          <w:rFonts w:ascii="Calibri" w:eastAsia="Times New Roman" w:hAnsi="Calibri" w:cs="Times New Roman"/>
          <w:szCs w:val="18"/>
          <w:lang w:val="en-GB" w:bidi="he-IL"/>
        </w:rPr>
        <w:t>and Lot ch</w:t>
      </w:r>
      <w:r w:rsidR="00D6442A">
        <w:rPr>
          <w:rFonts w:ascii="Calibri" w:eastAsia="Times New Roman" w:hAnsi="Calibri" w:cs="Times New Roman"/>
          <w:szCs w:val="18"/>
          <w:lang w:val="en-GB" w:bidi="he-IL"/>
        </w:rPr>
        <w:t xml:space="preserve">ose for himself the entire </w:t>
      </w:r>
      <w:r w:rsidR="00CC1F50">
        <w:rPr>
          <w:rFonts w:ascii="Calibri" w:eastAsia="Times New Roman" w:hAnsi="Calibri" w:cs="Times New Roman"/>
          <w:szCs w:val="18"/>
          <w:lang w:val="en-GB" w:bidi="he-IL"/>
        </w:rPr>
        <w:t>Y</w:t>
      </w:r>
      <w:r w:rsidR="00D6442A">
        <w:rPr>
          <w:rFonts w:ascii="Calibri" w:eastAsia="Times New Roman" w:hAnsi="Calibri" w:cs="Times New Roman"/>
          <w:szCs w:val="18"/>
          <w:lang w:val="en-GB" w:bidi="he-IL"/>
        </w:rPr>
        <w:t>arde</w:t>
      </w:r>
      <w:r w:rsidR="00CC1F50">
        <w:rPr>
          <w:rFonts w:ascii="Calibri" w:eastAsia="Times New Roman" w:hAnsi="Calibri" w:cs="Times New Roman"/>
          <w:szCs w:val="18"/>
          <w:lang w:val="en-GB" w:bidi="he-IL"/>
        </w:rPr>
        <w:t>n</w:t>
      </w:r>
      <w:r w:rsidR="007B5674">
        <w:rPr>
          <w:rFonts w:ascii="Calibri" w:eastAsia="Times New Roman" w:hAnsi="Calibri" w:cs="Times New Roman"/>
          <w:szCs w:val="18"/>
          <w:lang w:val="en-GB" w:bidi="he-IL"/>
        </w:rPr>
        <w:t xml:space="preserve"> area</w:t>
      </w:r>
      <w:r w:rsidR="0097307B">
        <w:rPr>
          <w:rFonts w:ascii="Calibri" w:eastAsia="Times New Roman" w:hAnsi="Calibri" w:cs="Times New Roman"/>
          <w:szCs w:val="18"/>
          <w:lang w:val="en-GB" w:bidi="he-IL"/>
        </w:rPr>
        <w:t xml:space="preserve">. </w:t>
      </w:r>
    </w:p>
    <w:p w14:paraId="2AA59D58" w14:textId="25361A25" w:rsidR="0097307B" w:rsidRDefault="00050CED" w:rsidP="00050CED">
      <w:pPr>
        <w:rPr>
          <w:rFonts w:ascii="Calibri" w:eastAsia="Times New Roman" w:hAnsi="Calibri" w:cs="Times New Roman"/>
          <w:szCs w:val="18"/>
          <w:lang w:val="en-GB" w:bidi="he-IL"/>
        </w:rPr>
      </w:pPr>
      <w:r w:rsidRPr="00050CED">
        <w:rPr>
          <w:rFonts w:ascii="Calibri" w:eastAsia="Times New Roman" w:hAnsi="Calibri" w:cs="Times New Roman"/>
          <w:szCs w:val="18"/>
          <w:lang w:val="en-GB" w:bidi="he-IL"/>
        </w:rPr>
        <w:t>So Lot moved on east,</w:t>
      </w:r>
      <w:r w:rsidR="0054779E">
        <w:rPr>
          <w:rStyle w:val="FootnoteReference"/>
          <w:rFonts w:ascii="Calibri" w:eastAsia="Times New Roman" w:hAnsi="Calibri" w:cs="Times New Roman"/>
          <w:szCs w:val="18"/>
          <w:lang w:val="en-GB" w:bidi="he-IL"/>
        </w:rPr>
        <w:footnoteReference w:id="112"/>
      </w:r>
      <w:r w:rsidRPr="00050CED">
        <w:rPr>
          <w:rFonts w:ascii="Calibri" w:eastAsia="Times New Roman" w:hAnsi="Calibri" w:cs="Times New Roman"/>
          <w:szCs w:val="18"/>
          <w:lang w:val="en-GB" w:bidi="he-IL"/>
        </w:rPr>
        <w:t xml:space="preserve"> and they pa</w:t>
      </w:r>
      <w:r w:rsidR="00D6442A">
        <w:rPr>
          <w:rFonts w:ascii="Calibri" w:eastAsia="Times New Roman" w:hAnsi="Calibri" w:cs="Times New Roman"/>
          <w:szCs w:val="18"/>
          <w:lang w:val="en-GB" w:bidi="he-IL"/>
        </w:rPr>
        <w:t xml:space="preserve">rted, each from his brother. </w:t>
      </w:r>
      <w:r w:rsidR="00D6442A">
        <w:rPr>
          <w:rFonts w:ascii="Calibri" w:eastAsia="Times New Roman" w:hAnsi="Calibri" w:cs="Times New Roman"/>
          <w:szCs w:val="18"/>
          <w:vertAlign w:val="superscript"/>
          <w:lang w:val="en-GB" w:bidi="he-IL"/>
        </w:rPr>
        <w:t>12</w:t>
      </w:r>
      <w:r w:rsidR="00DF5090">
        <w:rPr>
          <w:rFonts w:ascii="Calibri" w:eastAsia="Times New Roman" w:hAnsi="Calibri" w:cs="Times New Roman"/>
          <w:szCs w:val="18"/>
          <w:lang w:val="en-GB" w:bidi="he-IL"/>
        </w:rPr>
        <w:t xml:space="preserve">Whereas </w:t>
      </w:r>
      <w:r w:rsidR="00BF4EE8">
        <w:rPr>
          <w:rFonts w:ascii="Calibri" w:eastAsia="Times New Roman" w:hAnsi="Calibri" w:cs="Times New Roman"/>
          <w:szCs w:val="18"/>
          <w:lang w:val="en-GB" w:bidi="he-IL"/>
        </w:rPr>
        <w:t>Abram</w:t>
      </w:r>
      <w:r w:rsidR="00D6442A">
        <w:rPr>
          <w:rFonts w:ascii="Calibri" w:eastAsia="Times New Roman" w:hAnsi="Calibri" w:cs="Times New Roman"/>
          <w:szCs w:val="18"/>
          <w:lang w:val="en-GB" w:bidi="he-IL"/>
        </w:rPr>
        <w:t xml:space="preserve"> lived in the country of </w:t>
      </w:r>
      <w:r w:rsidR="00D6442A" w:rsidRPr="00D6442A">
        <w:rPr>
          <w:rFonts w:ascii="Calibri" w:eastAsia="Times New Roman" w:hAnsi="Calibri" w:cs="Times New Roman"/>
          <w:szCs w:val="18"/>
          <w:lang w:val="en-GB" w:bidi="he-IL"/>
        </w:rPr>
        <w:t>Kena‘</w:t>
      </w:r>
      <w:r w:rsidR="00DF5090">
        <w:rPr>
          <w:rFonts w:ascii="Calibri" w:eastAsia="Times New Roman" w:hAnsi="Calibri" w:cs="Times New Roman"/>
          <w:szCs w:val="18"/>
          <w:lang w:val="en-GB" w:bidi="he-IL"/>
        </w:rPr>
        <w:t xml:space="preserve">an, </w:t>
      </w:r>
      <w:r w:rsidRPr="00050CED">
        <w:rPr>
          <w:rFonts w:ascii="Calibri" w:eastAsia="Times New Roman" w:hAnsi="Calibri" w:cs="Times New Roman"/>
          <w:szCs w:val="18"/>
          <w:lang w:val="en-GB" w:bidi="he-IL"/>
        </w:rPr>
        <w:t>Lot</w:t>
      </w:r>
      <w:r w:rsidR="00602C48">
        <w:rPr>
          <w:rFonts w:ascii="Calibri" w:eastAsia="Times New Roman" w:hAnsi="Calibri" w:cs="Times New Roman"/>
          <w:szCs w:val="18"/>
          <w:lang w:val="en-GB" w:bidi="he-IL"/>
        </w:rPr>
        <w:t xml:space="preserve"> lived </w:t>
      </w:r>
      <w:r w:rsidR="007B5674">
        <w:rPr>
          <w:rFonts w:ascii="Calibri" w:eastAsia="Times New Roman" w:hAnsi="Calibri" w:cs="Times New Roman"/>
          <w:szCs w:val="18"/>
          <w:lang w:val="en-GB" w:bidi="he-IL"/>
        </w:rPr>
        <w:t>in the towns in the area</w:t>
      </w:r>
      <w:r w:rsidRPr="00050CED">
        <w:rPr>
          <w:rFonts w:ascii="Calibri" w:eastAsia="Times New Roman" w:hAnsi="Calibri" w:cs="Times New Roman"/>
          <w:szCs w:val="18"/>
          <w:lang w:val="en-GB" w:bidi="he-IL"/>
        </w:rPr>
        <w:t xml:space="preserve"> and </w:t>
      </w:r>
      <w:r w:rsidR="00D6442A">
        <w:rPr>
          <w:rFonts w:ascii="Calibri" w:eastAsia="Times New Roman" w:hAnsi="Calibri" w:cs="Times New Roman"/>
          <w:szCs w:val="18"/>
          <w:lang w:val="en-GB" w:bidi="he-IL"/>
        </w:rPr>
        <w:t xml:space="preserve">put up his tents near Sedom. </w:t>
      </w:r>
      <w:r w:rsidR="00D6442A">
        <w:rPr>
          <w:rFonts w:ascii="Calibri" w:eastAsia="Times New Roman" w:hAnsi="Calibri" w:cs="Times New Roman"/>
          <w:szCs w:val="18"/>
          <w:vertAlign w:val="superscript"/>
          <w:lang w:val="en-GB" w:bidi="he-IL"/>
        </w:rPr>
        <w:t>13</w:t>
      </w:r>
      <w:r w:rsidRPr="00050CED">
        <w:rPr>
          <w:rFonts w:ascii="Calibri" w:eastAsia="Times New Roman" w:hAnsi="Calibri" w:cs="Times New Roman"/>
          <w:szCs w:val="18"/>
          <w:lang w:val="en-GB" w:bidi="he-IL"/>
        </w:rPr>
        <w:t xml:space="preserve">Now the people of Sedom were bad, wrongdoers in relation to Yahweh, greatly. </w:t>
      </w:r>
    </w:p>
    <w:p w14:paraId="2E9200C0" w14:textId="77777777" w:rsidR="00B91F8C" w:rsidRDefault="00D6442A" w:rsidP="00C36F0D">
      <w:pPr>
        <w:rPr>
          <w:rFonts w:ascii="Calibri" w:eastAsia="Times New Roman" w:hAnsi="Calibri" w:cs="Times New Roman"/>
          <w:lang w:val="en-GB" w:bidi="he-IL"/>
        </w:rPr>
      </w:pPr>
      <w:r>
        <w:rPr>
          <w:rFonts w:ascii="Calibri" w:eastAsia="Times New Roman" w:hAnsi="Calibri" w:cs="Times New Roman"/>
          <w:vertAlign w:val="superscript"/>
          <w:lang w:val="en-GB" w:bidi="he-IL"/>
        </w:rPr>
        <w:t>14</w:t>
      </w:r>
      <w:r w:rsidR="00050CED" w:rsidRPr="00050CED">
        <w:rPr>
          <w:rFonts w:ascii="Calibri" w:eastAsia="Times New Roman" w:hAnsi="Calibri" w:cs="Times New Roman"/>
          <w:lang w:val="en-GB" w:bidi="he-IL"/>
        </w:rPr>
        <w:t>But Yahweh said</w:t>
      </w:r>
      <w:r w:rsidR="002035F3">
        <w:rPr>
          <w:rStyle w:val="FootnoteReference"/>
          <w:rFonts w:ascii="Calibri" w:eastAsia="Times New Roman" w:hAnsi="Calibri" w:cs="Times New Roman"/>
          <w:lang w:val="en-GB" w:bidi="he-IL"/>
        </w:rPr>
        <w:footnoteReference w:id="113"/>
      </w:r>
      <w:r w:rsidR="00050CED" w:rsidRPr="00050CED">
        <w:rPr>
          <w:rFonts w:ascii="Calibri" w:eastAsia="Times New Roman" w:hAnsi="Calibri" w:cs="Times New Roman"/>
          <w:lang w:val="en-GB" w:bidi="he-IL"/>
        </w:rPr>
        <w:t xml:space="preserve"> to </w:t>
      </w:r>
      <w:r w:rsidR="00BF4EE8">
        <w:rPr>
          <w:rFonts w:ascii="Calibri" w:eastAsia="Times New Roman" w:hAnsi="Calibri" w:cs="Times New Roman"/>
          <w:lang w:val="en-GB" w:bidi="he-IL"/>
        </w:rPr>
        <w:t>Abram</w:t>
      </w:r>
      <w:r w:rsidR="00824DDC">
        <w:rPr>
          <w:rFonts w:ascii="Calibri" w:eastAsia="Times New Roman" w:hAnsi="Calibri" w:cs="Times New Roman"/>
          <w:lang w:val="en-GB" w:bidi="he-IL"/>
        </w:rPr>
        <w:t xml:space="preserve"> after Lot parted from him, </w:t>
      </w:r>
      <w:r w:rsidR="003D56BA">
        <w:rPr>
          <w:rFonts w:ascii="Calibri" w:eastAsia="Times New Roman" w:hAnsi="Calibri" w:cs="Times New Roman"/>
          <w:lang w:val="en-GB" w:bidi="he-IL"/>
        </w:rPr>
        <w:t>“</w:t>
      </w:r>
      <w:r w:rsidR="00050CED" w:rsidRPr="00050CED">
        <w:rPr>
          <w:rFonts w:ascii="Calibri" w:eastAsia="Times New Roman" w:hAnsi="Calibri" w:cs="Times New Roman"/>
          <w:lang w:val="en-GB" w:bidi="he-IL"/>
        </w:rPr>
        <w:t>Lift your eyes</w:t>
      </w:r>
      <w:r w:rsidR="00F57D4E">
        <w:rPr>
          <w:rFonts w:ascii="Calibri" w:eastAsia="Times New Roman" w:hAnsi="Calibri" w:cs="Times New Roman"/>
          <w:lang w:val="en-GB" w:bidi="he-IL"/>
        </w:rPr>
        <w:t>, please, and look</w:t>
      </w:r>
      <w:r w:rsidR="007239DE">
        <w:rPr>
          <w:rFonts w:ascii="Calibri" w:eastAsia="Times New Roman" w:hAnsi="Calibri" w:cs="Times New Roman"/>
          <w:lang w:val="en-GB" w:bidi="he-IL"/>
        </w:rPr>
        <w:t>, from the sit</w:t>
      </w:r>
      <w:r w:rsidR="00050CED" w:rsidRPr="00050CED">
        <w:rPr>
          <w:rFonts w:ascii="Calibri" w:eastAsia="Times New Roman" w:hAnsi="Calibri" w:cs="Times New Roman"/>
          <w:lang w:val="en-GB" w:bidi="he-IL"/>
        </w:rPr>
        <w:t>e where you are, to the north, to the south, t</w:t>
      </w:r>
      <w:r>
        <w:rPr>
          <w:rFonts w:ascii="Calibri" w:eastAsia="Times New Roman" w:hAnsi="Calibri" w:cs="Times New Roman"/>
          <w:lang w:val="en-GB" w:bidi="he-IL"/>
        </w:rPr>
        <w:t>o the east, and to the west,</w:t>
      </w:r>
      <w:r w:rsidR="0054779E">
        <w:rPr>
          <w:rStyle w:val="FootnoteReference"/>
          <w:rFonts w:ascii="Calibri" w:eastAsia="Times New Roman" w:hAnsi="Calibri" w:cs="Times New Roman"/>
          <w:lang w:val="en-GB" w:bidi="he-IL"/>
        </w:rPr>
        <w:footnoteReference w:id="114"/>
      </w:r>
      <w:r>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15</w:t>
      </w:r>
      <w:r w:rsidR="00050CED" w:rsidRPr="00050CED">
        <w:rPr>
          <w:rFonts w:ascii="Calibri" w:eastAsia="Times New Roman" w:hAnsi="Calibri" w:cs="Times New Roman"/>
          <w:lang w:val="en-GB" w:bidi="he-IL"/>
        </w:rPr>
        <w:t>because the entire</w:t>
      </w:r>
      <w:r w:rsidR="00DF5090">
        <w:rPr>
          <w:rFonts w:ascii="Calibri" w:eastAsia="Times New Roman" w:hAnsi="Calibri" w:cs="Times New Roman"/>
          <w:lang w:val="en-GB" w:bidi="he-IL"/>
        </w:rPr>
        <w:t xml:space="preserve"> country that you’re looking at—</w:t>
      </w:r>
      <w:r w:rsidR="00050CED" w:rsidRPr="00050CED">
        <w:rPr>
          <w:rFonts w:ascii="Calibri" w:eastAsia="Times New Roman" w:hAnsi="Calibri" w:cs="Times New Roman"/>
          <w:lang w:val="en-GB" w:bidi="he-IL"/>
        </w:rPr>
        <w:t>I</w:t>
      </w:r>
      <w:r w:rsidR="00DF5090">
        <w:rPr>
          <w:rFonts w:ascii="Calibri" w:eastAsia="Times New Roman" w:hAnsi="Calibri" w:cs="Times New Roman"/>
          <w:lang w:val="en-GB" w:bidi="he-IL"/>
        </w:rPr>
        <w:t xml:space="preserve"> wi</w:t>
      </w:r>
      <w:r w:rsidR="00050CED" w:rsidRPr="00050CED">
        <w:rPr>
          <w:rFonts w:ascii="Calibri" w:eastAsia="Times New Roman" w:hAnsi="Calibri" w:cs="Times New Roman"/>
          <w:lang w:val="en-GB" w:bidi="he-IL"/>
        </w:rPr>
        <w:t xml:space="preserve">ll give </w:t>
      </w:r>
      <w:r w:rsidR="00DF5090">
        <w:rPr>
          <w:rFonts w:ascii="Calibri" w:eastAsia="Times New Roman" w:hAnsi="Calibri" w:cs="Times New Roman"/>
          <w:lang w:val="en-GB" w:bidi="he-IL"/>
        </w:rPr>
        <w:t xml:space="preserve">it </w:t>
      </w:r>
      <w:r w:rsidR="00050CED" w:rsidRPr="00050CED">
        <w:rPr>
          <w:rFonts w:ascii="Calibri" w:eastAsia="Times New Roman" w:hAnsi="Calibri" w:cs="Times New Roman"/>
          <w:lang w:val="en-GB" w:bidi="he-IL"/>
        </w:rPr>
        <w:t>to you and to your offspring,</w:t>
      </w:r>
      <w:r w:rsidR="00C36F0D">
        <w:rPr>
          <w:rFonts w:ascii="Calibri" w:eastAsia="Times New Roman" w:hAnsi="Calibri" w:cs="Times New Roman"/>
          <w:lang w:val="en-GB" w:bidi="he-IL"/>
        </w:rPr>
        <w:t xml:space="preserve"> through the ages</w:t>
      </w:r>
      <w:r>
        <w:rPr>
          <w:rFonts w:ascii="Calibri" w:eastAsia="Times New Roman" w:hAnsi="Calibri" w:cs="Times New Roman"/>
          <w:lang w:val="en-GB" w:bidi="he-IL"/>
        </w:rPr>
        <w:t>.</w:t>
      </w:r>
      <w:r w:rsidR="00C36F0D">
        <w:rPr>
          <w:rStyle w:val="FootnoteReference"/>
          <w:rFonts w:ascii="Calibri" w:eastAsia="Times New Roman" w:hAnsi="Calibri" w:cs="Times New Roman"/>
          <w:lang w:val="en-GB" w:bidi="he-IL"/>
        </w:rPr>
        <w:footnoteReference w:id="115"/>
      </w:r>
      <w:r>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16</w:t>
      </w:r>
      <w:r w:rsidR="00DF5090">
        <w:rPr>
          <w:rFonts w:ascii="Calibri" w:eastAsia="Times New Roman" w:hAnsi="Calibri" w:cs="Times New Roman"/>
          <w:lang w:val="en-GB" w:bidi="he-IL"/>
        </w:rPr>
        <w:t>I wi</w:t>
      </w:r>
      <w:r w:rsidR="00050CED" w:rsidRPr="00050CED">
        <w:rPr>
          <w:rFonts w:ascii="Calibri" w:eastAsia="Times New Roman" w:hAnsi="Calibri" w:cs="Times New Roman"/>
          <w:lang w:val="en-GB" w:bidi="he-IL"/>
        </w:rPr>
        <w:t xml:space="preserve">ll make your offspring like the </w:t>
      </w:r>
      <w:r w:rsidR="00DF5090">
        <w:rPr>
          <w:rFonts w:ascii="Calibri" w:eastAsia="Times New Roman" w:hAnsi="Calibri" w:cs="Times New Roman"/>
          <w:lang w:val="en-GB" w:bidi="he-IL"/>
        </w:rPr>
        <w:t>earth’s dirt, so if a person could</w:t>
      </w:r>
      <w:r w:rsidR="00050CED" w:rsidRPr="00050CED">
        <w:rPr>
          <w:rFonts w:ascii="Calibri" w:eastAsia="Times New Roman" w:hAnsi="Calibri" w:cs="Times New Roman"/>
          <w:lang w:val="en-GB" w:bidi="he-IL"/>
        </w:rPr>
        <w:t xml:space="preserve"> count the earth’s dirt, your off</w:t>
      </w:r>
      <w:r>
        <w:rPr>
          <w:rFonts w:ascii="Calibri" w:eastAsia="Times New Roman" w:hAnsi="Calibri" w:cs="Times New Roman"/>
          <w:lang w:val="en-GB" w:bidi="he-IL"/>
        </w:rPr>
        <w:t xml:space="preserve">spring will also be counted. </w:t>
      </w:r>
      <w:r>
        <w:rPr>
          <w:rFonts w:ascii="Calibri" w:eastAsia="Times New Roman" w:hAnsi="Calibri" w:cs="Times New Roman"/>
          <w:vertAlign w:val="superscript"/>
          <w:lang w:val="en-GB" w:bidi="he-IL"/>
        </w:rPr>
        <w:t>17</w:t>
      </w:r>
      <w:r w:rsidR="00050CED" w:rsidRPr="00050CED">
        <w:rPr>
          <w:rFonts w:ascii="Calibri" w:eastAsia="Times New Roman" w:hAnsi="Calibri" w:cs="Times New Roman"/>
          <w:lang w:val="en-GB" w:bidi="he-IL"/>
        </w:rPr>
        <w:t>Set off, walk about in the country, through its length and its width,</w:t>
      </w:r>
      <w:r w:rsidR="00DF5090">
        <w:rPr>
          <w:rFonts w:ascii="Calibri" w:eastAsia="Times New Roman" w:hAnsi="Calibri" w:cs="Times New Roman"/>
          <w:lang w:val="en-GB" w:bidi="he-IL"/>
        </w:rPr>
        <w:t xml:space="preserve"> because I wi</w:t>
      </w:r>
      <w:r w:rsidR="00824DDC">
        <w:rPr>
          <w:rFonts w:ascii="Calibri" w:eastAsia="Times New Roman" w:hAnsi="Calibri" w:cs="Times New Roman"/>
          <w:lang w:val="en-GB" w:bidi="he-IL"/>
        </w:rPr>
        <w:t>ll give it to you</w:t>
      </w:r>
      <w:r w:rsidR="00050CED" w:rsidRPr="00050CED">
        <w:rPr>
          <w:rFonts w:ascii="Calibri" w:eastAsia="Times New Roman" w:hAnsi="Calibri" w:cs="Times New Roman"/>
          <w:lang w:val="en-GB" w:bidi="he-IL"/>
        </w:rPr>
        <w:t>.</w:t>
      </w:r>
      <w:r w:rsidR="003D56BA">
        <w:rPr>
          <w:rFonts w:ascii="Calibri" w:eastAsia="Times New Roman" w:hAnsi="Calibri" w:cs="Times New Roman"/>
          <w:lang w:val="en-GB" w:bidi="he-IL"/>
        </w:rPr>
        <w:t>”</w:t>
      </w:r>
      <w:r w:rsidR="00050CED" w:rsidRPr="00050CED">
        <w:rPr>
          <w:rFonts w:ascii="Calibri" w:eastAsia="Times New Roman" w:hAnsi="Calibri" w:cs="Times New Roman"/>
          <w:lang w:val="en-GB" w:bidi="he-IL"/>
        </w:rPr>
        <w:t xml:space="preserve"> </w:t>
      </w:r>
    </w:p>
    <w:p w14:paraId="3233A00A" w14:textId="77777777" w:rsidR="00050CED" w:rsidRPr="00050CED" w:rsidRDefault="00D6442A" w:rsidP="00050CED">
      <w:pPr>
        <w:rPr>
          <w:rFonts w:ascii="Calibri" w:eastAsia="Times New Roman" w:hAnsi="Calibri" w:cs="Times New Roman"/>
          <w:lang w:val="en-GB" w:bidi="he-IL"/>
        </w:rPr>
      </w:pPr>
      <w:r>
        <w:rPr>
          <w:rFonts w:ascii="Calibri" w:eastAsia="Times New Roman" w:hAnsi="Calibri" w:cs="Times New Roman"/>
          <w:vertAlign w:val="superscript"/>
          <w:lang w:val="en-GB" w:bidi="he-IL"/>
        </w:rPr>
        <w:lastRenderedPageBreak/>
        <w:t>18</w:t>
      </w:r>
      <w:r w:rsidR="00BF4EE8">
        <w:rPr>
          <w:rFonts w:ascii="Calibri" w:eastAsia="Times New Roman" w:hAnsi="Calibri" w:cs="Times New Roman"/>
          <w:lang w:val="en-GB" w:bidi="he-IL"/>
        </w:rPr>
        <w:t>Abram</w:t>
      </w:r>
      <w:r w:rsidR="00050CED" w:rsidRPr="00050CED">
        <w:rPr>
          <w:rFonts w:ascii="Calibri" w:eastAsia="Times New Roman" w:hAnsi="Calibri" w:cs="Times New Roman"/>
          <w:lang w:val="en-GB" w:bidi="he-IL"/>
        </w:rPr>
        <w:t xml:space="preserve"> moved his tents a</w:t>
      </w:r>
      <w:r>
        <w:rPr>
          <w:rFonts w:ascii="Calibri" w:eastAsia="Times New Roman" w:hAnsi="Calibri" w:cs="Times New Roman"/>
          <w:lang w:val="en-GB" w:bidi="he-IL"/>
        </w:rPr>
        <w:t>nd came and lived by the Mamre O</w:t>
      </w:r>
      <w:r w:rsidR="00050CED" w:rsidRPr="00050CED">
        <w:rPr>
          <w:rFonts w:ascii="Calibri" w:eastAsia="Times New Roman" w:hAnsi="Calibri" w:cs="Times New Roman"/>
          <w:lang w:val="en-GB" w:bidi="he-IL"/>
        </w:rPr>
        <w:t>aks,</w:t>
      </w:r>
      <w:r w:rsidR="009822AD">
        <w:rPr>
          <w:rStyle w:val="FootnoteReference"/>
          <w:rFonts w:ascii="Calibri" w:eastAsia="Times New Roman" w:hAnsi="Calibri" w:cs="Times New Roman"/>
          <w:lang w:val="en-GB" w:bidi="he-IL"/>
        </w:rPr>
        <w:footnoteReference w:id="116"/>
      </w:r>
      <w:r w:rsidR="00A77F47">
        <w:rPr>
          <w:rFonts w:ascii="Calibri" w:eastAsia="Times New Roman" w:hAnsi="Calibri" w:cs="Times New Roman"/>
          <w:lang w:val="en-GB" w:bidi="he-IL"/>
        </w:rPr>
        <w:t xml:space="preserve"> which were</w:t>
      </w:r>
      <w:r w:rsidR="00050CED" w:rsidRPr="00050CED">
        <w:rPr>
          <w:rFonts w:ascii="Calibri" w:eastAsia="Times New Roman" w:hAnsi="Calibri" w:cs="Times New Roman"/>
          <w:lang w:val="en-GB" w:bidi="he-IL"/>
        </w:rPr>
        <w:t xml:space="preserve"> at Hebron, and built an altar for Yahweh there.</w:t>
      </w:r>
    </w:p>
    <w:p w14:paraId="018F74C1" w14:textId="77777777" w:rsidR="00050CED" w:rsidRDefault="00141055" w:rsidP="00050CED">
      <w:pPr>
        <w:pStyle w:val="Heading2"/>
        <w:rPr>
          <w:lang w:bidi="he-IL"/>
        </w:rPr>
      </w:pPr>
      <w:r>
        <w:rPr>
          <w:lang w:bidi="he-IL"/>
        </w:rPr>
        <w:t>Interpretation</w:t>
      </w:r>
      <w:r w:rsidR="00050CED">
        <w:rPr>
          <w:lang w:bidi="he-IL"/>
        </w:rPr>
        <w:t xml:space="preserve"> </w:t>
      </w:r>
    </w:p>
    <w:p w14:paraId="777ED0C6" w14:textId="68DE34C3" w:rsidR="00AE3D8F" w:rsidRDefault="00956272" w:rsidP="003E7266">
      <w:pPr>
        <w:pStyle w:val="ListParagraph"/>
        <w:ind w:left="0" w:firstLine="720"/>
        <w:rPr>
          <w:lang w:bidi="he-IL"/>
        </w:rPr>
      </w:pPr>
      <w:r>
        <w:rPr>
          <w:lang w:bidi="he-IL"/>
        </w:rPr>
        <w:t>Like 12:10—13:4</w:t>
      </w:r>
      <w:r w:rsidR="00AE3D8F">
        <w:rPr>
          <w:lang w:bidi="he-IL"/>
        </w:rPr>
        <w:t>, this narrative takes off fro</w:t>
      </w:r>
      <w:r w:rsidR="00EE46EB">
        <w:rPr>
          <w:lang w:bidi="he-IL"/>
        </w:rPr>
        <w:t>m 12:1-9. Yahweh’s promise of</w:t>
      </w:r>
      <w:r w:rsidR="00AE3D8F">
        <w:rPr>
          <w:lang w:bidi="he-IL"/>
        </w:rPr>
        <w:t xml:space="preserve"> blessing is finding fulfillment, but once again Abraham faces a situation in which Yahweh’s promise about </w:t>
      </w:r>
      <w:r>
        <w:rPr>
          <w:lang w:bidi="he-IL"/>
        </w:rPr>
        <w:t>th</w:t>
      </w:r>
      <w:r w:rsidR="00EE46EB">
        <w:rPr>
          <w:lang w:bidi="he-IL"/>
        </w:rPr>
        <w:t>e land is not working out. I</w:t>
      </w:r>
      <w:r>
        <w:rPr>
          <w:lang w:bidi="he-IL"/>
        </w:rPr>
        <w:t>n the course of the story</w:t>
      </w:r>
      <w:r w:rsidR="00AE3D8F">
        <w:rPr>
          <w:lang w:bidi="he-IL"/>
        </w:rPr>
        <w:t xml:space="preserve"> Yahwe</w:t>
      </w:r>
      <w:r>
        <w:rPr>
          <w:lang w:bidi="he-IL"/>
        </w:rPr>
        <w:t>h reaffirms that promise and Abraham</w:t>
      </w:r>
      <w:r w:rsidR="00AE3D8F">
        <w:rPr>
          <w:lang w:bidi="he-IL"/>
        </w:rPr>
        <w:t xml:space="preserve"> again spreads his tents by some impressive trees and aga</w:t>
      </w:r>
      <w:r w:rsidR="00DD5193">
        <w:rPr>
          <w:lang w:bidi="he-IL"/>
        </w:rPr>
        <w:t>in builds an altar, near Mamre</w:t>
      </w:r>
      <w:r>
        <w:rPr>
          <w:lang w:bidi="he-IL"/>
        </w:rPr>
        <w:t>—</w:t>
      </w:r>
      <w:r w:rsidR="00AE3D8F">
        <w:rPr>
          <w:lang w:bidi="he-IL"/>
        </w:rPr>
        <w:t>which he must have passed as he moved to the Southland (12:9) but which was not mentioned.</w:t>
      </w:r>
    </w:p>
    <w:p w14:paraId="571C32C4" w14:textId="230F325C" w:rsidR="00C643E7" w:rsidRDefault="003E7266" w:rsidP="003E7266">
      <w:pPr>
        <w:pStyle w:val="ListParagraph"/>
        <w:ind w:left="0" w:firstLine="720"/>
        <w:rPr>
          <w:lang w:bidi="he-IL"/>
        </w:rPr>
      </w:pPr>
      <w:r>
        <w:rPr>
          <w:lang w:bidi="he-IL"/>
        </w:rPr>
        <w:t xml:space="preserve">The story </w:t>
      </w:r>
      <w:r w:rsidR="00AE3D8F">
        <w:rPr>
          <w:lang w:bidi="he-IL"/>
        </w:rPr>
        <w:t xml:space="preserve">also </w:t>
      </w:r>
      <w:r>
        <w:rPr>
          <w:lang w:bidi="he-IL"/>
        </w:rPr>
        <w:t xml:space="preserve">parallels 12:10—13:4 in </w:t>
      </w:r>
      <w:r w:rsidR="00956272">
        <w:rPr>
          <w:lang w:bidi="he-IL"/>
        </w:rPr>
        <w:t>that it tells</w:t>
      </w:r>
      <w:r>
        <w:rPr>
          <w:lang w:bidi="he-IL"/>
        </w:rPr>
        <w:t xml:space="preserve"> of a problem that Abraham has to face</w:t>
      </w:r>
      <w:r w:rsidR="00AE3D8F">
        <w:rPr>
          <w:lang w:bidi="he-IL"/>
        </w:rPr>
        <w:t>; t</w:t>
      </w:r>
      <w:r w:rsidR="00AE3D8F" w:rsidRPr="00AE3D8F">
        <w:rPr>
          <w:lang w:bidi="he-IL"/>
        </w:rPr>
        <w:t>his time the specific carryover from 12:1-9 is not Sarah but Lot.</w:t>
      </w:r>
      <w:r w:rsidR="00AE3D8F">
        <w:rPr>
          <w:lang w:bidi="he-IL"/>
        </w:rPr>
        <w:t xml:space="preserve"> I</w:t>
      </w:r>
      <w:r>
        <w:rPr>
          <w:lang w:bidi="he-IL"/>
        </w:rPr>
        <w:t xml:space="preserve">t </w:t>
      </w:r>
      <w:r w:rsidR="00C643E7">
        <w:rPr>
          <w:lang w:bidi="he-IL"/>
        </w:rPr>
        <w:t xml:space="preserve">once </w:t>
      </w:r>
      <w:r>
        <w:rPr>
          <w:lang w:bidi="he-IL"/>
        </w:rPr>
        <w:t>again recounts how Abraham proposes a risky solution</w:t>
      </w:r>
      <w:r w:rsidR="00C643E7">
        <w:rPr>
          <w:lang w:bidi="he-IL"/>
        </w:rPr>
        <w:t xml:space="preserve"> to the problem that arises</w:t>
      </w:r>
      <w:r>
        <w:rPr>
          <w:lang w:bidi="he-IL"/>
        </w:rPr>
        <w:t>. Once again Abraham acts without consulting Yahweh</w:t>
      </w:r>
      <w:r w:rsidR="00C643E7">
        <w:rPr>
          <w:lang w:bidi="he-IL"/>
        </w:rPr>
        <w:t>, though there would hardly be any suggestion that he acted wrongly.</w:t>
      </w:r>
      <w:r w:rsidR="00EE46EB">
        <w:rPr>
          <w:lang w:bidi="he-IL"/>
        </w:rPr>
        <w:t xml:space="preserve"> Once again his solution, while risky for Abraham, is</w:t>
      </w:r>
      <w:r w:rsidR="00C643E7">
        <w:rPr>
          <w:lang w:bidi="he-IL"/>
        </w:rPr>
        <w:t xml:space="preserve"> also (perhaps less obviously) </w:t>
      </w:r>
      <w:r w:rsidR="00EE46EB">
        <w:rPr>
          <w:lang w:bidi="he-IL"/>
        </w:rPr>
        <w:t xml:space="preserve">risky </w:t>
      </w:r>
      <w:r w:rsidR="00C643E7">
        <w:rPr>
          <w:lang w:bidi="he-IL"/>
        </w:rPr>
        <w:t>for</w:t>
      </w:r>
      <w:r>
        <w:rPr>
          <w:lang w:bidi="he-IL"/>
        </w:rPr>
        <w:t xml:space="preserve"> </w:t>
      </w:r>
      <w:r w:rsidR="00AE3D8F">
        <w:rPr>
          <w:lang w:bidi="he-IL"/>
        </w:rPr>
        <w:t>the one to whom he proposes</w:t>
      </w:r>
      <w:r w:rsidR="00EE46EB">
        <w:rPr>
          <w:lang w:bidi="he-IL"/>
        </w:rPr>
        <w:t xml:space="preserve"> it;</w:t>
      </w:r>
      <w:r w:rsidR="00C643E7">
        <w:rPr>
          <w:lang w:bidi="he-IL"/>
        </w:rPr>
        <w:t xml:space="preserve"> the narrator eventually draws attention to the risk. O</w:t>
      </w:r>
      <w:r>
        <w:rPr>
          <w:lang w:bidi="he-IL"/>
        </w:rPr>
        <w:t>nce again Yahweh inter</w:t>
      </w:r>
      <w:r w:rsidR="00135DC4">
        <w:rPr>
          <w:lang w:bidi="he-IL"/>
        </w:rPr>
        <w:t>venes on Abraham’s behalf. O</w:t>
      </w:r>
      <w:r w:rsidR="00C643E7">
        <w:rPr>
          <w:lang w:bidi="he-IL"/>
        </w:rPr>
        <w:t>nce again</w:t>
      </w:r>
      <w:r>
        <w:rPr>
          <w:lang w:bidi="he-IL"/>
        </w:rPr>
        <w:t xml:space="preserve"> the story closes with Abraham moving and reaching out to </w:t>
      </w:r>
      <w:r w:rsidR="00AE3D8F">
        <w:rPr>
          <w:lang w:bidi="he-IL"/>
        </w:rPr>
        <w:t xml:space="preserve">Yahweh. </w:t>
      </w:r>
    </w:p>
    <w:p w14:paraId="6FD471BA" w14:textId="77777777" w:rsidR="00050CED" w:rsidRDefault="00C643E7" w:rsidP="008602D6">
      <w:pPr>
        <w:pStyle w:val="ListParagraph"/>
        <w:ind w:left="0" w:firstLine="720"/>
        <w:rPr>
          <w:lang w:bidi="he-IL"/>
        </w:rPr>
      </w:pPr>
      <w:r>
        <w:rPr>
          <w:lang w:bidi="he-IL"/>
        </w:rPr>
        <w:t>The story</w:t>
      </w:r>
      <w:r w:rsidR="00135DC4">
        <w:rPr>
          <w:lang w:bidi="he-IL"/>
        </w:rPr>
        <w:t xml:space="preserve"> also</w:t>
      </w:r>
      <w:r w:rsidR="00135DC4" w:rsidRPr="00135DC4">
        <w:rPr>
          <w:lang w:bidi="he-IL"/>
        </w:rPr>
        <w:t xml:space="preserve"> prepares the way for the ne</w:t>
      </w:r>
      <w:r w:rsidR="00135DC4">
        <w:rPr>
          <w:lang w:bidi="he-IL"/>
        </w:rPr>
        <w:t xml:space="preserve">xt chapter (see 14:12) and </w:t>
      </w:r>
      <w:r w:rsidR="00135DC4" w:rsidRPr="00135DC4">
        <w:rPr>
          <w:lang w:bidi="he-IL"/>
        </w:rPr>
        <w:t>for Gen 18—19.</w:t>
      </w:r>
      <w:r w:rsidR="008602D6">
        <w:rPr>
          <w:lang w:bidi="he-IL"/>
        </w:rPr>
        <w:t xml:space="preserve"> </w:t>
      </w:r>
      <w:r>
        <w:rPr>
          <w:lang w:bidi="he-IL"/>
        </w:rPr>
        <w:t>It</w:t>
      </w:r>
      <w:r w:rsidR="00960292">
        <w:rPr>
          <w:lang w:bidi="he-IL"/>
        </w:rPr>
        <w:t xml:space="preserve"> breaks into five</w:t>
      </w:r>
      <w:r w:rsidR="00B91F8C">
        <w:rPr>
          <w:lang w:bidi="he-IL"/>
        </w:rPr>
        <w:t xml:space="preserve"> paragraphs:</w:t>
      </w:r>
    </w:p>
    <w:p w14:paraId="441BD552" w14:textId="77777777" w:rsidR="00B91F8C" w:rsidRDefault="00B91F8C" w:rsidP="00050CED">
      <w:pPr>
        <w:pStyle w:val="ListParagraph"/>
        <w:ind w:left="720" w:firstLine="0"/>
        <w:rPr>
          <w:lang w:bidi="he-IL"/>
        </w:rPr>
      </w:pPr>
    </w:p>
    <w:p w14:paraId="7AD3823A" w14:textId="77777777" w:rsidR="00B91F8C" w:rsidRDefault="00B91F8C" w:rsidP="00050CED">
      <w:pPr>
        <w:pStyle w:val="ListParagraph"/>
        <w:ind w:left="720" w:firstLine="0"/>
        <w:rPr>
          <w:lang w:bidi="he-IL"/>
        </w:rPr>
      </w:pPr>
      <w:r>
        <w:rPr>
          <w:lang w:bidi="he-IL"/>
        </w:rPr>
        <w:t xml:space="preserve">Vv. 5-7: </w:t>
      </w:r>
      <w:r>
        <w:rPr>
          <w:lang w:bidi="he-IL"/>
        </w:rPr>
        <w:tab/>
        <w:t>The problem</w:t>
      </w:r>
    </w:p>
    <w:p w14:paraId="1F37EA4D" w14:textId="094554D5" w:rsidR="00B91F8C" w:rsidRDefault="00EE46EB" w:rsidP="00050CED">
      <w:pPr>
        <w:pStyle w:val="ListParagraph"/>
        <w:ind w:left="720" w:firstLine="0"/>
        <w:rPr>
          <w:lang w:bidi="he-IL"/>
        </w:rPr>
      </w:pPr>
      <w:r>
        <w:rPr>
          <w:lang w:bidi="he-IL"/>
        </w:rPr>
        <w:t xml:space="preserve">Vv. 8-9: </w:t>
      </w:r>
      <w:r>
        <w:rPr>
          <w:lang w:bidi="he-IL"/>
        </w:rPr>
        <w:tab/>
        <w:t>Abraham proposes a</w:t>
      </w:r>
      <w:r w:rsidR="00B91F8C">
        <w:rPr>
          <w:lang w:bidi="he-IL"/>
        </w:rPr>
        <w:t xml:space="preserve"> solution</w:t>
      </w:r>
    </w:p>
    <w:p w14:paraId="3F244FEF" w14:textId="06B8F3B9" w:rsidR="00B91F8C" w:rsidRDefault="00B91F8C" w:rsidP="00050CED">
      <w:pPr>
        <w:pStyle w:val="ListParagraph"/>
        <w:ind w:left="720" w:firstLine="0"/>
        <w:rPr>
          <w:lang w:bidi="he-IL"/>
        </w:rPr>
      </w:pPr>
      <w:r>
        <w:rPr>
          <w:lang w:bidi="he-IL"/>
        </w:rPr>
        <w:t>Vv</w:t>
      </w:r>
      <w:r w:rsidR="00EE46EB">
        <w:rPr>
          <w:lang w:bidi="he-IL"/>
        </w:rPr>
        <w:t>. 10-13</w:t>
      </w:r>
      <w:r w:rsidR="00EE46EB">
        <w:rPr>
          <w:lang w:bidi="he-IL"/>
        </w:rPr>
        <w:tab/>
        <w:t>Lot accepts the proposal</w:t>
      </w:r>
      <w:r>
        <w:rPr>
          <w:lang w:bidi="he-IL"/>
        </w:rPr>
        <w:t>, but the narrator draws attention to a snag</w:t>
      </w:r>
    </w:p>
    <w:p w14:paraId="6F1B53FF" w14:textId="77777777" w:rsidR="003E7266" w:rsidRDefault="00B91F8C" w:rsidP="00050CED">
      <w:pPr>
        <w:pStyle w:val="ListParagraph"/>
        <w:ind w:left="720" w:firstLine="0"/>
        <w:rPr>
          <w:lang w:bidi="he-IL"/>
        </w:rPr>
      </w:pPr>
      <w:r>
        <w:rPr>
          <w:lang w:bidi="he-IL"/>
        </w:rPr>
        <w:t>Vv. 14-17</w:t>
      </w:r>
      <w:r>
        <w:rPr>
          <w:lang w:bidi="he-IL"/>
        </w:rPr>
        <w:tab/>
        <w:t xml:space="preserve">Yahweh </w:t>
      </w:r>
      <w:r w:rsidR="003E7266">
        <w:rPr>
          <w:lang w:bidi="he-IL"/>
        </w:rPr>
        <w:t>renews and expands on his promise to Abraham</w:t>
      </w:r>
    </w:p>
    <w:p w14:paraId="0672451E" w14:textId="77777777" w:rsidR="00AE3D8F" w:rsidRDefault="003E7266" w:rsidP="00050CED">
      <w:pPr>
        <w:pStyle w:val="ListParagraph"/>
        <w:ind w:left="720" w:firstLine="0"/>
        <w:rPr>
          <w:lang w:bidi="he-IL"/>
        </w:rPr>
      </w:pPr>
      <w:r>
        <w:rPr>
          <w:lang w:bidi="he-IL"/>
        </w:rPr>
        <w:t>V. 18</w:t>
      </w:r>
      <w:r>
        <w:rPr>
          <w:lang w:bidi="he-IL"/>
        </w:rPr>
        <w:tab/>
      </w:r>
      <w:r>
        <w:rPr>
          <w:lang w:bidi="he-IL"/>
        </w:rPr>
        <w:tab/>
        <w:t>A</w:t>
      </w:r>
      <w:r w:rsidR="00DD5193">
        <w:rPr>
          <w:lang w:bidi="he-IL"/>
        </w:rPr>
        <w:t>braham moves to live near Mamre</w:t>
      </w:r>
      <w:r>
        <w:rPr>
          <w:lang w:bidi="he-IL"/>
        </w:rPr>
        <w:t>.</w:t>
      </w:r>
    </w:p>
    <w:p w14:paraId="68D23D87" w14:textId="77777777" w:rsidR="0024193E" w:rsidRDefault="0024193E" w:rsidP="00050CED">
      <w:pPr>
        <w:pStyle w:val="ListParagraph"/>
        <w:ind w:left="720" w:firstLine="0"/>
        <w:rPr>
          <w:lang w:bidi="he-IL"/>
        </w:rPr>
      </w:pPr>
    </w:p>
    <w:p w14:paraId="648F55A2" w14:textId="5D19F4A0" w:rsidR="00960292" w:rsidRDefault="00DC47FE" w:rsidP="00C643E7">
      <w:pPr>
        <w:pStyle w:val="ListParagraph"/>
        <w:ind w:left="0" w:firstLine="0"/>
        <w:rPr>
          <w:lang w:bidi="he-IL"/>
        </w:rPr>
      </w:pPr>
      <w:r>
        <w:rPr>
          <w:lang w:bidi="he-IL"/>
        </w:rPr>
        <w:t xml:space="preserve">Genesis tells us little about the quarrel </w:t>
      </w:r>
      <w:r w:rsidR="00C643E7">
        <w:rPr>
          <w:lang w:bidi="he-IL"/>
        </w:rPr>
        <w:t xml:space="preserve">itself </w:t>
      </w:r>
      <w:r>
        <w:rPr>
          <w:lang w:bidi="he-IL"/>
        </w:rPr>
        <w:t>(TgNeoph</w:t>
      </w:r>
      <w:r w:rsidR="00317BBD">
        <w:rPr>
          <w:lang w:bidi="he-IL"/>
        </w:rPr>
        <w:t xml:space="preserve"> and TgPsJ make</w:t>
      </w:r>
      <w:r>
        <w:rPr>
          <w:lang w:bidi="he-IL"/>
        </w:rPr>
        <w:t xml:space="preserve"> up for this lack), which puts the focus </w:t>
      </w:r>
      <w:r w:rsidR="0024193E">
        <w:rPr>
          <w:lang w:bidi="he-IL"/>
        </w:rPr>
        <w:t>on Abraham’s solution, Lot’s decision, and Yahweh’</w:t>
      </w:r>
      <w:r>
        <w:rPr>
          <w:lang w:bidi="he-IL"/>
        </w:rPr>
        <w:t>s promise which follow</w:t>
      </w:r>
      <w:r w:rsidR="0024193E">
        <w:rPr>
          <w:lang w:bidi="he-IL"/>
        </w:rPr>
        <w:t xml:space="preserve">. </w:t>
      </w:r>
    </w:p>
    <w:p w14:paraId="69D50FC6" w14:textId="2A5533DE" w:rsidR="00943474" w:rsidRDefault="00943474" w:rsidP="00943474">
      <w:pPr>
        <w:rPr>
          <w:lang w:bidi="he-IL"/>
        </w:rPr>
      </w:pPr>
      <w:r>
        <w:rPr>
          <w:lang w:bidi="he-IL"/>
        </w:rPr>
        <w:t>It’s great when brothers and sisters, aunts and uncles, can live as one (Ps 133) but it’s not always possible. When there’s a problem, the answer may be to give up trying and part amicably, which may work out fine (Acts 15:36-40), though it may not…. Whereas in the previous</w:t>
      </w:r>
      <w:r w:rsidRPr="00536501">
        <w:rPr>
          <w:lang w:bidi="he-IL"/>
        </w:rPr>
        <w:t xml:space="preserve"> story Abraham </w:t>
      </w:r>
      <w:r>
        <w:rPr>
          <w:lang w:bidi="he-IL"/>
        </w:rPr>
        <w:t>perhaps tried</w:t>
      </w:r>
      <w:r w:rsidRPr="00536501">
        <w:rPr>
          <w:lang w:bidi="he-IL"/>
        </w:rPr>
        <w:t xml:space="preserve"> t</w:t>
      </w:r>
      <w:r w:rsidR="00EE46EB">
        <w:rPr>
          <w:lang w:bidi="he-IL"/>
        </w:rPr>
        <w:t xml:space="preserve">o do the responsible but risky </w:t>
      </w:r>
      <w:r>
        <w:rPr>
          <w:lang w:bidi="he-IL"/>
        </w:rPr>
        <w:t>thing</w:t>
      </w:r>
      <w:r w:rsidR="00EE46EB">
        <w:rPr>
          <w:lang w:bidi="he-IL"/>
        </w:rPr>
        <w:t xml:space="preserve"> and</w:t>
      </w:r>
      <w:r w:rsidRPr="00536501">
        <w:rPr>
          <w:lang w:bidi="he-IL"/>
        </w:rPr>
        <w:t xml:space="preserve"> </w:t>
      </w:r>
      <w:r>
        <w:rPr>
          <w:lang w:bidi="he-IL"/>
        </w:rPr>
        <w:t>got</w:t>
      </w:r>
      <w:r w:rsidRPr="00536501">
        <w:rPr>
          <w:lang w:bidi="he-IL"/>
        </w:rPr>
        <w:t xml:space="preserve"> himself into a </w:t>
      </w:r>
      <w:r>
        <w:rPr>
          <w:lang w:bidi="he-IL"/>
        </w:rPr>
        <w:t>mess out of which Yahweh rescued him without rebuking him, in this story he tries to do the responsible but risky thing and thereby gives Lot the chance to get himself into a mess out of which Yahweh will rescue him, and finds Yahweh reaffirming his commitment to him. In light of the way things work out, however, does Abraham too easily let Lot go off down to Sodom?</w:t>
      </w:r>
      <w:r w:rsidR="00EE46EB">
        <w:rPr>
          <w:lang w:bidi="he-IL"/>
        </w:rPr>
        <w:t xml:space="preserve"> The story “depicts the tragedy associated with separation from the family of Abram.”</w:t>
      </w:r>
      <w:r w:rsidR="00EE46EB">
        <w:rPr>
          <w:rStyle w:val="FootnoteReference"/>
          <w:lang w:bidi="he-IL"/>
        </w:rPr>
        <w:footnoteReference w:id="117"/>
      </w:r>
    </w:p>
    <w:p w14:paraId="2DCB1CA9" w14:textId="20364956" w:rsidR="00050CED" w:rsidRDefault="00422207" w:rsidP="00422207">
      <w:pPr>
        <w:pStyle w:val="ListParagraph"/>
        <w:ind w:left="0" w:firstLine="720"/>
        <w:rPr>
          <w:lang w:bidi="he-IL"/>
        </w:rPr>
      </w:pPr>
      <w:r w:rsidRPr="00422207">
        <w:rPr>
          <w:b/>
          <w:lang w:bidi="he-IL"/>
        </w:rPr>
        <w:t>13:5-7</w:t>
      </w:r>
      <w:r>
        <w:rPr>
          <w:lang w:bidi="he-IL"/>
        </w:rPr>
        <w:t xml:space="preserve">. </w:t>
      </w:r>
      <w:r w:rsidR="00452C95">
        <w:rPr>
          <w:lang w:bidi="he-IL"/>
        </w:rPr>
        <w:t xml:space="preserve">Both branches of Nahor’s family have increased their livestock and tents (i.e., </w:t>
      </w:r>
      <w:r w:rsidR="00FB0285">
        <w:rPr>
          <w:lang w:bidi="he-IL"/>
        </w:rPr>
        <w:t>the families that live in them),</w:t>
      </w:r>
      <w:r w:rsidR="00452C95">
        <w:rPr>
          <w:rStyle w:val="FootnoteReference"/>
          <w:lang w:bidi="he-IL"/>
        </w:rPr>
        <w:footnoteReference w:id="118"/>
      </w:r>
      <w:r w:rsidR="00452C95">
        <w:rPr>
          <w:lang w:bidi="he-IL"/>
        </w:rPr>
        <w:t xml:space="preserve"> </w:t>
      </w:r>
      <w:r w:rsidR="00FB0285">
        <w:rPr>
          <w:lang w:bidi="he-IL"/>
        </w:rPr>
        <w:t>and within this extended family, t</w:t>
      </w:r>
      <w:r>
        <w:rPr>
          <w:lang w:bidi="he-IL"/>
        </w:rPr>
        <w:t>he relati</w:t>
      </w:r>
      <w:r w:rsidR="0024193E">
        <w:rPr>
          <w:lang w:bidi="he-IL"/>
        </w:rPr>
        <w:t>onship between Abraham and Lot i</w:t>
      </w:r>
      <w:r>
        <w:rPr>
          <w:lang w:bidi="he-IL"/>
        </w:rPr>
        <w:t xml:space="preserve">s a little ambiguous. Abraham is Lot’s uncle and guardian, but Lot is evidently also the head of his own household and entourage, no doubt partly inherited from his father </w:t>
      </w:r>
      <w:r w:rsidR="00AF5C1B">
        <w:rPr>
          <w:lang w:bidi="he-IL"/>
        </w:rPr>
        <w:t xml:space="preserve">Haran. </w:t>
      </w:r>
      <w:r w:rsidR="003D56BA">
        <w:rPr>
          <w:lang w:bidi="he-IL"/>
        </w:rPr>
        <w:t>“</w:t>
      </w:r>
      <w:r w:rsidR="00FB0285" w:rsidRPr="00FB0285">
        <w:rPr>
          <w:lang w:bidi="he-IL"/>
        </w:rPr>
        <w:t>As long as Abraham and Lot were not too rich, their shepherds were able to get along easily</w:t>
      </w:r>
      <w:r w:rsidR="003D56BA">
        <w:rPr>
          <w:lang w:bidi="he-IL"/>
        </w:rPr>
        <w:t>”</w:t>
      </w:r>
      <w:r w:rsidR="00FB0285" w:rsidRPr="00FB0285">
        <w:rPr>
          <w:lang w:bidi="he-IL"/>
        </w:rPr>
        <w:t xml:space="preserve">; but flourishing brings its </w:t>
      </w:r>
      <w:r w:rsidR="00FB0285" w:rsidRPr="00FB0285">
        <w:rPr>
          <w:lang w:bidi="he-IL"/>
        </w:rPr>
        <w:lastRenderedPageBreak/>
        <w:t>problems (a story set in Europe would then decide things by means of a duel).</w:t>
      </w:r>
      <w:r w:rsidR="00FB0285" w:rsidRPr="00FB0285">
        <w:rPr>
          <w:vertAlign w:val="superscript"/>
          <w:lang w:bidi="he-IL"/>
        </w:rPr>
        <w:footnoteReference w:id="119"/>
      </w:r>
      <w:r w:rsidR="00FB0285" w:rsidRPr="00FB0285">
        <w:rPr>
          <w:lang w:bidi="he-IL"/>
        </w:rPr>
        <w:t xml:space="preserve"> </w:t>
      </w:r>
      <w:r w:rsidR="00AF5C1B">
        <w:rPr>
          <w:lang w:bidi="he-IL"/>
        </w:rPr>
        <w:t>T</w:t>
      </w:r>
      <w:r>
        <w:rPr>
          <w:lang w:bidi="he-IL"/>
        </w:rPr>
        <w:t>he Beth</w:t>
      </w:r>
      <w:r w:rsidR="004A1D37">
        <w:rPr>
          <w:lang w:bidi="he-IL"/>
        </w:rPr>
        <w:t xml:space="preserve"> E</w:t>
      </w:r>
      <w:r>
        <w:rPr>
          <w:lang w:bidi="he-IL"/>
        </w:rPr>
        <w:t>l area where the two compa</w:t>
      </w:r>
      <w:r w:rsidR="00AF5C1B">
        <w:rPr>
          <w:lang w:bidi="he-IL"/>
        </w:rPr>
        <w:t>nies are liv</w:t>
      </w:r>
      <w:r w:rsidR="00B30428">
        <w:rPr>
          <w:lang w:bidi="he-IL"/>
        </w:rPr>
        <w:t>ing is too confined for them</w:t>
      </w:r>
      <w:r w:rsidR="00AF5C1B">
        <w:rPr>
          <w:lang w:bidi="he-IL"/>
        </w:rPr>
        <w:t>. Towns such as Beth</w:t>
      </w:r>
      <w:r w:rsidR="004A1D37">
        <w:rPr>
          <w:lang w:bidi="he-IL"/>
        </w:rPr>
        <w:t xml:space="preserve"> E</w:t>
      </w:r>
      <w:r w:rsidR="00AF5C1B">
        <w:rPr>
          <w:lang w:bidi="he-IL"/>
        </w:rPr>
        <w:t>l are Canaanite settlements</w:t>
      </w:r>
      <w:r w:rsidR="00651FA2">
        <w:rPr>
          <w:lang w:bidi="he-IL"/>
        </w:rPr>
        <w:t xml:space="preserve">, in the broad sense of the word </w:t>
      </w:r>
      <w:r w:rsidR="00B30428">
        <w:rPr>
          <w:lang w:bidi="he-IL"/>
        </w:rPr>
        <w:t>“</w:t>
      </w:r>
      <w:r w:rsidR="00651FA2">
        <w:rPr>
          <w:lang w:bidi="he-IL"/>
        </w:rPr>
        <w:t>Canaanite</w:t>
      </w:r>
      <w:r w:rsidR="00B30428">
        <w:rPr>
          <w:lang w:bidi="he-IL"/>
        </w:rPr>
        <w:t>”</w:t>
      </w:r>
      <w:r w:rsidR="00651FA2">
        <w:rPr>
          <w:lang w:bidi="he-IL"/>
        </w:rPr>
        <w:t xml:space="preserve"> as denoting the pre-Israelite inhabitants of the land in general. Perizzite is a more</w:t>
      </w:r>
      <w:r w:rsidR="00FB0285">
        <w:rPr>
          <w:lang w:bidi="he-IL"/>
        </w:rPr>
        <w:t xml:space="preserve"> specific term. It usually come</w:t>
      </w:r>
      <w:r w:rsidR="00651FA2">
        <w:rPr>
          <w:lang w:bidi="he-IL"/>
        </w:rPr>
        <w:t>s only in strings of descriptions of those pre-Israelite inhabi</w:t>
      </w:r>
      <w:r w:rsidR="00973F75">
        <w:rPr>
          <w:lang w:bidi="he-IL"/>
        </w:rPr>
        <w:t>tants (e.g., 15:</w:t>
      </w:r>
      <w:r w:rsidR="00FB0285">
        <w:rPr>
          <w:lang w:bidi="he-IL"/>
        </w:rPr>
        <w:t>20), and it</w:t>
      </w:r>
      <w:r w:rsidR="005552FC">
        <w:rPr>
          <w:lang w:bidi="he-IL"/>
        </w:rPr>
        <w:t xml:space="preserve"> is similar to a word for villagers (</w:t>
      </w:r>
      <w:r w:rsidR="005552FC">
        <w:rPr>
          <w:i/>
          <w:lang w:bidi="he-IL"/>
        </w:rPr>
        <w:t>pᵉrāzîm</w:t>
      </w:r>
      <w:r w:rsidR="005552FC">
        <w:rPr>
          <w:lang w:bidi="he-IL"/>
        </w:rPr>
        <w:t>, peraz</w:t>
      </w:r>
      <w:r w:rsidR="00FB0285">
        <w:rPr>
          <w:lang w:bidi="he-IL"/>
        </w:rPr>
        <w:t>-</w:t>
      </w:r>
      <w:r w:rsidR="005552FC">
        <w:rPr>
          <w:lang w:bidi="he-IL"/>
        </w:rPr>
        <w:t>ites)</w:t>
      </w:r>
      <w:r w:rsidR="00FB0285">
        <w:rPr>
          <w:lang w:bidi="he-IL"/>
        </w:rPr>
        <w:t>. But</w:t>
      </w:r>
      <w:r w:rsidR="00973F75">
        <w:rPr>
          <w:lang w:bidi="he-IL"/>
        </w:rPr>
        <w:t xml:space="preserve"> the three times when it occurs outside of those strings of terms all suggest a </w:t>
      </w:r>
      <w:r w:rsidR="004A1D37">
        <w:rPr>
          <w:lang w:bidi="he-IL"/>
        </w:rPr>
        <w:t>geographical link with the Beth E</w:t>
      </w:r>
      <w:r w:rsidR="00973F75">
        <w:rPr>
          <w:lang w:bidi="he-IL"/>
        </w:rPr>
        <w:t>l-Shechem area (see 34:30; Josh 17:15; Judg 1:4-5)</w:t>
      </w:r>
      <w:r w:rsidR="00651FA2">
        <w:rPr>
          <w:lang w:bidi="he-IL"/>
        </w:rPr>
        <w:t>.</w:t>
      </w:r>
      <w:r w:rsidR="00764145">
        <w:rPr>
          <w:rStyle w:val="FootnoteReference"/>
          <w:lang w:bidi="he-IL"/>
        </w:rPr>
        <w:footnoteReference w:id="120"/>
      </w:r>
      <w:r w:rsidR="005552FC">
        <w:rPr>
          <w:lang w:bidi="he-IL"/>
        </w:rPr>
        <w:t xml:space="preserve"> The term thus fits here as a more specific description of</w:t>
      </w:r>
      <w:r w:rsidR="00FB0285">
        <w:rPr>
          <w:lang w:bidi="he-IL"/>
        </w:rPr>
        <w:t xml:space="preserve"> the Canaanites who lived in this region. S</w:t>
      </w:r>
      <w:r w:rsidR="00973F75">
        <w:rPr>
          <w:lang w:bidi="he-IL"/>
        </w:rPr>
        <w:t>uch settled</w:t>
      </w:r>
      <w:r w:rsidR="005552FC">
        <w:rPr>
          <w:lang w:bidi="he-IL"/>
        </w:rPr>
        <w:t xml:space="preserve"> peoples </w:t>
      </w:r>
      <w:r w:rsidR="00FB0285">
        <w:rPr>
          <w:lang w:bidi="he-IL"/>
        </w:rPr>
        <w:t xml:space="preserve">(as opposed to groups that focused more on shepherding) </w:t>
      </w:r>
      <w:r w:rsidR="005552FC">
        <w:rPr>
          <w:lang w:bidi="he-IL"/>
        </w:rPr>
        <w:t xml:space="preserve">would control the areas around their towns and would pasture their </w:t>
      </w:r>
      <w:r w:rsidR="00FB0285">
        <w:rPr>
          <w:lang w:bidi="he-IL"/>
        </w:rPr>
        <w:t xml:space="preserve">own </w:t>
      </w:r>
      <w:r w:rsidR="005552FC">
        <w:rPr>
          <w:lang w:bidi="he-IL"/>
        </w:rPr>
        <w:t xml:space="preserve">flocks there. The area further away from their towns to the east </w:t>
      </w:r>
      <w:r w:rsidR="00FB0285" w:rsidRPr="00FB0285">
        <w:rPr>
          <w:lang w:bidi="he-IL"/>
        </w:rPr>
        <w:t xml:space="preserve">led down the mountain slopes in wilderness land </w:t>
      </w:r>
      <w:r w:rsidR="00FB0285">
        <w:rPr>
          <w:lang w:bidi="he-IL"/>
        </w:rPr>
        <w:t xml:space="preserve">which would have less </w:t>
      </w:r>
      <w:r w:rsidR="008B2983">
        <w:rPr>
          <w:lang w:bidi="he-IL"/>
        </w:rPr>
        <w:t xml:space="preserve">grass and less </w:t>
      </w:r>
      <w:r w:rsidR="00FB0285">
        <w:rPr>
          <w:lang w:bidi="he-IL"/>
        </w:rPr>
        <w:t>water (that’s why the towns were not there). One can see how Abraham and Lot c</w:t>
      </w:r>
      <w:r w:rsidR="005552FC">
        <w:rPr>
          <w:lang w:bidi="he-IL"/>
        </w:rPr>
        <w:t xml:space="preserve">ould have a problem. </w:t>
      </w:r>
    </w:p>
    <w:p w14:paraId="6417514A" w14:textId="53AF8A58" w:rsidR="00973F75" w:rsidRPr="00536501" w:rsidRDefault="00973F75" w:rsidP="00422207">
      <w:pPr>
        <w:pStyle w:val="ListParagraph"/>
        <w:ind w:left="0" w:firstLine="720"/>
        <w:rPr>
          <w:i/>
          <w:lang w:bidi="he-IL"/>
        </w:rPr>
      </w:pPr>
      <w:r w:rsidRPr="00973F75">
        <w:rPr>
          <w:b/>
          <w:lang w:bidi="he-IL"/>
        </w:rPr>
        <w:t>13:8-9.</w:t>
      </w:r>
      <w:r w:rsidR="008B2983">
        <w:rPr>
          <w:lang w:bidi="he-IL"/>
        </w:rPr>
        <w:t xml:space="preserve"> </w:t>
      </w:r>
      <w:r w:rsidR="00B30428">
        <w:rPr>
          <w:lang w:bidi="he-IL"/>
        </w:rPr>
        <w:t>So Abraham proposes a solution for the problem over grazing</w:t>
      </w:r>
      <w:r>
        <w:rPr>
          <w:lang w:bidi="he-IL"/>
        </w:rPr>
        <w:t>.</w:t>
      </w:r>
      <w:r w:rsidR="008B2983">
        <w:rPr>
          <w:lang w:bidi="he-IL"/>
        </w:rPr>
        <w:t xml:space="preserve"> </w:t>
      </w:r>
      <w:r>
        <w:rPr>
          <w:lang w:bidi="he-IL"/>
        </w:rPr>
        <w:t>Lot is as much an h</w:t>
      </w:r>
      <w:r w:rsidR="008B2983">
        <w:rPr>
          <w:lang w:bidi="he-IL"/>
        </w:rPr>
        <w:t>eir to Yahweh’s promise about the land</w:t>
      </w:r>
      <w:r>
        <w:rPr>
          <w:lang w:bidi="he-IL"/>
        </w:rPr>
        <w:t xml:space="preserve"> as Abraham is. He could go north to the Shiloh, Shechem, or Samaria</w:t>
      </w:r>
      <w:r w:rsidR="00B30428">
        <w:rPr>
          <w:lang w:bidi="he-IL"/>
        </w:rPr>
        <w:t xml:space="preserve"> region, in which case Abraham c</w:t>
      </w:r>
      <w:r>
        <w:rPr>
          <w:lang w:bidi="he-IL"/>
        </w:rPr>
        <w:t>ould go south down the mountai</w:t>
      </w:r>
      <w:r w:rsidR="00DD5193">
        <w:rPr>
          <w:lang w:bidi="he-IL"/>
        </w:rPr>
        <w:t>n ridge to Mamre</w:t>
      </w:r>
      <w:r w:rsidR="001D27DE">
        <w:rPr>
          <w:lang w:bidi="he-IL"/>
        </w:rPr>
        <w:t xml:space="preserve"> or Beer S</w:t>
      </w:r>
      <w:r w:rsidR="00FD70C4">
        <w:rPr>
          <w:lang w:bidi="he-IL"/>
        </w:rPr>
        <w:t xml:space="preserve">heba; or the other way around. Lot can choose. Twice Abraham says </w:t>
      </w:r>
      <w:r w:rsidR="003D56BA">
        <w:rPr>
          <w:lang w:bidi="he-IL"/>
        </w:rPr>
        <w:t>“</w:t>
      </w:r>
      <w:r w:rsidR="00FD70C4">
        <w:rPr>
          <w:lang w:bidi="he-IL"/>
        </w:rPr>
        <w:t>please,</w:t>
      </w:r>
      <w:r w:rsidR="003D56BA">
        <w:rPr>
          <w:lang w:bidi="he-IL"/>
        </w:rPr>
        <w:t>”</w:t>
      </w:r>
      <w:r w:rsidR="00FD70C4">
        <w:rPr>
          <w:lang w:bidi="he-IL"/>
        </w:rPr>
        <w:t xml:space="preserve"> as he did to Sarah. Does it indicate that Abraham is a</w:t>
      </w:r>
      <w:r w:rsidR="008B2983">
        <w:rPr>
          <w:lang w:bidi="he-IL"/>
        </w:rPr>
        <w:t xml:space="preserve"> wimp who doesn’t like conflict</w:t>
      </w:r>
      <w:r w:rsidR="00FD70C4">
        <w:rPr>
          <w:lang w:bidi="he-IL"/>
        </w:rPr>
        <w:t xml:space="preserve"> </w:t>
      </w:r>
      <w:r w:rsidR="008B2983">
        <w:rPr>
          <w:lang w:bidi="he-IL"/>
        </w:rPr>
        <w:t>(</w:t>
      </w:r>
      <w:r w:rsidR="00FD70C4">
        <w:rPr>
          <w:lang w:bidi="he-IL"/>
        </w:rPr>
        <w:t>Gen 16 will support that idea</w:t>
      </w:r>
      <w:r w:rsidR="008B2983">
        <w:rPr>
          <w:lang w:bidi="he-IL"/>
        </w:rPr>
        <w:t>)?</w:t>
      </w:r>
      <w:r w:rsidR="00FA390E">
        <w:rPr>
          <w:lang w:bidi="he-IL"/>
        </w:rPr>
        <w:t xml:space="preserve"> Or is he just being po</w:t>
      </w:r>
      <w:r w:rsidR="008B2983">
        <w:rPr>
          <w:lang w:bidi="he-IL"/>
        </w:rPr>
        <w:t>lite? I</w:t>
      </w:r>
      <w:r w:rsidR="008B2983" w:rsidRPr="008B2983">
        <w:rPr>
          <w:lang w:bidi="he-IL"/>
        </w:rPr>
        <w:t xml:space="preserve">s he being generous? </w:t>
      </w:r>
      <w:r w:rsidR="008B2983">
        <w:rPr>
          <w:lang w:bidi="he-IL"/>
        </w:rPr>
        <w:t>Or does he simply need to solve a problem?</w:t>
      </w:r>
      <w:r w:rsidR="00536501">
        <w:rPr>
          <w:lang w:bidi="he-IL"/>
        </w:rPr>
        <w:t xml:space="preserve"> Is his offer an expression of his trust in God’s promise? There is no more indication of that possibility than there was of his having a failure of trust in 12:10. In this story, Yahweh’s affirmation of his promise follows on his suggestion to Lot, rather than being the basis of it.</w:t>
      </w:r>
    </w:p>
    <w:p w14:paraId="6D96722D" w14:textId="6B4A79B3" w:rsidR="000B211A" w:rsidRPr="00BE2CDA" w:rsidRDefault="00FD70C4" w:rsidP="00BE2CDA">
      <w:pPr>
        <w:pStyle w:val="ListParagraph"/>
        <w:ind w:left="0" w:firstLine="720"/>
        <w:rPr>
          <w:rFonts w:asciiTheme="minorHAnsi" w:eastAsiaTheme="minorHAnsi" w:hAnsiTheme="minorHAnsi" w:cs="Minion-Regular"/>
          <w:szCs w:val="22"/>
        </w:rPr>
      </w:pPr>
      <w:r>
        <w:rPr>
          <w:b/>
          <w:lang w:bidi="he-IL"/>
        </w:rPr>
        <w:t>13:10-13</w:t>
      </w:r>
      <w:r>
        <w:rPr>
          <w:lang w:bidi="he-IL"/>
        </w:rPr>
        <w:t xml:space="preserve">. </w:t>
      </w:r>
      <w:r w:rsidR="008B2983">
        <w:rPr>
          <w:lang w:bidi="he-IL"/>
        </w:rPr>
        <w:t xml:space="preserve">Perhaps, then, </w:t>
      </w:r>
      <w:r w:rsidR="003D56BA">
        <w:rPr>
          <w:lang w:bidi="he-IL"/>
        </w:rPr>
        <w:t>“</w:t>
      </w:r>
      <w:r w:rsidR="008B2983">
        <w:rPr>
          <w:rFonts w:asciiTheme="minorHAnsi" w:eastAsiaTheme="minorHAnsi" w:hAnsiTheme="minorHAnsi" w:cs="Minion-Regular"/>
          <w:szCs w:val="22"/>
        </w:rPr>
        <w:t>w</w:t>
      </w:r>
      <w:r w:rsidR="00BE2CDA" w:rsidRPr="00BE2CDA">
        <w:rPr>
          <w:rFonts w:asciiTheme="minorHAnsi" w:eastAsiaTheme="minorHAnsi" w:hAnsiTheme="minorHAnsi" w:cs="Minion-Regular"/>
          <w:szCs w:val="22"/>
        </w:rPr>
        <w:t>ith typical ancient</w:t>
      </w:r>
      <w:r w:rsidR="00BE2CDA">
        <w:rPr>
          <w:rFonts w:asciiTheme="minorHAnsi" w:eastAsiaTheme="minorHAnsi" w:hAnsiTheme="minorHAnsi" w:cs="Minion-Regular"/>
          <w:szCs w:val="22"/>
        </w:rPr>
        <w:t xml:space="preserve"> </w:t>
      </w:r>
      <w:r w:rsidR="00BE2CDA" w:rsidRPr="00BE2CDA">
        <w:rPr>
          <w:rFonts w:asciiTheme="minorHAnsi" w:eastAsiaTheme="minorHAnsi" w:hAnsiTheme="minorHAnsi" w:cs="Minion-Regular"/>
          <w:szCs w:val="22"/>
        </w:rPr>
        <w:t>Near Eastern obse</w:t>
      </w:r>
      <w:r w:rsidR="00BE2CDA">
        <w:rPr>
          <w:rFonts w:asciiTheme="minorHAnsi" w:eastAsiaTheme="minorHAnsi" w:hAnsiTheme="minorHAnsi" w:cs="Minion-Regular"/>
          <w:szCs w:val="22"/>
        </w:rPr>
        <w:t xml:space="preserve">quiousness, Abram defers to his </w:t>
      </w:r>
      <w:r w:rsidR="00BE2CDA" w:rsidRPr="00BE2CDA">
        <w:rPr>
          <w:rFonts w:asciiTheme="minorHAnsi" w:eastAsiaTheme="minorHAnsi" w:hAnsiTheme="minorHAnsi" w:cs="Minion-Regular"/>
          <w:szCs w:val="22"/>
        </w:rPr>
        <w:t>nephew to decide which portion</w:t>
      </w:r>
      <w:r w:rsidR="00BE2CDA">
        <w:rPr>
          <w:rFonts w:asciiTheme="minorHAnsi" w:eastAsiaTheme="minorHAnsi" w:hAnsiTheme="minorHAnsi" w:cs="Minion-Regular"/>
          <w:szCs w:val="22"/>
        </w:rPr>
        <w:t xml:space="preserve"> </w:t>
      </w:r>
      <w:r w:rsidR="00BE2CDA" w:rsidRPr="00BE2CDA">
        <w:rPr>
          <w:rFonts w:asciiTheme="minorHAnsi" w:eastAsiaTheme="minorHAnsi" w:hAnsiTheme="minorHAnsi" w:cs="Minion-Regular"/>
          <w:szCs w:val="22"/>
        </w:rPr>
        <w:t>of the land to take</w:t>
      </w:r>
      <w:r w:rsidR="00BE2CDA">
        <w:rPr>
          <w:rFonts w:asciiTheme="minorHAnsi" w:eastAsiaTheme="minorHAnsi" w:hAnsiTheme="minorHAnsi" w:cs="Minion-Regular"/>
          <w:szCs w:val="22"/>
        </w:rPr>
        <w:t>,</w:t>
      </w:r>
      <w:r w:rsidR="003D56BA">
        <w:rPr>
          <w:rFonts w:asciiTheme="minorHAnsi" w:eastAsiaTheme="minorHAnsi" w:hAnsiTheme="minorHAnsi" w:cs="Minion-Regular"/>
          <w:szCs w:val="22"/>
        </w:rPr>
        <w:t>”</w:t>
      </w:r>
      <w:r w:rsidR="00BE2CDA">
        <w:rPr>
          <w:rFonts w:asciiTheme="minorHAnsi" w:eastAsiaTheme="minorHAnsi" w:hAnsiTheme="minorHAnsi" w:cs="Minion-Regular"/>
          <w:szCs w:val="22"/>
        </w:rPr>
        <w:t xml:space="preserve"> which should lead to Lot deferring to Abraham (cf. the courteous negotiation in Gen 23). </w:t>
      </w:r>
      <w:r w:rsidR="008B2983">
        <w:rPr>
          <w:rFonts w:asciiTheme="minorHAnsi" w:eastAsiaTheme="minorHAnsi" w:hAnsiTheme="minorHAnsi" w:cs="Minion-Regular"/>
          <w:szCs w:val="22"/>
        </w:rPr>
        <w:t xml:space="preserve">But </w:t>
      </w:r>
      <w:r w:rsidR="003D56BA">
        <w:rPr>
          <w:rFonts w:asciiTheme="minorHAnsi" w:eastAsiaTheme="minorHAnsi" w:hAnsiTheme="minorHAnsi" w:cs="Minion-Regular"/>
          <w:szCs w:val="22"/>
        </w:rPr>
        <w:t>“</w:t>
      </w:r>
      <w:r w:rsidR="008B2983">
        <w:rPr>
          <w:rFonts w:asciiTheme="minorHAnsi" w:eastAsiaTheme="minorHAnsi" w:hAnsiTheme="minorHAnsi" w:cs="Minion-Regular"/>
          <w:szCs w:val="22"/>
        </w:rPr>
        <w:t>s</w:t>
      </w:r>
      <w:r w:rsidR="00BE2CDA" w:rsidRPr="00BE2CDA">
        <w:rPr>
          <w:rFonts w:asciiTheme="minorHAnsi" w:eastAsiaTheme="minorHAnsi" w:hAnsiTheme="minorHAnsi" w:cs="Minion-Regular"/>
          <w:szCs w:val="22"/>
        </w:rPr>
        <w:t>hockingly,</w:t>
      </w:r>
      <w:r w:rsidR="00BE2CDA">
        <w:rPr>
          <w:lang w:bidi="he-IL"/>
        </w:rPr>
        <w:t xml:space="preserve"> </w:t>
      </w:r>
      <w:r w:rsidR="00BE2CDA" w:rsidRPr="00BE2CDA">
        <w:rPr>
          <w:rFonts w:asciiTheme="minorHAnsi" w:eastAsiaTheme="minorHAnsi" w:hAnsiTheme="minorHAnsi" w:cs="Minion-Regular"/>
          <w:szCs w:val="22"/>
        </w:rPr>
        <w:t>he agrees to make the selection himself</w:t>
      </w:r>
      <w:r w:rsidR="003D56BA">
        <w:rPr>
          <w:rFonts w:asciiTheme="minorHAnsi" w:eastAsiaTheme="minorHAnsi" w:hAnsiTheme="minorHAnsi" w:cs="Minion-Regular"/>
          <w:szCs w:val="22"/>
        </w:rPr>
        <w:t>”</w:t>
      </w:r>
      <w:r w:rsidR="00BE2CDA">
        <w:rPr>
          <w:rFonts w:asciiTheme="minorHAnsi" w:eastAsiaTheme="minorHAnsi" w:hAnsiTheme="minorHAnsi" w:cs="Minion-Regular"/>
          <w:szCs w:val="22"/>
        </w:rPr>
        <w:t xml:space="preserve"> and promptly </w:t>
      </w:r>
      <w:r w:rsidR="00BE2CDA" w:rsidRPr="00BE2CDA">
        <w:rPr>
          <w:rFonts w:asciiTheme="minorHAnsi" w:eastAsiaTheme="minorHAnsi" w:hAnsiTheme="minorHAnsi" w:cs="Minion-Regular"/>
          <w:szCs w:val="22"/>
        </w:rPr>
        <w:t>chooses</w:t>
      </w:r>
      <w:r w:rsidR="00BE2CDA">
        <w:rPr>
          <w:rFonts w:asciiTheme="minorHAnsi" w:eastAsiaTheme="minorHAnsi" w:hAnsiTheme="minorHAnsi" w:cs="Minion-Regular"/>
          <w:szCs w:val="22"/>
        </w:rPr>
        <w:t xml:space="preserve"> </w:t>
      </w:r>
      <w:r w:rsidR="00BE2CDA" w:rsidRPr="00BE2CDA">
        <w:rPr>
          <w:rFonts w:asciiTheme="minorHAnsi" w:eastAsiaTheme="minorHAnsi" w:hAnsiTheme="minorHAnsi" w:cs="Minion-Regular"/>
          <w:szCs w:val="22"/>
        </w:rPr>
        <w:t xml:space="preserve">the Jordan valley, </w:t>
      </w:r>
      <w:r w:rsidR="003D56BA">
        <w:rPr>
          <w:rFonts w:asciiTheme="minorHAnsi" w:eastAsiaTheme="minorHAnsi" w:hAnsiTheme="minorHAnsi" w:cs="Minion-Regular"/>
          <w:szCs w:val="22"/>
        </w:rPr>
        <w:t>“</w:t>
      </w:r>
      <w:r w:rsidR="00BE2CDA" w:rsidRPr="00BE2CDA">
        <w:rPr>
          <w:rFonts w:asciiTheme="minorHAnsi" w:eastAsiaTheme="minorHAnsi" w:hAnsiTheme="minorHAnsi" w:cs="Minion-Regular"/>
          <w:szCs w:val="22"/>
        </w:rPr>
        <w:t>leaving the dry and rock</w:t>
      </w:r>
      <w:r w:rsidR="00BE2CDA">
        <w:rPr>
          <w:rFonts w:asciiTheme="minorHAnsi" w:eastAsiaTheme="minorHAnsi" w:hAnsiTheme="minorHAnsi" w:cs="Minion-Regular"/>
          <w:szCs w:val="22"/>
        </w:rPr>
        <w:t>y hill country to his uncle.</w:t>
      </w:r>
      <w:r w:rsidR="003D56BA">
        <w:rPr>
          <w:rFonts w:asciiTheme="minorHAnsi" w:eastAsiaTheme="minorHAnsi" w:hAnsiTheme="minorHAnsi" w:cs="Minion-Regular"/>
          <w:szCs w:val="22"/>
        </w:rPr>
        <w:t>”</w:t>
      </w:r>
      <w:r w:rsidR="00BE2CDA">
        <w:rPr>
          <w:rStyle w:val="FootnoteReference"/>
          <w:rFonts w:asciiTheme="minorHAnsi" w:eastAsiaTheme="minorHAnsi" w:hAnsiTheme="minorHAnsi" w:cs="Minion-Regular"/>
          <w:szCs w:val="22"/>
        </w:rPr>
        <w:footnoteReference w:id="121"/>
      </w:r>
      <w:r w:rsidR="00BE2CDA">
        <w:rPr>
          <w:rFonts w:asciiTheme="minorHAnsi" w:eastAsiaTheme="minorHAnsi" w:hAnsiTheme="minorHAnsi" w:cs="Minion-Regular"/>
          <w:szCs w:val="22"/>
        </w:rPr>
        <w:t xml:space="preserve"> </w:t>
      </w:r>
      <w:r w:rsidR="005218E9">
        <w:rPr>
          <w:lang w:bidi="he-IL"/>
        </w:rPr>
        <w:t>L</w:t>
      </w:r>
      <w:r>
        <w:rPr>
          <w:lang w:bidi="he-IL"/>
        </w:rPr>
        <w:t xml:space="preserve">ot </w:t>
      </w:r>
      <w:r w:rsidR="005218E9">
        <w:rPr>
          <w:lang w:bidi="he-IL"/>
        </w:rPr>
        <w:t xml:space="preserve">does not look </w:t>
      </w:r>
      <w:r>
        <w:rPr>
          <w:lang w:bidi="he-IL"/>
        </w:rPr>
        <w:t>e</w:t>
      </w:r>
      <w:r w:rsidR="005218E9">
        <w:rPr>
          <w:lang w:bidi="he-IL"/>
        </w:rPr>
        <w:t xml:space="preserve">ither north </w:t>
      </w:r>
      <w:r w:rsidR="00F53A4E">
        <w:rPr>
          <w:lang w:bidi="he-IL"/>
        </w:rPr>
        <w:t xml:space="preserve">or south but east. </w:t>
      </w:r>
      <w:r w:rsidR="004A1D37">
        <w:rPr>
          <w:lang w:bidi="he-IL"/>
        </w:rPr>
        <w:t>Beth E</w:t>
      </w:r>
      <w:r>
        <w:rPr>
          <w:lang w:bidi="he-IL"/>
        </w:rPr>
        <w:t>l is near a crossroads on the ridge; one road wends its way down into the Jordan Valley and another wends its way towards th</w:t>
      </w:r>
      <w:r w:rsidR="00EA6CFB">
        <w:rPr>
          <w:lang w:bidi="he-IL"/>
        </w:rPr>
        <w:t>e Mediterranean, as it does</w:t>
      </w:r>
      <w:r>
        <w:rPr>
          <w:lang w:bidi="he-IL"/>
        </w:rPr>
        <w:t xml:space="preserve"> today</w:t>
      </w:r>
      <w:r w:rsidR="00D10FC5">
        <w:rPr>
          <w:lang w:bidi="he-IL"/>
        </w:rPr>
        <w:t xml:space="preserve"> </w:t>
      </w:r>
      <w:r w:rsidR="00D10FC5">
        <w:t>(nowadays Jerusalem is the best-known crossroads, but this change issued from Jerusalem’s own development as Israel’s capital)</w:t>
      </w:r>
      <w:r>
        <w:rPr>
          <w:lang w:bidi="he-IL"/>
        </w:rPr>
        <w:t>.</w:t>
      </w:r>
      <w:r w:rsidR="00F53A4E">
        <w:rPr>
          <w:lang w:bidi="he-IL"/>
        </w:rPr>
        <w:t xml:space="preserve"> In the wilderness to the east shepherds would have less competition, but wh</w:t>
      </w:r>
      <w:r w:rsidR="008B2983">
        <w:rPr>
          <w:lang w:bidi="he-IL"/>
        </w:rPr>
        <w:t xml:space="preserve">at strikes Lot is that </w:t>
      </w:r>
      <w:r w:rsidR="00F53A4E">
        <w:rPr>
          <w:lang w:bidi="he-IL"/>
        </w:rPr>
        <w:t>get</w:t>
      </w:r>
      <w:r w:rsidR="008B2983">
        <w:rPr>
          <w:lang w:bidi="he-IL"/>
        </w:rPr>
        <w:t>ting</w:t>
      </w:r>
      <w:r w:rsidR="00F53A4E">
        <w:rPr>
          <w:lang w:bidi="he-IL"/>
        </w:rPr>
        <w:t xml:space="preserve"> to the bottom of the precipitous mountain slopes (the land falls 4000 </w:t>
      </w:r>
      <w:r w:rsidR="008B2983">
        <w:rPr>
          <w:lang w:bidi="he-IL"/>
        </w:rPr>
        <w:t>feet in ten or fifteen miles) means</w:t>
      </w:r>
      <w:r w:rsidR="00F53A4E">
        <w:rPr>
          <w:lang w:bidi="he-IL"/>
        </w:rPr>
        <w:t xml:space="preserve"> reach</w:t>
      </w:r>
      <w:r w:rsidR="008B2983">
        <w:rPr>
          <w:lang w:bidi="he-IL"/>
        </w:rPr>
        <w:t xml:space="preserve">ing </w:t>
      </w:r>
      <w:r w:rsidR="00F53A4E">
        <w:rPr>
          <w:lang w:bidi="he-IL"/>
        </w:rPr>
        <w:t xml:space="preserve">country watered by springs </w:t>
      </w:r>
      <w:r w:rsidR="00D146A3">
        <w:rPr>
          <w:lang w:bidi="he-IL"/>
        </w:rPr>
        <w:t xml:space="preserve">and by the Jordan itself. It is </w:t>
      </w:r>
      <w:r w:rsidR="00D805BB">
        <w:rPr>
          <w:lang w:bidi="he-IL"/>
        </w:rPr>
        <w:t>the</w:t>
      </w:r>
      <w:r w:rsidR="005218E9" w:rsidRPr="005218E9">
        <w:rPr>
          <w:lang w:val="en-GB" w:bidi="he-IL"/>
        </w:rPr>
        <w:t xml:space="preserve"> </w:t>
      </w:r>
      <w:r w:rsidR="00D805BB">
        <w:rPr>
          <w:lang w:val="en-GB" w:bidi="he-IL"/>
        </w:rPr>
        <w:t xml:space="preserve">southernmost, </w:t>
      </w:r>
      <w:r w:rsidR="005218E9" w:rsidRPr="005218E9">
        <w:rPr>
          <w:lang w:val="en-GB" w:bidi="he-IL"/>
        </w:rPr>
        <w:t>wide</w:t>
      </w:r>
      <w:r w:rsidR="00D805BB">
        <w:rPr>
          <w:lang w:val="en-GB" w:bidi="he-IL"/>
        </w:rPr>
        <w:t>,</w:t>
      </w:r>
      <w:r w:rsidR="005218E9" w:rsidRPr="005218E9">
        <w:rPr>
          <w:lang w:val="en-GB" w:bidi="he-IL"/>
        </w:rPr>
        <w:t xml:space="preserve"> flat-bottomed vale through which the Jordan runs</w:t>
      </w:r>
      <w:r w:rsidR="00D805BB">
        <w:rPr>
          <w:lang w:val="en-GB" w:bidi="he-IL"/>
        </w:rPr>
        <w:t xml:space="preserve"> as it reaches</w:t>
      </w:r>
      <w:r w:rsidR="007B5674">
        <w:rPr>
          <w:lang w:val="en-GB" w:bidi="he-IL"/>
        </w:rPr>
        <w:t xml:space="preserve"> the D</w:t>
      </w:r>
      <w:r w:rsidR="00D805BB">
        <w:rPr>
          <w:lang w:val="en-GB" w:bidi="he-IL"/>
        </w:rPr>
        <w:t>e</w:t>
      </w:r>
      <w:r w:rsidR="007B5674">
        <w:rPr>
          <w:lang w:val="en-GB" w:bidi="he-IL"/>
        </w:rPr>
        <w:t>a</w:t>
      </w:r>
      <w:r w:rsidR="00D805BB">
        <w:rPr>
          <w:lang w:val="en-GB" w:bidi="he-IL"/>
        </w:rPr>
        <w:t>d Sea</w:t>
      </w:r>
      <w:r w:rsidR="005218E9">
        <w:rPr>
          <w:lang w:val="en-GB" w:bidi="he-IL"/>
        </w:rPr>
        <w:t>.</w:t>
      </w:r>
      <w:r w:rsidR="005218E9" w:rsidRPr="005218E9">
        <w:rPr>
          <w:lang w:bidi="he-IL"/>
        </w:rPr>
        <w:t xml:space="preserve"> </w:t>
      </w:r>
      <w:r w:rsidR="00774120">
        <w:rPr>
          <w:lang w:bidi="he-IL"/>
        </w:rPr>
        <w:t xml:space="preserve">Taking </w:t>
      </w:r>
      <w:r w:rsidR="003D56BA">
        <w:rPr>
          <w:lang w:bidi="he-IL"/>
        </w:rPr>
        <w:t>“</w:t>
      </w:r>
      <w:r w:rsidR="00602C48">
        <w:rPr>
          <w:lang w:bidi="he-IL"/>
        </w:rPr>
        <w:t>the Jordan</w:t>
      </w:r>
      <w:r w:rsidR="007B5674">
        <w:rPr>
          <w:lang w:bidi="he-IL"/>
        </w:rPr>
        <w:t xml:space="preserve"> area</w:t>
      </w:r>
      <w:r w:rsidR="003D56BA">
        <w:rPr>
          <w:lang w:bidi="he-IL"/>
        </w:rPr>
        <w:t>”</w:t>
      </w:r>
      <w:r w:rsidR="00774120">
        <w:rPr>
          <w:lang w:bidi="he-IL"/>
        </w:rPr>
        <w:t xml:space="preserve"> to denote</w:t>
      </w:r>
      <w:r w:rsidR="005218E9">
        <w:rPr>
          <w:lang w:bidi="he-IL"/>
        </w:rPr>
        <w:t xml:space="preserve"> </w:t>
      </w:r>
      <w:r w:rsidR="00D805BB">
        <w:rPr>
          <w:lang w:bidi="he-IL"/>
        </w:rPr>
        <w:t xml:space="preserve">this </w:t>
      </w:r>
      <w:r w:rsidR="005218E9">
        <w:rPr>
          <w:lang w:bidi="he-IL"/>
        </w:rPr>
        <w:t>vale</w:t>
      </w:r>
      <w:r w:rsidR="00774120">
        <w:rPr>
          <w:lang w:bidi="he-IL"/>
        </w:rPr>
        <w:t xml:space="preserve"> makes geographical sense</w:t>
      </w:r>
      <w:r w:rsidR="00CC1F50">
        <w:rPr>
          <w:lang w:bidi="he-IL"/>
        </w:rPr>
        <w:t xml:space="preserve">. </w:t>
      </w:r>
      <w:r w:rsidR="00382462">
        <w:rPr>
          <w:lang w:bidi="he-IL"/>
        </w:rPr>
        <w:t>I</w:t>
      </w:r>
      <w:r w:rsidR="00D805BB">
        <w:rPr>
          <w:lang w:bidi="he-IL"/>
        </w:rPr>
        <w:t xml:space="preserve">t would be </w:t>
      </w:r>
      <w:r w:rsidR="006D4496">
        <w:rPr>
          <w:lang w:bidi="he-IL"/>
        </w:rPr>
        <w:t>odd</w:t>
      </w:r>
      <w:r w:rsidR="007B5674">
        <w:rPr>
          <w:lang w:bidi="he-IL"/>
        </w:rPr>
        <w:t xml:space="preserve"> to think that the term</w:t>
      </w:r>
      <w:r w:rsidR="00D805BB">
        <w:rPr>
          <w:lang w:bidi="he-IL"/>
        </w:rPr>
        <w:t xml:space="preserve"> included</w:t>
      </w:r>
      <w:r w:rsidR="006D4496">
        <w:rPr>
          <w:lang w:bidi="he-IL"/>
        </w:rPr>
        <w:t xml:space="preserve"> the Dead Sea</w:t>
      </w:r>
      <w:r w:rsidR="00D805BB">
        <w:rPr>
          <w:lang w:bidi="he-IL"/>
        </w:rPr>
        <w:t xml:space="preserve"> </w:t>
      </w:r>
      <w:r w:rsidR="00774120">
        <w:rPr>
          <w:lang w:bidi="he-IL"/>
        </w:rPr>
        <w:t xml:space="preserve">itself </w:t>
      </w:r>
      <w:r w:rsidR="00D805BB">
        <w:rPr>
          <w:lang w:bidi="he-IL"/>
        </w:rPr>
        <w:t>(cf. Deut 34:3)</w:t>
      </w:r>
      <w:r w:rsidR="00382462">
        <w:rPr>
          <w:lang w:bidi="he-IL"/>
        </w:rPr>
        <w:t xml:space="preserve">. </w:t>
      </w:r>
      <w:r w:rsidR="00774120">
        <w:rPr>
          <w:lang w:bidi="he-IL"/>
        </w:rPr>
        <w:t>With regard to the Dead Sea area</w:t>
      </w:r>
      <w:r w:rsidR="00826C73">
        <w:rPr>
          <w:lang w:bidi="he-IL"/>
        </w:rPr>
        <w:t>, t</w:t>
      </w:r>
      <w:r w:rsidR="00F53A4E" w:rsidRPr="00F53A4E">
        <w:rPr>
          <w:lang w:bidi="he-IL"/>
        </w:rPr>
        <w:t xml:space="preserve">he narrator </w:t>
      </w:r>
      <w:r w:rsidR="00774120">
        <w:rPr>
          <w:lang w:bidi="he-IL"/>
        </w:rPr>
        <w:t>might</w:t>
      </w:r>
      <w:r w:rsidR="00382462">
        <w:rPr>
          <w:lang w:bidi="he-IL"/>
        </w:rPr>
        <w:t xml:space="preserve"> imply</w:t>
      </w:r>
      <w:r w:rsidR="00F53A4E" w:rsidRPr="00F53A4E">
        <w:rPr>
          <w:lang w:bidi="he-IL"/>
        </w:rPr>
        <w:t xml:space="preserve"> a contrast </w:t>
      </w:r>
      <w:r w:rsidR="00826C73">
        <w:rPr>
          <w:lang w:bidi="he-IL"/>
        </w:rPr>
        <w:t>between the landscape a</w:t>
      </w:r>
      <w:r w:rsidR="00E13390">
        <w:rPr>
          <w:lang w:bidi="he-IL"/>
        </w:rPr>
        <w:t xml:space="preserve">t this time and </w:t>
      </w:r>
      <w:r w:rsidR="00774120">
        <w:rPr>
          <w:lang w:bidi="he-IL"/>
        </w:rPr>
        <w:t xml:space="preserve">in the narrator and </w:t>
      </w:r>
      <w:r w:rsidR="00F53A4E">
        <w:rPr>
          <w:lang w:bidi="he-IL"/>
        </w:rPr>
        <w:t>audience’s day, when things are</w:t>
      </w:r>
      <w:r w:rsidR="00EA6CFB">
        <w:rPr>
          <w:lang w:bidi="he-IL"/>
        </w:rPr>
        <w:t xml:space="preserve"> pretty arid</w:t>
      </w:r>
      <w:r w:rsidR="00E13390">
        <w:rPr>
          <w:lang w:bidi="he-IL"/>
        </w:rPr>
        <w:t>, though</w:t>
      </w:r>
      <w:r w:rsidR="00EA6CFB">
        <w:rPr>
          <w:lang w:val="en-GB" w:bidi="he-IL"/>
        </w:rPr>
        <w:t xml:space="preserve"> even in the audience’s day there were the fabulous oases at</w:t>
      </w:r>
      <w:r w:rsidR="00EA6CFB" w:rsidRPr="00602C48">
        <w:rPr>
          <w:lang w:bidi="he-IL"/>
        </w:rPr>
        <w:t xml:space="preserve"> Ein</w:t>
      </w:r>
      <w:r w:rsidR="00EA6CFB">
        <w:rPr>
          <w:lang w:val="en-GB" w:bidi="he-IL"/>
        </w:rPr>
        <w:t xml:space="preserve"> Feshka and Ein Gedi (</w:t>
      </w:r>
      <w:r w:rsidR="00EA6CFB">
        <w:rPr>
          <w:lang w:bidi="he-IL"/>
        </w:rPr>
        <w:t>“the best place in the world and… a remnant of Paradise”)</w:t>
      </w:r>
      <w:r w:rsidR="00EA6CFB">
        <w:rPr>
          <w:rStyle w:val="FootnoteReference"/>
          <w:lang w:bidi="he-IL"/>
        </w:rPr>
        <w:footnoteReference w:id="122"/>
      </w:r>
      <w:r w:rsidR="00EA6CFB">
        <w:rPr>
          <w:lang w:bidi="he-IL"/>
        </w:rPr>
        <w:t xml:space="preserve"> </w:t>
      </w:r>
      <w:r w:rsidR="00EA6CFB">
        <w:rPr>
          <w:lang w:val="en-GB" w:bidi="he-IL"/>
        </w:rPr>
        <w:t>as there are</w:t>
      </w:r>
      <w:r w:rsidR="00E13390">
        <w:rPr>
          <w:lang w:val="en-GB" w:bidi="he-IL"/>
        </w:rPr>
        <w:t xml:space="preserve"> now, and there are freshwater springs</w:t>
      </w:r>
      <w:r w:rsidR="00EA6CFB">
        <w:rPr>
          <w:lang w:val="en-GB" w:bidi="he-IL"/>
        </w:rPr>
        <w:t xml:space="preserve"> southeast of the Dead Sea. </w:t>
      </w:r>
      <w:r w:rsidR="00F53A4E">
        <w:rPr>
          <w:lang w:bidi="he-IL"/>
        </w:rPr>
        <w:t xml:space="preserve">But </w:t>
      </w:r>
      <w:r w:rsidR="00E13390">
        <w:rPr>
          <w:lang w:bidi="he-IL"/>
        </w:rPr>
        <w:t>maybe Sodom, Gomorrah, and Zo’ar were north of the Dead Sea</w:t>
      </w:r>
      <w:r w:rsidR="00E13390">
        <w:rPr>
          <w:lang w:val="en-GB" w:bidi="he-IL"/>
        </w:rPr>
        <w:t xml:space="preserve"> (there is no consensus on their location), and</w:t>
      </w:r>
      <w:r w:rsidR="00E13390">
        <w:rPr>
          <w:lang w:bidi="he-IL"/>
        </w:rPr>
        <w:t xml:space="preserve"> </w:t>
      </w:r>
      <w:r w:rsidR="00F53A4E">
        <w:rPr>
          <w:lang w:bidi="he-IL"/>
        </w:rPr>
        <w:t>t</w:t>
      </w:r>
      <w:r w:rsidR="00826C73">
        <w:rPr>
          <w:lang w:bidi="he-IL"/>
        </w:rPr>
        <w:t>he area around Jericho which people come to when they</w:t>
      </w:r>
      <w:r w:rsidR="004A1D37">
        <w:rPr>
          <w:lang w:bidi="he-IL"/>
        </w:rPr>
        <w:t xml:space="preserve"> go down that road from Beth E</w:t>
      </w:r>
      <w:r w:rsidR="00B30428">
        <w:rPr>
          <w:lang w:bidi="he-IL"/>
        </w:rPr>
        <w:t>l i</w:t>
      </w:r>
      <w:r w:rsidR="00F53A4E">
        <w:rPr>
          <w:lang w:bidi="he-IL"/>
        </w:rPr>
        <w:t>s an oasis</w:t>
      </w:r>
      <w:r w:rsidR="00E13390">
        <w:rPr>
          <w:lang w:bidi="he-IL"/>
        </w:rPr>
        <w:t>, then and now.</w:t>
      </w:r>
      <w:r w:rsidR="003A26CD">
        <w:rPr>
          <w:lang w:bidi="he-IL"/>
        </w:rPr>
        <w:t xml:space="preserve"> </w:t>
      </w:r>
      <w:r w:rsidR="00B30428">
        <w:rPr>
          <w:lang w:val="en-GB" w:bidi="he-IL"/>
        </w:rPr>
        <w:t xml:space="preserve">One can </w:t>
      </w:r>
      <w:r w:rsidR="00B37CA7">
        <w:rPr>
          <w:lang w:val="en-GB" w:bidi="he-IL"/>
        </w:rPr>
        <w:t>follow Lot’s gaze as he sees and realizes how fantastic the landscape is.</w:t>
      </w:r>
      <w:r w:rsidR="00B37CA7">
        <w:rPr>
          <w:rStyle w:val="FootnoteReference"/>
          <w:lang w:val="en-GB" w:bidi="he-IL"/>
        </w:rPr>
        <w:footnoteReference w:id="123"/>
      </w:r>
      <w:r w:rsidR="00D75843">
        <w:rPr>
          <w:lang w:val="en-GB" w:bidi="he-IL"/>
        </w:rPr>
        <w:t xml:space="preserve"> It i</w:t>
      </w:r>
      <w:r w:rsidR="00B30428">
        <w:rPr>
          <w:lang w:val="en-GB" w:bidi="he-IL"/>
        </w:rPr>
        <w:t>s so well-watered,</w:t>
      </w:r>
      <w:r w:rsidR="00D75843">
        <w:rPr>
          <w:lang w:val="en-GB" w:bidi="he-IL"/>
        </w:rPr>
        <w:t xml:space="preserve"> </w:t>
      </w:r>
      <w:r w:rsidR="00774120">
        <w:rPr>
          <w:lang w:val="en-GB" w:bidi="he-IL"/>
        </w:rPr>
        <w:t xml:space="preserve">which is </w:t>
      </w:r>
      <w:r w:rsidR="00D75843">
        <w:rPr>
          <w:lang w:val="en-GB" w:bidi="he-IL"/>
        </w:rPr>
        <w:t xml:space="preserve">one of the first things </w:t>
      </w:r>
      <w:r w:rsidR="00D75843">
        <w:rPr>
          <w:lang w:val="en-GB" w:bidi="he-IL"/>
        </w:rPr>
        <w:lastRenderedPageBreak/>
        <w:t>any settler</w:t>
      </w:r>
      <w:r w:rsidR="00774120">
        <w:rPr>
          <w:lang w:val="en-GB" w:bidi="he-IL"/>
        </w:rPr>
        <w:t xml:space="preserve"> has to think about (</w:t>
      </w:r>
      <w:r w:rsidR="00B37CA7">
        <w:rPr>
          <w:lang w:val="en-GB" w:bidi="he-IL"/>
        </w:rPr>
        <w:t>especi</w:t>
      </w:r>
      <w:r w:rsidR="00774120">
        <w:rPr>
          <w:lang w:val="en-GB" w:bidi="he-IL"/>
        </w:rPr>
        <w:t>ally a shepherd). It could remind someone</w:t>
      </w:r>
      <w:r w:rsidR="00B37CA7">
        <w:rPr>
          <w:lang w:val="en-GB" w:bidi="he-IL"/>
        </w:rPr>
        <w:t xml:space="preserve"> of Egypt, which was</w:t>
      </w:r>
      <w:r w:rsidR="00D75843">
        <w:rPr>
          <w:lang w:val="en-GB" w:bidi="he-IL"/>
        </w:rPr>
        <w:t xml:space="preserve"> such a contrast with the </w:t>
      </w:r>
      <w:r w:rsidR="009542B9">
        <w:rPr>
          <w:lang w:val="en-GB" w:bidi="he-IL"/>
        </w:rPr>
        <w:t>Negev</w:t>
      </w:r>
      <w:r w:rsidR="00D75843">
        <w:rPr>
          <w:lang w:val="en-GB" w:bidi="he-IL"/>
        </w:rPr>
        <w:t xml:space="preserve">: as </w:t>
      </w:r>
      <w:r w:rsidR="00D75843">
        <w:rPr>
          <w:lang w:bidi="he-IL"/>
        </w:rPr>
        <w:t>Egypt</w:t>
      </w:r>
      <w:r w:rsidR="00D75843" w:rsidRPr="00D75843">
        <w:rPr>
          <w:lang w:bidi="he-IL"/>
        </w:rPr>
        <w:t xml:space="preserve"> has the Nile as its water supply</w:t>
      </w:r>
      <w:r w:rsidR="00D75843">
        <w:rPr>
          <w:lang w:bidi="he-IL"/>
        </w:rPr>
        <w:t>, this</w:t>
      </w:r>
      <w:r w:rsidR="00D75843" w:rsidRPr="00D75843">
        <w:rPr>
          <w:lang w:bidi="he-IL"/>
        </w:rPr>
        <w:t xml:space="preserve"> land has the Jordan</w:t>
      </w:r>
      <w:r w:rsidR="00B30428">
        <w:rPr>
          <w:lang w:bidi="he-IL"/>
        </w:rPr>
        <w:t xml:space="preserve"> and the springs</w:t>
      </w:r>
      <w:r w:rsidR="00D75843" w:rsidRPr="00D75843">
        <w:rPr>
          <w:lang w:bidi="he-IL"/>
        </w:rPr>
        <w:t xml:space="preserve">. </w:t>
      </w:r>
      <w:r w:rsidR="00826C73">
        <w:rPr>
          <w:lang w:bidi="he-IL"/>
        </w:rPr>
        <w:t>I</w:t>
      </w:r>
      <w:r w:rsidR="00D75843">
        <w:rPr>
          <w:lang w:bidi="he-IL"/>
        </w:rPr>
        <w:t>ndeed, it’</w:t>
      </w:r>
      <w:r w:rsidR="00826C73">
        <w:rPr>
          <w:lang w:bidi="he-IL"/>
        </w:rPr>
        <w:t xml:space="preserve">s like Yahweh’s garden! </w:t>
      </w:r>
      <w:r w:rsidR="00774120">
        <w:rPr>
          <w:lang w:bidi="he-IL"/>
        </w:rPr>
        <w:t xml:space="preserve">That </w:t>
      </w:r>
      <w:r w:rsidR="00D75843" w:rsidRPr="00D75843">
        <w:rPr>
          <w:lang w:bidi="he-IL"/>
        </w:rPr>
        <w:t>expression did not come in Gen 2—3, but those chapters we</w:t>
      </w:r>
      <w:r w:rsidR="00774120">
        <w:rPr>
          <w:lang w:bidi="he-IL"/>
        </w:rPr>
        <w:t xml:space="preserve">re talking about something </w:t>
      </w:r>
      <w:r w:rsidR="00D75843" w:rsidRPr="00D75843">
        <w:rPr>
          <w:lang w:bidi="he-IL"/>
        </w:rPr>
        <w:t xml:space="preserve">you could call Yahweh’s garden. </w:t>
      </w:r>
      <w:r w:rsidR="00774120">
        <w:rPr>
          <w:lang w:bidi="he-IL"/>
        </w:rPr>
        <w:t>And whether or not t</w:t>
      </w:r>
      <w:r w:rsidR="00B30428">
        <w:rPr>
          <w:lang w:bidi="he-IL"/>
        </w:rPr>
        <w:t>his</w:t>
      </w:r>
      <w:r w:rsidR="00D75843">
        <w:rPr>
          <w:lang w:bidi="he-IL"/>
        </w:rPr>
        <w:t xml:space="preserve"> compari</w:t>
      </w:r>
      <w:r w:rsidR="00774120">
        <w:rPr>
          <w:lang w:bidi="he-IL"/>
        </w:rPr>
        <w:t xml:space="preserve">son </w:t>
      </w:r>
      <w:r w:rsidR="00774120">
        <w:rPr>
          <w:lang w:val="en-GB" w:bidi="he-IL"/>
        </w:rPr>
        <w:t>is Lot’s perspective, it is</w:t>
      </w:r>
      <w:r w:rsidR="00D75843">
        <w:rPr>
          <w:lang w:val="en-GB" w:bidi="he-IL"/>
        </w:rPr>
        <w:t xml:space="preserve"> that of the narrator and </w:t>
      </w:r>
      <w:r w:rsidR="00D75843" w:rsidRPr="00D75843">
        <w:rPr>
          <w:lang w:val="en-GB" w:bidi="he-IL"/>
        </w:rPr>
        <w:t>t</w:t>
      </w:r>
      <w:r w:rsidR="00774120">
        <w:rPr>
          <w:lang w:val="en-GB" w:bidi="he-IL"/>
        </w:rPr>
        <w:t>he audience</w:t>
      </w:r>
      <w:r w:rsidR="00D75843" w:rsidRPr="00D75843">
        <w:rPr>
          <w:lang w:val="en-GB" w:bidi="he-IL"/>
        </w:rPr>
        <w:t xml:space="preserve">, especially if they read Genesis sequentially. </w:t>
      </w:r>
      <w:r w:rsidR="00EA6CFB">
        <w:rPr>
          <w:lang w:val="en-GB" w:bidi="he-IL"/>
        </w:rPr>
        <w:t>In spea</w:t>
      </w:r>
      <w:r w:rsidR="00D75843">
        <w:rPr>
          <w:lang w:val="en-GB" w:bidi="he-IL"/>
        </w:rPr>
        <w:t>k</w:t>
      </w:r>
      <w:r w:rsidR="00EA6CFB">
        <w:rPr>
          <w:lang w:val="en-GB" w:bidi="he-IL"/>
        </w:rPr>
        <w:t>ing of devastation the narrator</w:t>
      </w:r>
      <w:r w:rsidR="00D75843">
        <w:rPr>
          <w:lang w:val="en-GB" w:bidi="he-IL"/>
        </w:rPr>
        <w:t xml:space="preserve"> also reminds the audience of the deluge story, as well as anticipating</w:t>
      </w:r>
      <w:r w:rsidR="004927A0">
        <w:rPr>
          <w:lang w:val="en-GB" w:bidi="he-IL"/>
        </w:rPr>
        <w:t xml:space="preserve"> Gen 18—19 with its refe</w:t>
      </w:r>
      <w:r w:rsidR="00D75843">
        <w:rPr>
          <w:lang w:val="en-GB" w:bidi="he-IL"/>
        </w:rPr>
        <w:t xml:space="preserve">rences </w:t>
      </w:r>
      <w:r w:rsidR="00EA6CFB">
        <w:rPr>
          <w:lang w:val="en-GB" w:bidi="he-IL"/>
        </w:rPr>
        <w:t>to Sodom and Gomorrah; t</w:t>
      </w:r>
      <w:r w:rsidR="00EA6CFB">
        <w:rPr>
          <w:lang w:bidi="he-IL"/>
        </w:rPr>
        <w:t xml:space="preserve">he area around </w:t>
      </w:r>
      <w:r w:rsidR="00EA6CFB">
        <w:rPr>
          <w:lang w:val="en-GB" w:bidi="he-IL"/>
        </w:rPr>
        <w:t>Zo’</w:t>
      </w:r>
      <w:r w:rsidR="00EA6CFB" w:rsidRPr="00BE75C3">
        <w:rPr>
          <w:lang w:val="en-GB" w:bidi="he-IL"/>
        </w:rPr>
        <w:t>ar</w:t>
      </w:r>
      <w:r w:rsidR="00EA6CFB">
        <w:rPr>
          <w:lang w:val="en-GB" w:bidi="he-IL"/>
        </w:rPr>
        <w:t xml:space="preserve"> also gets mention as</w:t>
      </w:r>
      <w:r w:rsidR="00EA6CFB" w:rsidRPr="00D75843">
        <w:rPr>
          <w:lang w:bidi="he-IL"/>
        </w:rPr>
        <w:t xml:space="preserve"> favored</w:t>
      </w:r>
      <w:r w:rsidR="00EA6CFB">
        <w:rPr>
          <w:lang w:val="en-GB" w:bidi="he-IL"/>
        </w:rPr>
        <w:t xml:space="preserve"> because it is going to be significant later (see 19:22). </w:t>
      </w:r>
    </w:p>
    <w:p w14:paraId="3FA71093" w14:textId="0BD07DCF" w:rsidR="005218E9" w:rsidRDefault="00D75843" w:rsidP="00422207">
      <w:pPr>
        <w:pStyle w:val="ListParagraph"/>
        <w:ind w:left="0" w:firstLine="720"/>
        <w:rPr>
          <w:lang w:val="en-GB" w:bidi="he-IL"/>
        </w:rPr>
      </w:pPr>
      <w:r>
        <w:rPr>
          <w:lang w:bidi="he-IL"/>
        </w:rPr>
        <w:t>L</w:t>
      </w:r>
      <w:r w:rsidR="00BE75C3">
        <w:rPr>
          <w:lang w:val="en-GB" w:bidi="he-IL"/>
        </w:rPr>
        <w:t xml:space="preserve">ogically enough, </w:t>
      </w:r>
      <w:r>
        <w:rPr>
          <w:lang w:val="en-GB" w:bidi="he-IL"/>
        </w:rPr>
        <w:t xml:space="preserve">then, </w:t>
      </w:r>
      <w:r w:rsidR="00BE75C3">
        <w:rPr>
          <w:lang w:val="en-GB" w:bidi="he-IL"/>
        </w:rPr>
        <w:t>Lot elec</w:t>
      </w:r>
      <w:r w:rsidR="00602C48">
        <w:rPr>
          <w:lang w:val="en-GB" w:bidi="he-IL"/>
        </w:rPr>
        <w:t>ts</w:t>
      </w:r>
      <w:r w:rsidR="00BE75C3">
        <w:rPr>
          <w:lang w:val="en-GB" w:bidi="he-IL"/>
        </w:rPr>
        <w:t xml:space="preserve"> to move down into the Jordan Valley (v</w:t>
      </w:r>
      <w:r w:rsidR="00A47570">
        <w:rPr>
          <w:lang w:val="en-GB" w:bidi="he-IL"/>
        </w:rPr>
        <w:t>v</w:t>
      </w:r>
      <w:r w:rsidR="00BE75C3">
        <w:rPr>
          <w:lang w:val="en-GB" w:bidi="he-IL"/>
        </w:rPr>
        <w:t>. 11</w:t>
      </w:r>
      <w:r w:rsidR="005218E9">
        <w:rPr>
          <w:lang w:val="en-GB" w:bidi="he-IL"/>
        </w:rPr>
        <w:t>-12</w:t>
      </w:r>
      <w:r w:rsidR="00BE75C3">
        <w:rPr>
          <w:lang w:val="en-GB" w:bidi="he-IL"/>
        </w:rPr>
        <w:t>)</w:t>
      </w:r>
      <w:r w:rsidR="00A47570">
        <w:rPr>
          <w:lang w:val="en-GB" w:bidi="he-IL"/>
        </w:rPr>
        <w:t xml:space="preserve">. </w:t>
      </w:r>
      <w:r w:rsidR="00E13390">
        <w:rPr>
          <w:lang w:val="en-GB" w:bidi="he-IL"/>
        </w:rPr>
        <w:t xml:space="preserve">If Sodom was further south, his moving there presumably implies that in those days </w:t>
      </w:r>
      <w:r w:rsidR="00A47570">
        <w:rPr>
          <w:lang w:val="en-GB" w:bidi="he-IL"/>
        </w:rPr>
        <w:t xml:space="preserve">it was just as hospitable as Jericho. But </w:t>
      </w:r>
      <w:r w:rsidR="00E13390">
        <w:rPr>
          <w:lang w:val="en-GB" w:bidi="he-IL"/>
        </w:rPr>
        <w:t>is</w:t>
      </w:r>
      <w:r w:rsidR="00B2631A">
        <w:rPr>
          <w:lang w:val="en-GB" w:bidi="he-IL"/>
        </w:rPr>
        <w:t xml:space="preserve"> he thereby moving out of the </w:t>
      </w:r>
      <w:proofErr w:type="gramStart"/>
      <w:r w:rsidR="00B2631A">
        <w:rPr>
          <w:lang w:val="en-GB" w:bidi="he-IL"/>
        </w:rPr>
        <w:t>promised land</w:t>
      </w:r>
      <w:proofErr w:type="gramEnd"/>
      <w:r w:rsidR="00B2631A">
        <w:rPr>
          <w:lang w:val="en-GB" w:bidi="he-IL"/>
        </w:rPr>
        <w:t xml:space="preserve">? </w:t>
      </w:r>
    </w:p>
    <w:p w14:paraId="0733A45C" w14:textId="62458718" w:rsidR="0079256D" w:rsidRDefault="00B2631A" w:rsidP="00422207">
      <w:pPr>
        <w:pStyle w:val="ListParagraph"/>
        <w:ind w:left="0" w:firstLine="720"/>
        <w:rPr>
          <w:lang w:val="en-GB" w:bidi="he-IL"/>
        </w:rPr>
      </w:pPr>
      <w:r>
        <w:rPr>
          <w:lang w:val="en-GB" w:bidi="he-IL"/>
        </w:rPr>
        <w:t>And didn’</w:t>
      </w:r>
      <w:r w:rsidR="00A47570">
        <w:rPr>
          <w:lang w:val="en-GB" w:bidi="he-IL"/>
        </w:rPr>
        <w:t xml:space="preserve">t </w:t>
      </w:r>
      <w:r>
        <w:rPr>
          <w:lang w:val="en-GB" w:bidi="he-IL"/>
        </w:rPr>
        <w:t xml:space="preserve">he </w:t>
      </w:r>
      <w:r w:rsidR="00A47570">
        <w:rPr>
          <w:lang w:val="en-GB" w:bidi="he-IL"/>
        </w:rPr>
        <w:t>know what sort of people lived there</w:t>
      </w:r>
      <w:r w:rsidR="00CC1F50">
        <w:rPr>
          <w:lang w:val="en-GB" w:bidi="he-IL"/>
        </w:rPr>
        <w:t xml:space="preserve"> </w:t>
      </w:r>
      <w:r w:rsidR="005218E9">
        <w:rPr>
          <w:lang w:val="en-GB" w:bidi="he-IL"/>
        </w:rPr>
        <w:t xml:space="preserve">(v. 13)? </w:t>
      </w:r>
      <w:r w:rsidR="00CC1F50">
        <w:rPr>
          <w:lang w:val="en-GB" w:bidi="he-IL"/>
        </w:rPr>
        <w:t>The description of them r</w:t>
      </w:r>
      <w:r w:rsidR="00E13390">
        <w:rPr>
          <w:lang w:val="en-GB" w:bidi="he-IL"/>
        </w:rPr>
        <w:t>ecalls the description</w:t>
      </w:r>
      <w:r w:rsidR="00CC1F50">
        <w:rPr>
          <w:lang w:val="en-GB" w:bidi="he-IL"/>
        </w:rPr>
        <w:t xml:space="preserve"> of the </w:t>
      </w:r>
      <w:r w:rsidR="00E13390">
        <w:rPr>
          <w:lang w:val="en-GB" w:bidi="he-IL"/>
        </w:rPr>
        <w:t xml:space="preserve">entire world </w:t>
      </w:r>
      <w:r w:rsidR="00CC1F50">
        <w:rPr>
          <w:lang w:val="en-GB" w:bidi="he-IL"/>
        </w:rPr>
        <w:t xml:space="preserve">before </w:t>
      </w:r>
      <w:r w:rsidR="00602C48">
        <w:rPr>
          <w:lang w:val="en-GB" w:bidi="he-IL"/>
        </w:rPr>
        <w:t>the deluge, and thus provides a further</w:t>
      </w:r>
      <w:r w:rsidR="00CC1F50">
        <w:rPr>
          <w:lang w:val="en-GB" w:bidi="he-IL"/>
        </w:rPr>
        <w:t xml:space="preserve"> anticipation of the story that will follow in Gen 18—19.</w:t>
      </w:r>
      <w:r w:rsidR="005218E9">
        <w:rPr>
          <w:lang w:val="en-GB" w:bidi="he-IL"/>
        </w:rPr>
        <w:t xml:space="preserve"> </w:t>
      </w:r>
      <w:r w:rsidR="0079256D">
        <w:rPr>
          <w:lang w:val="en-GB" w:bidi="he-IL"/>
        </w:rPr>
        <w:t>How strange that this Paradise-like land should be inhabited by such bad people!</w:t>
      </w:r>
      <w:r w:rsidR="0079256D">
        <w:rPr>
          <w:rStyle w:val="FootnoteReference"/>
          <w:lang w:val="en-GB" w:bidi="he-IL"/>
        </w:rPr>
        <w:footnoteReference w:id="124"/>
      </w:r>
      <w:r w:rsidR="009822AD">
        <w:rPr>
          <w:lang w:val="en-GB" w:bidi="he-IL"/>
        </w:rPr>
        <w:t xml:space="preserve"> TgOnq specifies that their wrongdoing involved their use of money and of their bodies, which fits the descript</w:t>
      </w:r>
      <w:r w:rsidR="0054022E">
        <w:rPr>
          <w:lang w:val="en-GB" w:bidi="he-IL"/>
        </w:rPr>
        <w:t>ion in Gen 18 with its pointing</w:t>
      </w:r>
      <w:r w:rsidR="009822AD">
        <w:rPr>
          <w:lang w:val="en-GB" w:bidi="he-IL"/>
        </w:rPr>
        <w:t xml:space="preserve"> to the cry of the oppressed and to sexual waywardness</w:t>
      </w:r>
      <w:r w:rsidR="00DC47FE">
        <w:rPr>
          <w:lang w:val="en-GB" w:bidi="he-IL"/>
        </w:rPr>
        <w:t xml:space="preserve"> (TgNeoph </w:t>
      </w:r>
      <w:r w:rsidR="00C43213">
        <w:rPr>
          <w:lang w:val="en-GB" w:bidi="he-IL"/>
        </w:rPr>
        <w:t>has sexual sin, murder, and idolatry, which matches the regular Jewish definition of basic sins</w:t>
      </w:r>
      <w:r w:rsidR="00317BBD">
        <w:rPr>
          <w:lang w:val="en-GB" w:bidi="he-IL"/>
        </w:rPr>
        <w:t>, and TgPsJ combines both expansions</w:t>
      </w:r>
      <w:r w:rsidR="00C43213">
        <w:rPr>
          <w:lang w:val="en-GB" w:bidi="he-IL"/>
        </w:rPr>
        <w:t>)</w:t>
      </w:r>
      <w:r w:rsidR="009822AD">
        <w:rPr>
          <w:lang w:val="en-GB" w:bidi="he-IL"/>
        </w:rPr>
        <w:t>.</w:t>
      </w:r>
      <w:r w:rsidR="00317BBD" w:rsidRPr="00317BBD">
        <w:rPr>
          <w:vertAlign w:val="superscript"/>
          <w:lang w:val="en-GB" w:bidi="he-IL"/>
        </w:rPr>
        <w:footnoteReference w:id="125"/>
      </w:r>
      <w:r w:rsidR="00CC7BA4">
        <w:rPr>
          <w:lang w:val="en-GB" w:bidi="he-IL"/>
        </w:rPr>
        <w:t xml:space="preserve"> It will turn out that </w:t>
      </w:r>
      <w:r w:rsidR="003D56BA">
        <w:rPr>
          <w:lang w:val="en-GB" w:bidi="he-IL"/>
        </w:rPr>
        <w:t>“</w:t>
      </w:r>
      <w:r w:rsidR="00CC7BA4">
        <w:rPr>
          <w:lang w:val="en-GB" w:bidi="he-IL"/>
        </w:rPr>
        <w:t>his ‘seeing’ and his knowing are too limited.</w:t>
      </w:r>
      <w:r w:rsidR="003D56BA">
        <w:rPr>
          <w:lang w:val="en-GB" w:bidi="he-IL"/>
        </w:rPr>
        <w:t>”</w:t>
      </w:r>
      <w:r w:rsidR="00CC7BA4">
        <w:rPr>
          <w:rStyle w:val="FootnoteReference"/>
          <w:lang w:val="en-GB" w:bidi="he-IL"/>
        </w:rPr>
        <w:footnoteReference w:id="126"/>
      </w:r>
      <w:r w:rsidR="00AB28F6">
        <w:rPr>
          <w:lang w:val="en-GB" w:bidi="he-IL"/>
        </w:rPr>
        <w:t xml:space="preserve"> Lot is </w:t>
      </w:r>
      <w:r w:rsidR="003D56BA">
        <w:rPr>
          <w:lang w:val="en-GB" w:bidi="he-IL"/>
        </w:rPr>
        <w:t>“</w:t>
      </w:r>
      <w:r w:rsidR="00AB28F6">
        <w:rPr>
          <w:lang w:val="en-GB" w:bidi="he-IL"/>
        </w:rPr>
        <w:t>one of those people destined repeatedly to make bad choices.</w:t>
      </w:r>
      <w:r w:rsidR="003D56BA">
        <w:rPr>
          <w:lang w:val="en-GB" w:bidi="he-IL"/>
        </w:rPr>
        <w:t>”</w:t>
      </w:r>
      <w:r w:rsidR="00AB28F6">
        <w:rPr>
          <w:rStyle w:val="FootnoteReference"/>
          <w:lang w:val="en-GB" w:bidi="he-IL"/>
        </w:rPr>
        <w:footnoteReference w:id="127"/>
      </w:r>
      <w:r w:rsidR="0096421E">
        <w:rPr>
          <w:lang w:val="en-GB" w:bidi="he-IL"/>
        </w:rPr>
        <w:t xml:space="preserve"> He has and he raises “boundary issues.”</w:t>
      </w:r>
      <w:r w:rsidR="0096421E">
        <w:rPr>
          <w:rStyle w:val="FootnoteReference"/>
          <w:lang w:val="en-GB" w:bidi="he-IL"/>
        </w:rPr>
        <w:footnoteReference w:id="128"/>
      </w:r>
    </w:p>
    <w:p w14:paraId="6334FF70" w14:textId="6ED54F67" w:rsidR="00A47570" w:rsidRDefault="00681582" w:rsidP="00422207">
      <w:pPr>
        <w:pStyle w:val="ListParagraph"/>
        <w:ind w:left="0" w:firstLine="720"/>
        <w:rPr>
          <w:lang w:val="en-GB" w:bidi="he-IL"/>
        </w:rPr>
      </w:pPr>
      <w:r>
        <w:rPr>
          <w:b/>
          <w:lang w:val="en-GB" w:bidi="he-IL"/>
        </w:rPr>
        <w:t xml:space="preserve"> 13:14-17</w:t>
      </w:r>
      <w:r w:rsidR="00A47570">
        <w:rPr>
          <w:lang w:val="en-GB" w:bidi="he-IL"/>
        </w:rPr>
        <w:t xml:space="preserve">. </w:t>
      </w:r>
      <w:proofErr w:type="gramStart"/>
      <w:r w:rsidR="00602E48">
        <w:rPr>
          <w:lang w:val="en-GB" w:bidi="he-IL"/>
        </w:rPr>
        <w:t>As</w:t>
      </w:r>
      <w:proofErr w:type="gramEnd"/>
      <w:r w:rsidR="00602E48">
        <w:rPr>
          <w:lang w:val="en-GB" w:bidi="he-IL"/>
        </w:rPr>
        <w:t xml:space="preserve"> is often the case, the narrative does</w:t>
      </w:r>
      <w:r w:rsidR="00691A6A">
        <w:rPr>
          <w:lang w:val="en-GB" w:bidi="he-IL"/>
        </w:rPr>
        <w:t xml:space="preserve"> not make the link with this</w:t>
      </w:r>
      <w:r w:rsidR="005218E9">
        <w:rPr>
          <w:lang w:val="en-GB" w:bidi="he-IL"/>
        </w:rPr>
        <w:t xml:space="preserve"> next paragraph</w:t>
      </w:r>
      <w:r w:rsidR="0054022E">
        <w:rPr>
          <w:lang w:val="en-GB" w:bidi="he-IL"/>
        </w:rPr>
        <w:t xml:space="preserve"> </w:t>
      </w:r>
      <w:r w:rsidR="00602E48">
        <w:rPr>
          <w:lang w:val="en-GB" w:bidi="he-IL"/>
        </w:rPr>
        <w:t>explicit. It leaves</w:t>
      </w:r>
      <w:r w:rsidR="005218E9">
        <w:rPr>
          <w:lang w:val="en-GB" w:bidi="he-IL"/>
        </w:rPr>
        <w:t xml:space="preserve"> the listeners to think about possible links</w:t>
      </w:r>
      <w:r w:rsidR="00602E48">
        <w:rPr>
          <w:lang w:val="en-GB" w:bidi="he-IL"/>
        </w:rPr>
        <w:t>. Is Yahweh responding with generosity to Abraham’s generosity? Is he responding to Abraham’s risk-taking? Is he responding to Lot’s taking w</w:t>
      </w:r>
      <w:r w:rsidR="00691A6A">
        <w:rPr>
          <w:lang w:val="en-GB" w:bidi="he-IL"/>
        </w:rPr>
        <w:t>hat looks like superb land? I</w:t>
      </w:r>
      <w:r w:rsidR="00602E48">
        <w:rPr>
          <w:lang w:val="en-GB" w:bidi="he-IL"/>
        </w:rPr>
        <w:t xml:space="preserve">s he simply reaffirming the promise </w:t>
      </w:r>
      <w:r w:rsidR="005218E9">
        <w:rPr>
          <w:lang w:val="en-GB" w:bidi="he-IL"/>
        </w:rPr>
        <w:t xml:space="preserve">in a way </w:t>
      </w:r>
      <w:r w:rsidR="00602E48">
        <w:rPr>
          <w:lang w:val="en-GB" w:bidi="he-IL"/>
        </w:rPr>
        <w:t xml:space="preserve">that relates to his own purpose? </w:t>
      </w:r>
      <w:r w:rsidR="00691A6A">
        <w:rPr>
          <w:lang w:val="en-GB" w:bidi="he-IL"/>
        </w:rPr>
        <w:t>Or is he implying that Lot has just forfeited any share in the land promised to Abraham?</w:t>
      </w:r>
      <w:r w:rsidR="00691A6A">
        <w:rPr>
          <w:rStyle w:val="FootnoteReference"/>
          <w:lang w:val="en-GB" w:bidi="he-IL"/>
        </w:rPr>
        <w:footnoteReference w:id="129"/>
      </w:r>
      <w:r w:rsidR="00691A6A">
        <w:rPr>
          <w:lang w:val="en-GB" w:bidi="he-IL"/>
        </w:rPr>
        <w:t xml:space="preserve"> </w:t>
      </w:r>
      <w:r w:rsidR="0054022E">
        <w:rPr>
          <w:lang w:val="en-GB" w:bidi="he-IL"/>
        </w:rPr>
        <w:t>His</w:t>
      </w:r>
      <w:r w:rsidR="005218E9">
        <w:rPr>
          <w:lang w:val="en-GB" w:bidi="he-IL"/>
        </w:rPr>
        <w:t xml:space="preserve"> formulation of the promise </w:t>
      </w:r>
      <w:r w:rsidR="00CC1F50">
        <w:rPr>
          <w:lang w:val="en-GB" w:bidi="he-IL"/>
        </w:rPr>
        <w:t>is markedl</w:t>
      </w:r>
      <w:r w:rsidR="00A34271">
        <w:rPr>
          <w:lang w:val="en-GB" w:bidi="he-IL"/>
        </w:rPr>
        <w:t>y different from</w:t>
      </w:r>
      <w:r w:rsidR="0054022E">
        <w:rPr>
          <w:lang w:val="en-GB" w:bidi="he-IL"/>
        </w:rPr>
        <w:t xml:space="preserve"> that in 12:1-3, where he made</w:t>
      </w:r>
      <w:r w:rsidR="00A34271">
        <w:rPr>
          <w:lang w:val="en-GB" w:bidi="he-IL"/>
        </w:rPr>
        <w:t xml:space="preserve"> </w:t>
      </w:r>
      <w:r w:rsidR="0054022E">
        <w:rPr>
          <w:lang w:val="en-GB" w:bidi="he-IL"/>
        </w:rPr>
        <w:t xml:space="preserve">no </w:t>
      </w:r>
      <w:r w:rsidR="005218E9">
        <w:rPr>
          <w:lang w:val="en-GB" w:bidi="he-IL"/>
        </w:rPr>
        <w:t>commitment regarding</w:t>
      </w:r>
      <w:r w:rsidR="00A34271">
        <w:rPr>
          <w:lang w:val="en-GB" w:bidi="he-IL"/>
        </w:rPr>
        <w:t xml:space="preserve"> land (it came only in 12:7). </w:t>
      </w:r>
      <w:r w:rsidR="0054022E">
        <w:rPr>
          <w:lang w:val="en-GB" w:bidi="he-IL"/>
        </w:rPr>
        <w:t>Here hi</w:t>
      </w:r>
      <w:r w:rsidR="00602E48">
        <w:rPr>
          <w:lang w:val="en-GB" w:bidi="he-IL"/>
        </w:rPr>
        <w:t>s words follow on what proceeds. Lot had lift</w:t>
      </w:r>
      <w:r w:rsidR="007239DE">
        <w:rPr>
          <w:lang w:val="en-GB" w:bidi="he-IL"/>
        </w:rPr>
        <w:t>ed his eyes and looked; n</w:t>
      </w:r>
      <w:r w:rsidR="00602E48">
        <w:rPr>
          <w:lang w:val="en-GB" w:bidi="he-IL"/>
        </w:rPr>
        <w:t xml:space="preserve">ow Yahweh invites Abraham to lift his </w:t>
      </w:r>
      <w:r>
        <w:rPr>
          <w:lang w:val="en-GB" w:bidi="he-IL"/>
        </w:rPr>
        <w:t xml:space="preserve">eyes </w:t>
      </w:r>
      <w:r w:rsidR="00602E48">
        <w:rPr>
          <w:lang w:val="en-GB" w:bidi="he-IL"/>
        </w:rPr>
        <w:t>and l</w:t>
      </w:r>
      <w:r>
        <w:rPr>
          <w:lang w:val="en-GB" w:bidi="he-IL"/>
        </w:rPr>
        <w:t>ook (</w:t>
      </w:r>
      <w:r w:rsidR="00602E48">
        <w:rPr>
          <w:lang w:val="en-GB" w:bidi="he-IL"/>
        </w:rPr>
        <w:t xml:space="preserve">this expression comes </w:t>
      </w:r>
      <w:r>
        <w:rPr>
          <w:lang w:val="en-GB" w:bidi="he-IL"/>
        </w:rPr>
        <w:t xml:space="preserve">only here </w:t>
      </w:r>
      <w:r w:rsidR="00602E48">
        <w:rPr>
          <w:lang w:val="en-GB" w:bidi="he-IL"/>
        </w:rPr>
        <w:t xml:space="preserve">in Gen 1—17). </w:t>
      </w:r>
      <w:r w:rsidR="0054022E">
        <w:rPr>
          <w:lang w:val="en-GB" w:bidi="he-IL"/>
        </w:rPr>
        <w:t xml:space="preserve">Yahweh speaks </w:t>
      </w:r>
      <w:r w:rsidR="00824DDC">
        <w:rPr>
          <w:lang w:val="en-GB" w:bidi="he-IL"/>
        </w:rPr>
        <w:t>politely (</w:t>
      </w:r>
      <w:r w:rsidR="003D56BA">
        <w:rPr>
          <w:lang w:val="en-GB" w:bidi="he-IL"/>
        </w:rPr>
        <w:t>“</w:t>
      </w:r>
      <w:r w:rsidR="00824DDC">
        <w:rPr>
          <w:lang w:val="en-GB" w:bidi="he-IL"/>
        </w:rPr>
        <w:t>please</w:t>
      </w:r>
      <w:r w:rsidR="003D56BA">
        <w:rPr>
          <w:lang w:val="en-GB" w:bidi="he-IL"/>
        </w:rPr>
        <w:t>”</w:t>
      </w:r>
      <w:r w:rsidR="00824DDC">
        <w:rPr>
          <w:lang w:val="en-GB" w:bidi="he-IL"/>
        </w:rPr>
        <w:t>) as Ab</w:t>
      </w:r>
      <w:r w:rsidR="0054022E">
        <w:rPr>
          <w:lang w:val="en-GB" w:bidi="he-IL"/>
        </w:rPr>
        <w:t>raham did to Sarah and to Lot (</w:t>
      </w:r>
      <w:r w:rsidR="002035F3">
        <w:rPr>
          <w:lang w:val="en-GB" w:bidi="he-IL"/>
        </w:rPr>
        <w:t xml:space="preserve">only four times does God say </w:t>
      </w:r>
      <w:r w:rsidR="003D56BA">
        <w:rPr>
          <w:lang w:val="en-GB" w:bidi="he-IL"/>
        </w:rPr>
        <w:t>“</w:t>
      </w:r>
      <w:r w:rsidR="002035F3">
        <w:rPr>
          <w:lang w:val="en-GB" w:bidi="he-IL"/>
        </w:rPr>
        <w:t>please,</w:t>
      </w:r>
      <w:r w:rsidR="003D56BA">
        <w:rPr>
          <w:lang w:val="en-GB" w:bidi="he-IL"/>
        </w:rPr>
        <w:t>”</w:t>
      </w:r>
      <w:r w:rsidR="002035F3">
        <w:rPr>
          <w:lang w:val="en-GB" w:bidi="he-IL"/>
        </w:rPr>
        <w:t xml:space="preserve"> each time when asking someone to believ</w:t>
      </w:r>
      <w:r>
        <w:rPr>
          <w:lang w:val="en-GB" w:bidi="he-IL"/>
        </w:rPr>
        <w:t>e or do something outrageous—</w:t>
      </w:r>
      <w:r w:rsidR="002035F3">
        <w:rPr>
          <w:lang w:val="en-GB" w:bidi="he-IL"/>
        </w:rPr>
        <w:t>cf. 15:5; 22:2; Exod 11:2)</w:t>
      </w:r>
      <w:r w:rsidR="00824DDC">
        <w:rPr>
          <w:lang w:val="en-GB" w:bidi="he-IL"/>
        </w:rPr>
        <w:t>.</w:t>
      </w:r>
      <w:r w:rsidR="002035F3">
        <w:rPr>
          <w:rStyle w:val="FootnoteReference"/>
          <w:lang w:val="en-GB" w:bidi="he-IL"/>
        </w:rPr>
        <w:footnoteReference w:id="130"/>
      </w:r>
      <w:r w:rsidR="007239DE">
        <w:rPr>
          <w:lang w:val="en-GB" w:bidi="he-IL"/>
        </w:rPr>
        <w:t xml:space="preserve"> Yahweh refers to the </w:t>
      </w:r>
      <w:r w:rsidR="003D56BA">
        <w:rPr>
          <w:lang w:val="en-GB" w:bidi="he-IL"/>
        </w:rPr>
        <w:t>“</w:t>
      </w:r>
      <w:r w:rsidR="007239DE">
        <w:rPr>
          <w:lang w:val="en-GB" w:bidi="he-IL"/>
        </w:rPr>
        <w:t>site</w:t>
      </w:r>
      <w:r w:rsidR="003D56BA">
        <w:rPr>
          <w:lang w:val="en-GB" w:bidi="he-IL"/>
        </w:rPr>
        <w:t>”</w:t>
      </w:r>
      <w:r w:rsidR="0054022E">
        <w:rPr>
          <w:lang w:val="en-GB" w:bidi="he-IL"/>
        </w:rPr>
        <w:t xml:space="preserve"> </w:t>
      </w:r>
      <w:r w:rsidR="007239DE">
        <w:rPr>
          <w:lang w:val="en-GB" w:bidi="he-IL"/>
        </w:rPr>
        <w:t>where Abraham is; that word comes in Gen 1—17 only in connection with the places where Abraham worships, at Shechem and at</w:t>
      </w:r>
      <w:r w:rsidR="004A1D37">
        <w:rPr>
          <w:lang w:val="en-GB" w:bidi="he-IL"/>
        </w:rPr>
        <w:t xml:space="preserve"> Beth E</w:t>
      </w:r>
      <w:r w:rsidR="007239DE">
        <w:rPr>
          <w:lang w:val="en-GB" w:bidi="he-IL"/>
        </w:rPr>
        <w:t xml:space="preserve">l. </w:t>
      </w:r>
      <w:r w:rsidR="007239DE" w:rsidRPr="007239DE">
        <w:rPr>
          <w:lang w:val="en-GB" w:bidi="he-IL"/>
        </w:rPr>
        <w:t xml:space="preserve">Abraham </w:t>
      </w:r>
      <w:r w:rsidR="0054022E">
        <w:rPr>
          <w:lang w:val="en-GB" w:bidi="he-IL"/>
        </w:rPr>
        <w:t>had pointed</w:t>
      </w:r>
      <w:r w:rsidR="007239DE" w:rsidRPr="007239DE">
        <w:rPr>
          <w:lang w:val="en-GB" w:bidi="he-IL"/>
        </w:rPr>
        <w:t xml:space="preserve"> out that </w:t>
      </w:r>
      <w:r w:rsidR="0054022E">
        <w:rPr>
          <w:lang w:val="en-GB" w:bidi="he-IL"/>
        </w:rPr>
        <w:t>the entire country wa</w:t>
      </w:r>
      <w:r>
        <w:rPr>
          <w:lang w:val="en-GB" w:bidi="he-IL"/>
        </w:rPr>
        <w:t>s before Lot</w:t>
      </w:r>
      <w:r w:rsidR="007239DE" w:rsidRPr="007239DE">
        <w:rPr>
          <w:lang w:val="en-GB" w:bidi="he-IL"/>
        </w:rPr>
        <w:t xml:space="preserve"> (there is no better place to look in all four di</w:t>
      </w:r>
      <w:r>
        <w:rPr>
          <w:lang w:val="en-GB" w:bidi="he-IL"/>
        </w:rPr>
        <w:t>rections than the mountain ridge</w:t>
      </w:r>
      <w:r w:rsidR="004A1D37">
        <w:rPr>
          <w:lang w:val="en-GB" w:bidi="he-IL"/>
        </w:rPr>
        <w:t xml:space="preserve"> near Beth E</w:t>
      </w:r>
      <w:r w:rsidR="007239DE" w:rsidRPr="007239DE">
        <w:rPr>
          <w:lang w:val="en-GB" w:bidi="he-IL"/>
        </w:rPr>
        <w:t>l);</w:t>
      </w:r>
      <w:r>
        <w:rPr>
          <w:rStyle w:val="FootnoteReference"/>
          <w:lang w:val="en-GB" w:bidi="he-IL"/>
        </w:rPr>
        <w:footnoteReference w:id="131"/>
      </w:r>
      <w:r w:rsidR="007239DE" w:rsidRPr="007239DE">
        <w:rPr>
          <w:lang w:val="en-GB" w:bidi="he-IL"/>
        </w:rPr>
        <w:t xml:space="preserve"> Yahweh draws Abraham’s attention to the entire country before him. </w:t>
      </w:r>
      <w:r w:rsidR="007239DE">
        <w:rPr>
          <w:lang w:val="en-GB" w:bidi="he-IL"/>
        </w:rPr>
        <w:lastRenderedPageBreak/>
        <w:t xml:space="preserve">Abraham had invited Lot to think about north and south, up and down the mountain range, and Lot had looked east; Yahweh invites Abraham to look north, south, east, and west. </w:t>
      </w:r>
      <w:r w:rsidR="00A34271">
        <w:rPr>
          <w:lang w:val="en-GB" w:bidi="he-IL"/>
        </w:rPr>
        <w:t>As was the case in Abraham’s words to Lot, Yahweh’s words engage with the list</w:t>
      </w:r>
      <w:r w:rsidR="0054022E">
        <w:rPr>
          <w:lang w:val="en-GB" w:bidi="he-IL"/>
        </w:rPr>
        <w:t>eners’ knowledge or imagination. In speaking of the points of the compass, his words</w:t>
      </w:r>
      <w:r w:rsidR="00A34271">
        <w:rPr>
          <w:lang w:val="en-GB" w:bidi="he-IL"/>
        </w:rPr>
        <w:t xml:space="preserve"> picture mounta</w:t>
      </w:r>
      <w:r w:rsidR="0054022E">
        <w:rPr>
          <w:lang w:val="en-GB" w:bidi="he-IL"/>
        </w:rPr>
        <w:t>ins, valley, and sea (</w:t>
      </w:r>
      <w:r w:rsidR="00A34271">
        <w:rPr>
          <w:lang w:val="en-GB" w:bidi="he-IL"/>
        </w:rPr>
        <w:t xml:space="preserve">the word for </w:t>
      </w:r>
      <w:r w:rsidR="003D56BA">
        <w:rPr>
          <w:lang w:val="en-GB" w:bidi="he-IL"/>
        </w:rPr>
        <w:t>“</w:t>
      </w:r>
      <w:r w:rsidR="00A34271">
        <w:rPr>
          <w:lang w:val="en-GB" w:bidi="he-IL"/>
        </w:rPr>
        <w:t>west</w:t>
      </w:r>
      <w:r w:rsidR="003D56BA">
        <w:rPr>
          <w:lang w:val="en-GB" w:bidi="he-IL"/>
        </w:rPr>
        <w:t>”</w:t>
      </w:r>
      <w:r w:rsidR="00A34271">
        <w:rPr>
          <w:lang w:val="en-GB" w:bidi="he-IL"/>
        </w:rPr>
        <w:t xml:space="preserve"> is </w:t>
      </w:r>
      <w:r w:rsidR="003D56BA">
        <w:rPr>
          <w:lang w:val="en-GB" w:bidi="he-IL"/>
        </w:rPr>
        <w:t>“</w:t>
      </w:r>
      <w:r w:rsidR="00A34271">
        <w:rPr>
          <w:lang w:val="en-GB" w:bidi="he-IL"/>
        </w:rPr>
        <w:t>sea</w:t>
      </w:r>
      <w:r w:rsidR="003D56BA">
        <w:rPr>
          <w:lang w:val="en-GB" w:bidi="he-IL"/>
        </w:rPr>
        <w:t>”</w:t>
      </w:r>
      <w:r w:rsidR="00A34271">
        <w:rPr>
          <w:lang w:val="en-GB" w:bidi="he-IL"/>
        </w:rPr>
        <w:t xml:space="preserve"> and </w:t>
      </w:r>
      <w:r>
        <w:rPr>
          <w:lang w:val="en-GB" w:bidi="he-IL"/>
        </w:rPr>
        <w:t xml:space="preserve">the word for </w:t>
      </w:r>
      <w:r w:rsidR="003D56BA">
        <w:rPr>
          <w:lang w:val="en-GB" w:bidi="he-IL"/>
        </w:rPr>
        <w:t>“</w:t>
      </w:r>
      <w:r>
        <w:rPr>
          <w:lang w:val="en-GB" w:bidi="he-IL"/>
        </w:rPr>
        <w:t>north</w:t>
      </w:r>
      <w:r w:rsidR="003D56BA">
        <w:rPr>
          <w:lang w:val="en-GB" w:bidi="he-IL"/>
        </w:rPr>
        <w:t>”</w:t>
      </w:r>
      <w:r>
        <w:rPr>
          <w:lang w:val="en-GB" w:bidi="he-IL"/>
        </w:rPr>
        <w:t xml:space="preserve"> is </w:t>
      </w:r>
      <w:r w:rsidR="003D56BA">
        <w:rPr>
          <w:lang w:val="en-GB" w:bidi="he-IL"/>
        </w:rPr>
        <w:t>“</w:t>
      </w:r>
      <w:r>
        <w:rPr>
          <w:lang w:val="en-GB" w:bidi="he-IL"/>
        </w:rPr>
        <w:t>Zaphon,</w:t>
      </w:r>
      <w:r w:rsidR="003D56BA">
        <w:rPr>
          <w:lang w:val="en-GB" w:bidi="he-IL"/>
        </w:rPr>
        <w:t>”</w:t>
      </w:r>
      <w:r w:rsidR="00A34271">
        <w:rPr>
          <w:lang w:val="en-GB" w:bidi="he-IL"/>
        </w:rPr>
        <w:t xml:space="preserve"> </w:t>
      </w:r>
      <w:r>
        <w:rPr>
          <w:lang w:val="en-GB" w:bidi="he-IL"/>
        </w:rPr>
        <w:t xml:space="preserve">the great mountain to the far north). </w:t>
      </w:r>
      <w:r w:rsidR="00DB654C">
        <w:rPr>
          <w:lang w:val="en-GB" w:bidi="he-IL"/>
        </w:rPr>
        <w:t>Abraham draw</w:t>
      </w:r>
      <w:r>
        <w:rPr>
          <w:lang w:val="en-GB" w:bidi="he-IL"/>
        </w:rPr>
        <w:t>s Lot’s attention to the entire country</w:t>
      </w:r>
      <w:r w:rsidR="00DB654C">
        <w:rPr>
          <w:lang w:val="en-GB" w:bidi="he-IL"/>
        </w:rPr>
        <w:t xml:space="preserve"> because he is prepared to give it to Lot; Yahweh draws Abraham’s attention to it because he is prepared to give it</w:t>
      </w:r>
      <w:r w:rsidR="0036792C">
        <w:rPr>
          <w:lang w:val="en-GB" w:bidi="he-IL"/>
        </w:rPr>
        <w:t xml:space="preserve"> to Abraham and to his offspring as a permanent possession (</w:t>
      </w:r>
      <w:r w:rsidR="0036792C">
        <w:rPr>
          <w:i/>
          <w:lang w:val="en-GB" w:bidi="he-IL"/>
        </w:rPr>
        <w:t>‘ad ‘ôlām</w:t>
      </w:r>
      <w:r>
        <w:rPr>
          <w:lang w:val="en-GB" w:bidi="he-IL"/>
        </w:rPr>
        <w:t xml:space="preserve">), </w:t>
      </w:r>
      <w:r w:rsidR="0036792C">
        <w:rPr>
          <w:lang w:val="en-GB" w:bidi="he-IL"/>
        </w:rPr>
        <w:t xml:space="preserve">to last as long as his pact with Noah. </w:t>
      </w:r>
      <w:r w:rsidR="00104FDC" w:rsidRPr="00104FDC">
        <w:rPr>
          <w:lang w:val="en-GB" w:bidi="he-IL"/>
        </w:rPr>
        <w:t>Yahweh is matching Abraham’s generosity, except that he is vastly exceeding it.</w:t>
      </w:r>
      <w:r>
        <w:rPr>
          <w:lang w:val="en-GB" w:bidi="he-IL"/>
        </w:rPr>
        <w:t xml:space="preserve"> </w:t>
      </w:r>
      <w:r w:rsidR="00104FDC">
        <w:rPr>
          <w:lang w:val="en-GB" w:bidi="he-IL"/>
        </w:rPr>
        <w:t>One can imagine this promise causing some puzzlement and heartache for (say) the much reduced Ephraimite state on the eve of its actual demise in 722, or the much reduced Judahite state later, or the litt</w:t>
      </w:r>
      <w:r>
        <w:rPr>
          <w:lang w:val="en-GB" w:bidi="he-IL"/>
        </w:rPr>
        <w:t xml:space="preserve">le Babylonian and then Persian </w:t>
      </w:r>
      <w:r w:rsidR="00104FDC">
        <w:rPr>
          <w:lang w:val="en-GB" w:bidi="he-IL"/>
        </w:rPr>
        <w:t>province in the sixth or fifth century. But it might also inspire hope</w:t>
      </w:r>
      <w:r>
        <w:rPr>
          <w:lang w:val="en-GB" w:bidi="he-IL"/>
        </w:rPr>
        <w:t xml:space="preserve"> for them</w:t>
      </w:r>
      <w:r w:rsidR="00104FDC">
        <w:rPr>
          <w:lang w:val="en-GB" w:bidi="he-IL"/>
        </w:rPr>
        <w:t>.</w:t>
      </w:r>
    </w:p>
    <w:p w14:paraId="0338575D" w14:textId="2DA33105" w:rsidR="00E25069" w:rsidRPr="00865EB7" w:rsidRDefault="00E25069" w:rsidP="00E25069">
      <w:pPr>
        <w:rPr>
          <w:lang w:bidi="he-IL"/>
        </w:rPr>
      </w:pPr>
      <w:r>
        <w:rPr>
          <w:lang w:bidi="he-IL"/>
        </w:rPr>
        <w:t>Yahweh promises the land to Abraham’s “offspring” (v. 15). I</w:t>
      </w:r>
      <w:r w:rsidR="00B14E08" w:rsidRPr="00E25069">
        <w:rPr>
          <w:lang w:bidi="he-IL"/>
        </w:rPr>
        <w:t xml:space="preserve">n </w:t>
      </w:r>
      <w:r w:rsidR="00764145" w:rsidRPr="00E25069">
        <w:rPr>
          <w:lang w:bidi="he-IL"/>
        </w:rPr>
        <w:t>Gal 3:16</w:t>
      </w:r>
      <w:r>
        <w:rPr>
          <w:lang w:bidi="he-IL"/>
        </w:rPr>
        <w:t xml:space="preserve"> Paul takes up the fact that the word is singular</w:t>
      </w:r>
      <w:r w:rsidRPr="00E25069">
        <w:rPr>
          <w:lang w:bidi="he-IL"/>
        </w:rPr>
        <w:t xml:space="preserve"> </w:t>
      </w:r>
      <w:r>
        <w:rPr>
          <w:lang w:bidi="he-IL"/>
        </w:rPr>
        <w:t>(</w:t>
      </w:r>
      <w:r w:rsidR="00B14E08" w:rsidRPr="00E25069">
        <w:rPr>
          <w:lang w:bidi="he-IL"/>
        </w:rPr>
        <w:t xml:space="preserve">Hebrew </w:t>
      </w:r>
      <w:r w:rsidR="00B14E08" w:rsidRPr="00E25069">
        <w:rPr>
          <w:i/>
          <w:lang w:bidi="he-IL"/>
        </w:rPr>
        <w:t>zera‘</w:t>
      </w:r>
      <w:r w:rsidR="00B14E08" w:rsidRPr="00E25069">
        <w:rPr>
          <w:lang w:bidi="he-IL"/>
        </w:rPr>
        <w:t>,</w:t>
      </w:r>
      <w:r w:rsidR="00BB0EE5">
        <w:rPr>
          <w:lang w:bidi="he-IL"/>
        </w:rPr>
        <w:t xml:space="preserve"> </w:t>
      </w:r>
      <w:r w:rsidRPr="00E25069">
        <w:rPr>
          <w:lang w:bidi="he-IL"/>
        </w:rPr>
        <w:t xml:space="preserve">Greek </w:t>
      </w:r>
      <w:proofErr w:type="gramStart"/>
      <w:r w:rsidRPr="00E25069">
        <w:rPr>
          <w:i/>
          <w:lang w:bidi="he-IL"/>
        </w:rPr>
        <w:t>sperma</w:t>
      </w:r>
      <w:r>
        <w:rPr>
          <w:lang w:bidi="he-IL"/>
        </w:rPr>
        <w:t xml:space="preserve"> )</w:t>
      </w:r>
      <w:proofErr w:type="gramEnd"/>
      <w:r>
        <w:rPr>
          <w:lang w:bidi="he-IL"/>
        </w:rPr>
        <w:t xml:space="preserve">, which fits the fact that </w:t>
      </w:r>
      <w:r>
        <w:rPr>
          <w:i/>
          <w:lang w:bidi="he-IL"/>
        </w:rPr>
        <w:t>the</w:t>
      </w:r>
      <w:r>
        <w:rPr>
          <w:lang w:bidi="he-IL"/>
        </w:rPr>
        <w:t xml:space="preserve"> offspring of Abraham is the one person Jesus. The Hebrew word (</w:t>
      </w:r>
      <w:r w:rsidRPr="00C25339">
        <w:rPr>
          <w:i/>
          <w:lang w:bidi="he-IL"/>
        </w:rPr>
        <w:t>zera‘</w:t>
      </w:r>
      <w:r>
        <w:rPr>
          <w:lang w:bidi="he-IL"/>
        </w:rPr>
        <w:t>) is collective; it is used just once to refer to seeds for sowing (1 Sam 8:15), though in everyday life that us</w:t>
      </w:r>
      <w:r w:rsidR="00BB0EE5">
        <w:rPr>
          <w:lang w:bidi="he-IL"/>
        </w:rPr>
        <w:t>age will have been common</w:t>
      </w:r>
      <w:r>
        <w:rPr>
          <w:lang w:bidi="he-IL"/>
        </w:rPr>
        <w:t>. The Greek word is also commonly collective, though the plural reference to seeds for sowing is more common in the New Testament. But no one would think that the singular word in Hebrew or in Greek would denote one offspring as opposed to many. Like much of the New Testament’s use of the Scriptures, Paul is starting from something he knows (one descendant of Abraham was key to the fulfillment of God’s promises) and working back to identify something that must have been in the back of God’s mind in making this promise and in inspiring this particular scripture.</w:t>
      </w:r>
    </w:p>
    <w:p w14:paraId="237C3EF0" w14:textId="2A8BBEA0" w:rsidR="0036792C" w:rsidRDefault="0036792C" w:rsidP="00422207">
      <w:pPr>
        <w:pStyle w:val="ListParagraph"/>
        <w:ind w:left="0" w:firstLine="720"/>
        <w:rPr>
          <w:lang w:val="en-GB" w:bidi="he-IL"/>
        </w:rPr>
      </w:pPr>
      <w:r>
        <w:rPr>
          <w:lang w:val="en-GB" w:bidi="he-IL"/>
        </w:rPr>
        <w:t xml:space="preserve">Many offspring will be needed to occupy this land, and they will </w:t>
      </w:r>
      <w:r w:rsidR="00104FDC">
        <w:rPr>
          <w:lang w:val="en-GB" w:bidi="he-IL"/>
        </w:rPr>
        <w:t xml:space="preserve">be given, too (v. 16). It’s more common for </w:t>
      </w:r>
      <w:r>
        <w:rPr>
          <w:lang w:val="en-GB" w:bidi="he-IL"/>
        </w:rPr>
        <w:t>dirt</w:t>
      </w:r>
      <w:r w:rsidR="00104FDC">
        <w:rPr>
          <w:lang w:val="en-GB" w:bidi="he-IL"/>
        </w:rPr>
        <w:t xml:space="preserve"> to be a discouraging image (cf. 18:27), but it can be encouraging </w:t>
      </w:r>
      <w:r w:rsidR="00681582">
        <w:rPr>
          <w:lang w:val="en-GB" w:bidi="he-IL"/>
        </w:rPr>
        <w:t>(28:14; Num 23:10). This commitment</w:t>
      </w:r>
      <w:r w:rsidR="00104FDC">
        <w:rPr>
          <w:lang w:val="en-GB" w:bidi="he-IL"/>
        </w:rPr>
        <w:t>, too, would inspire puzzlement and heartache and hope.</w:t>
      </w:r>
      <w:r w:rsidR="00866DCA">
        <w:rPr>
          <w:lang w:val="en-GB" w:bidi="he-IL"/>
        </w:rPr>
        <w:t xml:space="preserve"> There’s some irony about this promise when size has been the problem which gave rise to the quarrel.</w:t>
      </w:r>
      <w:r w:rsidR="00866DCA">
        <w:rPr>
          <w:rStyle w:val="FootnoteReference"/>
          <w:lang w:val="en-GB" w:bidi="he-IL"/>
        </w:rPr>
        <w:footnoteReference w:id="132"/>
      </w:r>
      <w:r w:rsidR="00BB0EE5">
        <w:rPr>
          <w:lang w:val="en-GB" w:bidi="he-IL"/>
        </w:rPr>
        <w:t xml:space="preserve"> P</w:t>
      </w:r>
      <w:r w:rsidR="00866DCA">
        <w:rPr>
          <w:lang w:val="en-GB" w:bidi="he-IL"/>
        </w:rPr>
        <w:t xml:space="preserve">erhaps we should put the logic the other way around. Don’t worry about not having </w:t>
      </w:r>
      <w:r w:rsidR="00CE0123">
        <w:rPr>
          <w:lang w:val="en-GB" w:bidi="he-IL"/>
        </w:rPr>
        <w:t>enough land because there are to</w:t>
      </w:r>
      <w:r w:rsidR="00866DCA">
        <w:rPr>
          <w:lang w:val="en-GB" w:bidi="he-IL"/>
        </w:rPr>
        <w:t>o many people. There will be much land, and therefore there can be many people.</w:t>
      </w:r>
    </w:p>
    <w:p w14:paraId="708740D9" w14:textId="77777777" w:rsidR="00104FDC" w:rsidRDefault="00104FDC" w:rsidP="00422207">
      <w:pPr>
        <w:pStyle w:val="ListParagraph"/>
        <w:ind w:left="0" w:firstLine="720"/>
        <w:rPr>
          <w:lang w:val="en-GB" w:bidi="he-IL"/>
        </w:rPr>
      </w:pPr>
      <w:r>
        <w:rPr>
          <w:lang w:val="en-GB" w:bidi="he-IL"/>
        </w:rPr>
        <w:t xml:space="preserve">So Abraham, too, is to set off (v. 17) and move around the country some more, both length and width. </w:t>
      </w:r>
      <w:r w:rsidR="00794F16">
        <w:rPr>
          <w:lang w:val="en-GB" w:bidi="he-IL"/>
        </w:rPr>
        <w:t xml:space="preserve">It is not merely so that he can exercise his own imagination, like Moses viewing the </w:t>
      </w:r>
      <w:proofErr w:type="gramStart"/>
      <w:r w:rsidR="00794F16">
        <w:rPr>
          <w:lang w:val="en-GB" w:bidi="he-IL"/>
        </w:rPr>
        <w:t>promised land</w:t>
      </w:r>
      <w:proofErr w:type="gramEnd"/>
      <w:r w:rsidR="00794F16">
        <w:rPr>
          <w:lang w:val="en-GB" w:bidi="he-IL"/>
        </w:rPr>
        <w:t>. It is by walking across a tract of land that one takes possession of it.</w:t>
      </w:r>
      <w:r w:rsidR="00794F16">
        <w:rPr>
          <w:rStyle w:val="FootnoteReference"/>
          <w:lang w:val="en-GB" w:bidi="he-IL"/>
        </w:rPr>
        <w:footnoteReference w:id="133"/>
      </w:r>
    </w:p>
    <w:p w14:paraId="0FCFB680" w14:textId="77777777" w:rsidR="00104FDC" w:rsidRPr="0036792C" w:rsidRDefault="00681582" w:rsidP="00422207">
      <w:pPr>
        <w:pStyle w:val="ListParagraph"/>
        <w:ind w:left="0" w:firstLine="720"/>
        <w:rPr>
          <w:lang w:val="en-GB" w:bidi="he-IL"/>
        </w:rPr>
      </w:pPr>
      <w:r w:rsidRPr="00681582">
        <w:rPr>
          <w:b/>
          <w:lang w:val="en-GB" w:bidi="he-IL"/>
        </w:rPr>
        <w:t xml:space="preserve"> 13:</w:t>
      </w:r>
      <w:r>
        <w:rPr>
          <w:b/>
          <w:lang w:val="en-GB" w:bidi="he-IL"/>
        </w:rPr>
        <w:t xml:space="preserve">18. </w:t>
      </w:r>
      <w:proofErr w:type="gramStart"/>
      <w:r w:rsidR="00104FDC">
        <w:rPr>
          <w:lang w:val="en-GB" w:bidi="he-IL"/>
        </w:rPr>
        <w:t>The</w:t>
      </w:r>
      <w:proofErr w:type="gramEnd"/>
      <w:r w:rsidR="00104FDC">
        <w:rPr>
          <w:lang w:val="en-GB" w:bidi="he-IL"/>
        </w:rPr>
        <w:t xml:space="preserve"> step Abraham takes </w:t>
      </w:r>
      <w:r>
        <w:rPr>
          <w:lang w:val="en-GB" w:bidi="he-IL"/>
        </w:rPr>
        <w:t>as a consequence is tiny</w:t>
      </w:r>
      <w:r w:rsidR="00104FDC">
        <w:rPr>
          <w:lang w:val="en-GB" w:bidi="he-IL"/>
        </w:rPr>
        <w:t xml:space="preserve">. </w:t>
      </w:r>
      <w:r>
        <w:rPr>
          <w:lang w:val="en-GB" w:bidi="he-IL"/>
        </w:rPr>
        <w:t xml:space="preserve">It’s really </w:t>
      </w:r>
      <w:r w:rsidRPr="00681582">
        <w:rPr>
          <w:lang w:val="en-GB" w:bidi="he-IL"/>
        </w:rPr>
        <w:t>his offspring who will cash Yahweh’s check.</w:t>
      </w:r>
      <w:r>
        <w:rPr>
          <w:lang w:val="en-GB" w:bidi="he-IL"/>
        </w:rPr>
        <w:t xml:space="preserve"> Abraham</w:t>
      </w:r>
      <w:r w:rsidR="00104FDC">
        <w:rPr>
          <w:lang w:val="en-GB" w:bidi="he-IL"/>
        </w:rPr>
        <w:t xml:space="preserve"> simply moves ag</w:t>
      </w:r>
      <w:r w:rsidR="001D27DE">
        <w:rPr>
          <w:lang w:val="en-GB" w:bidi="he-IL"/>
        </w:rPr>
        <w:t>ain southwards half way to Beer S</w:t>
      </w:r>
      <w:r w:rsidR="00104FDC">
        <w:rPr>
          <w:lang w:val="en-GB" w:bidi="he-IL"/>
        </w:rPr>
        <w:t>heba a</w:t>
      </w:r>
      <w:r w:rsidR="00A77F47">
        <w:rPr>
          <w:lang w:val="en-GB" w:bidi="he-IL"/>
        </w:rPr>
        <w:t xml:space="preserve">nd settles for a while at Mamre, which is then identified with </w:t>
      </w:r>
      <w:r w:rsidR="00A10D11">
        <w:rPr>
          <w:lang w:val="en-GB" w:bidi="he-IL"/>
        </w:rPr>
        <w:t xml:space="preserve">the later </w:t>
      </w:r>
      <w:r w:rsidR="00A77F47">
        <w:rPr>
          <w:lang w:val="en-GB" w:bidi="he-IL"/>
        </w:rPr>
        <w:t>Hebron</w:t>
      </w:r>
      <w:r w:rsidR="00104FDC">
        <w:rPr>
          <w:lang w:val="en-GB" w:bidi="he-IL"/>
        </w:rPr>
        <w:t xml:space="preserve">. </w:t>
      </w:r>
      <w:r w:rsidR="00794F16">
        <w:rPr>
          <w:lang w:val="en-GB" w:bidi="he-IL"/>
        </w:rPr>
        <w:t xml:space="preserve">The Mamre Oaks are two </w:t>
      </w:r>
      <w:r w:rsidR="003D5AE8">
        <w:rPr>
          <w:lang w:val="en-GB" w:bidi="he-IL"/>
        </w:rPr>
        <w:t xml:space="preserve">or three </w:t>
      </w:r>
      <w:r w:rsidR="00794F16">
        <w:rPr>
          <w:lang w:val="en-GB" w:bidi="he-IL"/>
        </w:rPr>
        <w:t>mile</w:t>
      </w:r>
      <w:r w:rsidR="003D5AE8">
        <w:rPr>
          <w:lang w:val="en-GB" w:bidi="he-IL"/>
        </w:rPr>
        <w:t>s north of Hebron itself, according to which tradition you follow.</w:t>
      </w:r>
      <w:r w:rsidR="00DD5193">
        <w:rPr>
          <w:lang w:val="en-GB" w:bidi="he-IL"/>
        </w:rPr>
        <w:t xml:space="preserve"> Mamre appears only in Genesis; in Genesis Hebron appears only to explain the location of Mamre to a later generation.</w:t>
      </w:r>
    </w:p>
    <w:p w14:paraId="2E99151B" w14:textId="77777777" w:rsidR="0035582E" w:rsidRDefault="0035582E">
      <w:pPr>
        <w:spacing w:after="200" w:line="276" w:lineRule="auto"/>
        <w:ind w:firstLine="0"/>
        <w:rPr>
          <w:rFonts w:ascii="Calibri" w:eastAsia="Times New Roman" w:hAnsi="Calibri" w:cs="Times New Roman"/>
          <w:szCs w:val="20"/>
          <w:lang w:bidi="he-IL"/>
        </w:rPr>
      </w:pPr>
      <w:r>
        <w:rPr>
          <w:lang w:bidi="he-IL"/>
        </w:rPr>
        <w:br w:type="page"/>
      </w:r>
    </w:p>
    <w:p w14:paraId="41CB8706" w14:textId="77777777" w:rsidR="0035582E" w:rsidRDefault="0035582E" w:rsidP="0035582E">
      <w:pPr>
        <w:pStyle w:val="Heading1"/>
        <w:rPr>
          <w:lang w:bidi="he-IL"/>
        </w:rPr>
      </w:pPr>
      <w:r>
        <w:rPr>
          <w:lang w:bidi="he-IL"/>
        </w:rPr>
        <w:lastRenderedPageBreak/>
        <w:t>Genesis 14</w:t>
      </w:r>
      <w:r w:rsidR="00757DAA">
        <w:rPr>
          <w:lang w:bidi="he-IL"/>
        </w:rPr>
        <w:t>:1-24—</w:t>
      </w:r>
      <w:proofErr w:type="gramStart"/>
      <w:r w:rsidR="00757DAA">
        <w:rPr>
          <w:lang w:bidi="he-IL"/>
        </w:rPr>
        <w:t>The</w:t>
      </w:r>
      <w:proofErr w:type="gramEnd"/>
      <w:r w:rsidR="00757DAA">
        <w:rPr>
          <w:lang w:bidi="he-IL"/>
        </w:rPr>
        <w:t xml:space="preserve"> Empire Strikes Back</w:t>
      </w:r>
    </w:p>
    <w:p w14:paraId="3807BF55" w14:textId="77777777" w:rsidR="0035582E" w:rsidRDefault="0035582E" w:rsidP="00050CED">
      <w:pPr>
        <w:pStyle w:val="ListParagraph"/>
        <w:ind w:left="720" w:firstLine="0"/>
        <w:rPr>
          <w:lang w:bidi="he-IL"/>
        </w:rPr>
      </w:pPr>
    </w:p>
    <w:p w14:paraId="1C43E4AA" w14:textId="77777777" w:rsidR="00141055" w:rsidRPr="00DA695A" w:rsidRDefault="00141055" w:rsidP="00141055">
      <w:pPr>
        <w:pStyle w:val="Heading2"/>
        <w:rPr>
          <w:lang w:bidi="he-IL"/>
        </w:rPr>
      </w:pPr>
      <w:r>
        <w:rPr>
          <w:lang w:bidi="he-IL"/>
        </w:rPr>
        <w:t>Overview</w:t>
      </w:r>
    </w:p>
    <w:p w14:paraId="73A81DDA" w14:textId="134E4686" w:rsidR="00F063D0" w:rsidRDefault="000774C1" w:rsidP="00112BFC">
      <w:pPr>
        <w:pStyle w:val="ListParagraph"/>
        <w:ind w:left="0" w:firstLine="720"/>
        <w:rPr>
          <w:lang w:bidi="he-IL"/>
        </w:rPr>
      </w:pPr>
      <w:r>
        <w:rPr>
          <w:lang w:bidi="he-IL"/>
        </w:rPr>
        <w:t xml:space="preserve">Gen 10—13 </w:t>
      </w:r>
      <w:r w:rsidR="00BB0EE5">
        <w:rPr>
          <w:lang w:bidi="he-IL"/>
        </w:rPr>
        <w:t xml:space="preserve">first </w:t>
      </w:r>
      <w:r>
        <w:rPr>
          <w:lang w:bidi="he-IL"/>
        </w:rPr>
        <w:t xml:space="preserve">told of developments in the </w:t>
      </w:r>
      <w:r w:rsidR="00BB0EE5">
        <w:rPr>
          <w:lang w:bidi="he-IL"/>
        </w:rPr>
        <w:t>audience’s entire world</w:t>
      </w:r>
      <w:r w:rsidR="00F063D0">
        <w:rPr>
          <w:lang w:bidi="he-IL"/>
        </w:rPr>
        <w:t>,</w:t>
      </w:r>
      <w:r w:rsidR="00301E84">
        <w:rPr>
          <w:lang w:bidi="he-IL"/>
        </w:rPr>
        <w:t xml:space="preserve"> following on humanity’s</w:t>
      </w:r>
      <w:r w:rsidR="00F063D0">
        <w:rPr>
          <w:lang w:bidi="he-IL"/>
        </w:rPr>
        <w:t xml:space="preserve"> new start after the deluge,</w:t>
      </w:r>
      <w:r w:rsidR="00301E84">
        <w:rPr>
          <w:lang w:bidi="he-IL"/>
        </w:rPr>
        <w:t xml:space="preserve"> </w:t>
      </w:r>
      <w:r w:rsidR="00F063D0">
        <w:rPr>
          <w:lang w:bidi="he-IL"/>
        </w:rPr>
        <w:t xml:space="preserve">and </w:t>
      </w:r>
      <w:r>
        <w:rPr>
          <w:lang w:bidi="he-IL"/>
        </w:rPr>
        <w:t>then segued into a focus on Abraham’s family. Gen 14 returns for a moment to that broa</w:t>
      </w:r>
      <w:r w:rsidR="00301E84">
        <w:rPr>
          <w:lang w:bidi="he-IL"/>
        </w:rPr>
        <w:t>der world,</w:t>
      </w:r>
      <w:r>
        <w:rPr>
          <w:lang w:bidi="he-IL"/>
        </w:rPr>
        <w:t xml:space="preserve"> because Abraham is drawn into an inv</w:t>
      </w:r>
      <w:r w:rsidR="00301E84">
        <w:rPr>
          <w:lang w:bidi="he-IL"/>
        </w:rPr>
        <w:t>olvement outside the family. The story’s</w:t>
      </w:r>
      <w:r>
        <w:rPr>
          <w:lang w:bidi="he-IL"/>
        </w:rPr>
        <w:t xml:space="preserve"> question then is, what will happen</w:t>
      </w:r>
      <w:r w:rsidR="000E1DF1">
        <w:rPr>
          <w:lang w:bidi="he-IL"/>
        </w:rPr>
        <w:t xml:space="preserve"> when the empire strikes back?</w:t>
      </w:r>
      <w:r w:rsidR="00301E84">
        <w:rPr>
          <w:lang w:bidi="he-IL"/>
        </w:rPr>
        <w:t xml:space="preserve"> </w:t>
      </w:r>
    </w:p>
    <w:p w14:paraId="138E3B12" w14:textId="77777777" w:rsidR="000E1DF1" w:rsidRDefault="003D56BA" w:rsidP="00112BFC">
      <w:pPr>
        <w:pStyle w:val="ListParagraph"/>
        <w:ind w:left="0" w:firstLine="720"/>
        <w:rPr>
          <w:lang w:bidi="he-IL"/>
        </w:rPr>
      </w:pPr>
      <w:r>
        <w:rPr>
          <w:lang w:bidi="he-IL"/>
        </w:rPr>
        <w:t>“</w:t>
      </w:r>
      <w:r w:rsidR="00301E84">
        <w:rPr>
          <w:lang w:bidi="he-IL"/>
        </w:rPr>
        <w:t>The empire</w:t>
      </w:r>
      <w:r>
        <w:rPr>
          <w:lang w:bidi="he-IL"/>
        </w:rPr>
        <w:t>”</w:t>
      </w:r>
      <w:r w:rsidR="00301E84">
        <w:rPr>
          <w:lang w:bidi="he-IL"/>
        </w:rPr>
        <w:t xml:space="preserve"> is</w:t>
      </w:r>
      <w:r w:rsidR="000774C1">
        <w:rPr>
          <w:lang w:bidi="he-IL"/>
        </w:rPr>
        <w:t xml:space="preserve"> a coalition of kings. As is the case in Gen 10</w:t>
      </w:r>
      <w:r w:rsidR="00757DAA">
        <w:rPr>
          <w:lang w:bidi="he-IL"/>
        </w:rPr>
        <w:t>—11</w:t>
      </w:r>
      <w:r w:rsidR="000774C1">
        <w:rPr>
          <w:lang w:bidi="he-IL"/>
        </w:rPr>
        <w:t>, not all their</w:t>
      </w:r>
      <w:r w:rsidR="00F063D0">
        <w:rPr>
          <w:lang w:bidi="he-IL"/>
        </w:rPr>
        <w:t xml:space="preserve"> kingdoms can be identified, though</w:t>
      </w:r>
      <w:r w:rsidR="000774C1">
        <w:rPr>
          <w:lang w:bidi="he-IL"/>
        </w:rPr>
        <w:t xml:space="preserve"> th</w:t>
      </w:r>
      <w:r w:rsidR="00F063D0">
        <w:rPr>
          <w:lang w:bidi="he-IL"/>
        </w:rPr>
        <w:t xml:space="preserve">ey include two that </w:t>
      </w:r>
      <w:r w:rsidR="000774C1">
        <w:rPr>
          <w:lang w:bidi="he-IL"/>
        </w:rPr>
        <w:t>appeare</w:t>
      </w:r>
      <w:r w:rsidR="00757DAA">
        <w:rPr>
          <w:lang w:bidi="he-IL"/>
        </w:rPr>
        <w:t xml:space="preserve">d </w:t>
      </w:r>
      <w:r w:rsidR="00F063D0">
        <w:rPr>
          <w:lang w:bidi="he-IL"/>
        </w:rPr>
        <w:t xml:space="preserve">there, Shinar (which had been </w:t>
      </w:r>
      <w:r w:rsidR="00757DAA">
        <w:rPr>
          <w:lang w:bidi="he-IL"/>
        </w:rPr>
        <w:t>the starting point of Nimrod’s empire)</w:t>
      </w:r>
      <w:r w:rsidR="000774C1">
        <w:rPr>
          <w:lang w:bidi="he-IL"/>
        </w:rPr>
        <w:t xml:space="preserve"> and Elam (cf. 10:</w:t>
      </w:r>
      <w:r w:rsidR="00757DAA">
        <w:rPr>
          <w:lang w:bidi="he-IL"/>
        </w:rPr>
        <w:t xml:space="preserve">10, </w:t>
      </w:r>
      <w:r w:rsidR="000774C1">
        <w:rPr>
          <w:lang w:bidi="he-IL"/>
        </w:rPr>
        <w:t>22</w:t>
      </w:r>
      <w:r w:rsidR="00757DAA">
        <w:rPr>
          <w:lang w:bidi="he-IL"/>
        </w:rPr>
        <w:t>; 11:2</w:t>
      </w:r>
      <w:r w:rsidR="000774C1">
        <w:rPr>
          <w:lang w:bidi="he-IL"/>
        </w:rPr>
        <w:t>)</w:t>
      </w:r>
      <w:r w:rsidR="00757DAA">
        <w:rPr>
          <w:lang w:bidi="he-IL"/>
        </w:rPr>
        <w:t xml:space="preserve">. But the phrase </w:t>
      </w:r>
      <w:r>
        <w:rPr>
          <w:lang w:bidi="he-IL"/>
        </w:rPr>
        <w:t>“</w:t>
      </w:r>
      <w:r w:rsidR="00757DAA">
        <w:rPr>
          <w:lang w:bidi="he-IL"/>
        </w:rPr>
        <w:t>the empire strikes back</w:t>
      </w:r>
      <w:r>
        <w:rPr>
          <w:lang w:bidi="he-IL"/>
        </w:rPr>
        <w:t>”</w:t>
      </w:r>
      <w:r w:rsidR="00757DAA">
        <w:rPr>
          <w:lang w:bidi="he-IL"/>
        </w:rPr>
        <w:t xml:space="preserve"> sometimes refers </w:t>
      </w:r>
      <w:r w:rsidR="00F063D0">
        <w:rPr>
          <w:lang w:bidi="he-IL"/>
        </w:rPr>
        <w:t xml:space="preserve">to </w:t>
      </w:r>
      <w:r w:rsidR="00301E84">
        <w:rPr>
          <w:lang w:bidi="he-IL"/>
        </w:rPr>
        <w:t xml:space="preserve">the subjects of an </w:t>
      </w:r>
      <w:r w:rsidR="00F063D0">
        <w:rPr>
          <w:lang w:bidi="he-IL"/>
        </w:rPr>
        <w:t xml:space="preserve">empire </w:t>
      </w:r>
      <w:r w:rsidR="00757DAA">
        <w:rPr>
          <w:lang w:bidi="he-IL"/>
        </w:rPr>
        <w:t>assert</w:t>
      </w:r>
      <w:r w:rsidR="00F063D0">
        <w:rPr>
          <w:lang w:bidi="he-IL"/>
        </w:rPr>
        <w:t>ing</w:t>
      </w:r>
      <w:r w:rsidR="00757DAA">
        <w:rPr>
          <w:lang w:bidi="he-IL"/>
        </w:rPr>
        <w:t xml:space="preserve"> themselves</w:t>
      </w:r>
      <w:r w:rsidR="00301E84">
        <w:rPr>
          <w:lang w:bidi="he-IL"/>
        </w:rPr>
        <w:t xml:space="preserve"> against the imperial power</w:t>
      </w:r>
      <w:r w:rsidR="00757DAA">
        <w:rPr>
          <w:lang w:bidi="he-IL"/>
        </w:rPr>
        <w:t xml:space="preserve">, and in Gen 14 both references apply. Five </w:t>
      </w:r>
      <w:r w:rsidR="00CC3FA1">
        <w:rPr>
          <w:lang w:bidi="he-IL"/>
        </w:rPr>
        <w:t>city-state</w:t>
      </w:r>
      <w:r w:rsidR="00301E84">
        <w:rPr>
          <w:lang w:bidi="he-IL"/>
        </w:rPr>
        <w:t xml:space="preserve">s in the Dead Sea area </w:t>
      </w:r>
      <w:r w:rsidR="00757DAA">
        <w:rPr>
          <w:lang w:bidi="he-IL"/>
        </w:rPr>
        <w:t>lived under the yoke of imperial authority for over a decade</w:t>
      </w:r>
      <w:r w:rsidR="00301E84">
        <w:rPr>
          <w:lang w:bidi="he-IL"/>
        </w:rPr>
        <w:t>,</w:t>
      </w:r>
      <w:r w:rsidR="00757DAA">
        <w:rPr>
          <w:lang w:bidi="he-IL"/>
        </w:rPr>
        <w:t xml:space="preserve"> but then rebelled (strike back one). The imperial coalition engages in </w:t>
      </w:r>
      <w:r w:rsidR="00F063D0">
        <w:rPr>
          <w:lang w:bidi="he-IL"/>
        </w:rPr>
        <w:t xml:space="preserve">a </w:t>
      </w:r>
      <w:r w:rsidR="00757DAA">
        <w:rPr>
          <w:lang w:bidi="he-IL"/>
        </w:rPr>
        <w:t xml:space="preserve">wide-ranging and successful </w:t>
      </w:r>
      <w:r w:rsidR="00301E84">
        <w:rPr>
          <w:lang w:bidi="he-IL"/>
        </w:rPr>
        <w:t xml:space="preserve">campaign to reassert </w:t>
      </w:r>
      <w:r w:rsidR="00757DAA">
        <w:rPr>
          <w:lang w:bidi="he-IL"/>
        </w:rPr>
        <w:t xml:space="preserve">its authority (strike back two). But it makes the mistake of including </w:t>
      </w:r>
      <w:r w:rsidR="00301E84" w:rsidRPr="00301E84">
        <w:rPr>
          <w:lang w:bidi="he-IL"/>
        </w:rPr>
        <w:t xml:space="preserve">among its captives </w:t>
      </w:r>
      <w:r w:rsidR="00301E84">
        <w:rPr>
          <w:lang w:bidi="he-IL"/>
        </w:rPr>
        <w:t xml:space="preserve">from Sodom </w:t>
      </w:r>
      <w:r w:rsidR="00757DAA">
        <w:rPr>
          <w:lang w:bidi="he-IL"/>
        </w:rPr>
        <w:t>someone from Abraham’s family, wh</w:t>
      </w:r>
      <w:r w:rsidR="00301E84">
        <w:rPr>
          <w:lang w:bidi="he-IL"/>
        </w:rPr>
        <w:t>ich leads to Abraham pursuing the coalition force</w:t>
      </w:r>
      <w:r w:rsidR="00757DAA">
        <w:rPr>
          <w:lang w:bidi="he-IL"/>
        </w:rPr>
        <w:t xml:space="preserve"> and defeating it (strike back three).</w:t>
      </w:r>
      <w:r w:rsidR="00301E84">
        <w:rPr>
          <w:lang w:bidi="he-IL"/>
        </w:rPr>
        <w:t xml:space="preserve"> On his return, Abraham is acknowledged by the priest-king of Salem (to whom he pays a tithe of his plunder) and by the king of Sodom (to whom he insists on returning the rest, less expenses).</w:t>
      </w:r>
    </w:p>
    <w:p w14:paraId="527CD337" w14:textId="77777777" w:rsidR="0035582E" w:rsidRPr="00495304" w:rsidRDefault="0035582E" w:rsidP="0035582E">
      <w:pPr>
        <w:pStyle w:val="Heading2"/>
        <w:rPr>
          <w:vertAlign w:val="superscript"/>
          <w:lang w:bidi="he-IL"/>
        </w:rPr>
      </w:pPr>
      <w:r w:rsidRPr="00DA695A">
        <w:rPr>
          <w:lang w:bidi="he-IL"/>
        </w:rPr>
        <w:t>Translation</w:t>
      </w:r>
    </w:p>
    <w:p w14:paraId="19BFCF3B" w14:textId="6F77EB9B" w:rsidR="00424070" w:rsidRDefault="0035582E" w:rsidP="0035582E">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w:t>
      </w:r>
      <w:r w:rsidR="009726D6">
        <w:rPr>
          <w:rFonts w:ascii="Calibri" w:eastAsia="Times New Roman" w:hAnsi="Calibri" w:cs="Times New Roman"/>
          <w:szCs w:val="18"/>
          <w:lang w:val="en-GB" w:bidi="he-IL"/>
        </w:rPr>
        <w:t>In the time of Amrapel king of Š</w:t>
      </w:r>
      <w:r w:rsidRPr="0035582E">
        <w:rPr>
          <w:rFonts w:ascii="Calibri" w:eastAsia="Times New Roman" w:hAnsi="Calibri" w:cs="Times New Roman"/>
          <w:szCs w:val="18"/>
          <w:lang w:val="en-GB" w:bidi="he-IL"/>
        </w:rPr>
        <w:t>in’ar, Aryok king of Ellasar,</w:t>
      </w:r>
      <w:r w:rsidR="002E1F5A">
        <w:rPr>
          <w:rStyle w:val="FootnoteReference"/>
          <w:rFonts w:ascii="Calibri" w:eastAsia="Times New Roman" w:hAnsi="Calibri" w:cs="Times New Roman"/>
          <w:szCs w:val="18"/>
          <w:lang w:val="en-GB" w:bidi="he-IL"/>
        </w:rPr>
        <w:footnoteReference w:id="134"/>
      </w:r>
      <w:r w:rsidR="00996562">
        <w:rPr>
          <w:rFonts w:ascii="Calibri" w:eastAsia="Times New Roman" w:hAnsi="Calibri" w:cs="Times New Roman"/>
          <w:szCs w:val="18"/>
          <w:lang w:val="en-GB" w:bidi="he-IL"/>
        </w:rPr>
        <w:t xml:space="preserve"> Kedorla‘</w:t>
      </w:r>
      <w:r w:rsidRPr="0035582E">
        <w:rPr>
          <w:rFonts w:ascii="Calibri" w:eastAsia="Times New Roman" w:hAnsi="Calibri" w:cs="Times New Roman"/>
          <w:szCs w:val="18"/>
          <w:lang w:val="en-GB" w:bidi="he-IL"/>
        </w:rPr>
        <w:t>omer king of Elam, and Tid’al k</w:t>
      </w:r>
      <w:r w:rsidR="00521D2F">
        <w:rPr>
          <w:rFonts w:ascii="Calibri" w:eastAsia="Times New Roman" w:hAnsi="Calibri" w:cs="Times New Roman"/>
          <w:szCs w:val="18"/>
          <w:lang w:val="en-GB" w:bidi="he-IL"/>
        </w:rPr>
        <w:t>ing of nations</w:t>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2</w:t>
      </w:r>
      <w:r w:rsidRPr="0035582E">
        <w:rPr>
          <w:rFonts w:ascii="Calibri" w:eastAsia="Times New Roman" w:hAnsi="Calibri" w:cs="Times New Roman"/>
          <w:szCs w:val="18"/>
          <w:lang w:val="en-GB" w:bidi="he-IL"/>
        </w:rPr>
        <w:t>they</w:t>
      </w:r>
      <w:r w:rsidR="0089661B">
        <w:rPr>
          <w:rStyle w:val="FootnoteReference"/>
          <w:rFonts w:ascii="Calibri" w:eastAsia="Times New Roman" w:hAnsi="Calibri" w:cs="Times New Roman"/>
          <w:szCs w:val="18"/>
          <w:lang w:val="en-GB" w:bidi="he-IL"/>
        </w:rPr>
        <w:footnoteReference w:id="135"/>
      </w:r>
      <w:r w:rsidRPr="0035582E">
        <w:rPr>
          <w:rFonts w:ascii="Calibri" w:eastAsia="Times New Roman" w:hAnsi="Calibri" w:cs="Times New Roman"/>
          <w:szCs w:val="18"/>
          <w:lang w:val="en-GB" w:bidi="he-IL"/>
        </w:rPr>
        <w:t xml:space="preserve"> did battl</w:t>
      </w:r>
      <w:r w:rsidR="009726D6">
        <w:rPr>
          <w:rFonts w:ascii="Calibri" w:eastAsia="Times New Roman" w:hAnsi="Calibri" w:cs="Times New Roman"/>
          <w:szCs w:val="18"/>
          <w:lang w:val="en-GB" w:bidi="he-IL"/>
        </w:rPr>
        <w:t>e with Bera ki</w:t>
      </w:r>
      <w:r w:rsidR="00787DCF">
        <w:rPr>
          <w:rFonts w:ascii="Calibri" w:eastAsia="Times New Roman" w:hAnsi="Calibri" w:cs="Times New Roman"/>
          <w:szCs w:val="18"/>
          <w:lang w:val="en-GB" w:bidi="he-IL"/>
        </w:rPr>
        <w:t>ng of Sedom, Birša king of Amor</w:t>
      </w:r>
      <w:r w:rsidR="009726D6">
        <w:rPr>
          <w:rFonts w:ascii="Calibri" w:eastAsia="Times New Roman" w:hAnsi="Calibri" w:cs="Times New Roman"/>
          <w:szCs w:val="18"/>
          <w:lang w:val="en-GB" w:bidi="he-IL"/>
        </w:rPr>
        <w:t>ah, Šin’ab king of Admah, Šem’eber king of Ṣ</w:t>
      </w:r>
      <w:r w:rsidRPr="0035582E">
        <w:rPr>
          <w:rFonts w:ascii="Calibri" w:eastAsia="Times New Roman" w:hAnsi="Calibri" w:cs="Times New Roman"/>
          <w:szCs w:val="18"/>
          <w:lang w:val="en-GB" w:bidi="he-IL"/>
        </w:rPr>
        <w:t>eboyim</w:t>
      </w:r>
      <w:r w:rsidR="009726D6">
        <w:rPr>
          <w:rFonts w:ascii="Calibri" w:eastAsia="Times New Roman" w:hAnsi="Calibri" w:cs="Times New Roman"/>
          <w:szCs w:val="18"/>
          <w:lang w:val="en-GB" w:bidi="he-IL"/>
        </w:rPr>
        <w:t>, and the king of Bela (i.e., Ṣ</w:t>
      </w:r>
      <w:r w:rsidRPr="0035582E">
        <w:rPr>
          <w:rFonts w:ascii="Calibri" w:eastAsia="Times New Roman" w:hAnsi="Calibri" w:cs="Times New Roman"/>
          <w:szCs w:val="18"/>
          <w:lang w:val="en-GB" w:bidi="he-IL"/>
        </w:rPr>
        <w:t xml:space="preserve">o’ar). </w:t>
      </w:r>
      <w:r>
        <w:rPr>
          <w:rFonts w:ascii="Calibri" w:eastAsia="Times New Roman" w:hAnsi="Calibri" w:cs="Times New Roman"/>
          <w:szCs w:val="18"/>
          <w:vertAlign w:val="superscript"/>
          <w:lang w:val="en-GB" w:bidi="he-IL"/>
        </w:rPr>
        <w:t>3</w:t>
      </w:r>
      <w:r w:rsidRPr="0035582E">
        <w:rPr>
          <w:rFonts w:ascii="Calibri" w:eastAsia="Times New Roman" w:hAnsi="Calibri" w:cs="Times New Roman"/>
          <w:szCs w:val="18"/>
          <w:lang w:val="en-GB" w:bidi="he-IL"/>
        </w:rPr>
        <w:t>All these</w:t>
      </w:r>
      <w:r w:rsidR="0089661B">
        <w:rPr>
          <w:rStyle w:val="FootnoteReference"/>
          <w:rFonts w:ascii="Calibri" w:eastAsia="Times New Roman" w:hAnsi="Calibri" w:cs="Times New Roman"/>
          <w:szCs w:val="18"/>
          <w:lang w:val="en-GB" w:bidi="he-IL"/>
        </w:rPr>
        <w:footnoteReference w:id="136"/>
      </w:r>
      <w:r w:rsidRPr="0035582E">
        <w:rPr>
          <w:rFonts w:ascii="Calibri" w:eastAsia="Times New Roman" w:hAnsi="Calibri" w:cs="Times New Roman"/>
          <w:szCs w:val="18"/>
          <w:lang w:val="en-GB" w:bidi="he-IL"/>
        </w:rPr>
        <w:t xml:space="preserve"> joined together in </w:t>
      </w:r>
      <w:r w:rsidR="00424070">
        <w:rPr>
          <w:rFonts w:ascii="Calibri" w:eastAsia="Times New Roman" w:hAnsi="Calibri" w:cs="Times New Roman"/>
          <w:szCs w:val="18"/>
          <w:lang w:val="en-GB" w:bidi="he-IL"/>
        </w:rPr>
        <w:t xml:space="preserve">the </w:t>
      </w:r>
      <w:r w:rsidRPr="0035582E">
        <w:rPr>
          <w:rFonts w:ascii="Calibri" w:eastAsia="Times New Roman" w:hAnsi="Calibri" w:cs="Times New Roman"/>
          <w:szCs w:val="18"/>
          <w:lang w:val="en-GB" w:bidi="he-IL"/>
        </w:rPr>
        <w:t xml:space="preserve">Siddim Vale (i.e., the Salt Sea). </w:t>
      </w:r>
      <w:r>
        <w:rPr>
          <w:rFonts w:ascii="Calibri" w:eastAsia="Times New Roman" w:hAnsi="Calibri" w:cs="Times New Roman"/>
          <w:szCs w:val="18"/>
          <w:vertAlign w:val="superscript"/>
          <w:lang w:val="en-GB" w:bidi="he-IL"/>
        </w:rPr>
        <w:t>4</w:t>
      </w:r>
      <w:r w:rsidRPr="0035582E">
        <w:rPr>
          <w:rFonts w:ascii="Calibri" w:eastAsia="Times New Roman" w:hAnsi="Calibri" w:cs="Times New Roman"/>
          <w:szCs w:val="18"/>
          <w:lang w:val="en-GB" w:bidi="he-IL"/>
        </w:rPr>
        <w:t xml:space="preserve">For twelve years they </w:t>
      </w:r>
      <w:r w:rsidR="00996562">
        <w:rPr>
          <w:rFonts w:ascii="Calibri" w:eastAsia="Times New Roman" w:hAnsi="Calibri" w:cs="Times New Roman"/>
          <w:szCs w:val="18"/>
          <w:lang w:val="en-GB" w:bidi="he-IL"/>
        </w:rPr>
        <w:t>had served Kedorla‘</w:t>
      </w:r>
      <w:r w:rsidR="00D1420B">
        <w:rPr>
          <w:rFonts w:ascii="Calibri" w:eastAsia="Times New Roman" w:hAnsi="Calibri" w:cs="Times New Roman"/>
          <w:szCs w:val="18"/>
          <w:lang w:val="en-GB" w:bidi="he-IL"/>
        </w:rPr>
        <w:t xml:space="preserve">omer, but </w:t>
      </w:r>
      <w:r w:rsidRPr="0035582E">
        <w:rPr>
          <w:rFonts w:ascii="Calibri" w:eastAsia="Times New Roman" w:hAnsi="Calibri" w:cs="Times New Roman"/>
          <w:szCs w:val="18"/>
          <w:lang w:val="en-GB" w:bidi="he-IL"/>
        </w:rPr>
        <w:t>the thirteenth year</w:t>
      </w:r>
      <w:r w:rsidR="00D1420B">
        <w:rPr>
          <w:rFonts w:ascii="Calibri" w:eastAsia="Times New Roman" w:hAnsi="Calibri" w:cs="Times New Roman"/>
          <w:szCs w:val="18"/>
          <w:lang w:val="en-GB" w:bidi="he-IL"/>
        </w:rPr>
        <w:t>,</w:t>
      </w:r>
      <w:r w:rsidRPr="0035582E">
        <w:rPr>
          <w:rFonts w:ascii="Calibri" w:eastAsia="Times New Roman" w:hAnsi="Calibri" w:cs="Times New Roman"/>
          <w:szCs w:val="18"/>
          <w:lang w:val="en-GB" w:bidi="he-IL"/>
        </w:rPr>
        <w:t xml:space="preserve"> they rebelled. </w:t>
      </w:r>
    </w:p>
    <w:p w14:paraId="6E7DD3A3" w14:textId="6F39B2DD" w:rsidR="0035582E" w:rsidRPr="0035582E" w:rsidRDefault="0035582E" w:rsidP="0035582E">
      <w:pPr>
        <w:rPr>
          <w:rFonts w:ascii="Calibri" w:eastAsia="Times New Roman" w:hAnsi="Calibri" w:cs="Times New Roman"/>
          <w:lang w:val="en-GB" w:bidi="he-IL"/>
        </w:rPr>
      </w:pPr>
      <w:r>
        <w:rPr>
          <w:rFonts w:ascii="Calibri" w:eastAsia="Times New Roman" w:hAnsi="Calibri" w:cs="Times New Roman"/>
          <w:vertAlign w:val="superscript"/>
          <w:lang w:val="en-GB" w:bidi="he-IL"/>
        </w:rPr>
        <w:t>5</w:t>
      </w:r>
      <w:r w:rsidR="00996562">
        <w:rPr>
          <w:rFonts w:ascii="Calibri" w:eastAsia="Times New Roman" w:hAnsi="Calibri" w:cs="Times New Roman"/>
          <w:lang w:val="en-GB" w:bidi="he-IL"/>
        </w:rPr>
        <w:t>In the fourteenth year, Kedorla‘</w:t>
      </w:r>
      <w:r w:rsidRPr="0035582E">
        <w:rPr>
          <w:rFonts w:ascii="Calibri" w:eastAsia="Times New Roman" w:hAnsi="Calibri" w:cs="Times New Roman"/>
          <w:lang w:val="en-GB" w:bidi="he-IL"/>
        </w:rPr>
        <w:t>omer and the kings who were with h</w:t>
      </w:r>
      <w:r w:rsidR="009726D6">
        <w:rPr>
          <w:rFonts w:ascii="Calibri" w:eastAsia="Times New Roman" w:hAnsi="Calibri" w:cs="Times New Roman"/>
          <w:lang w:val="en-GB" w:bidi="he-IL"/>
        </w:rPr>
        <w:t>im came and struck down the Rep</w:t>
      </w:r>
      <w:r w:rsidR="00787DCF">
        <w:rPr>
          <w:rFonts w:ascii="Calibri" w:eastAsia="Times New Roman" w:hAnsi="Calibri" w:cs="Times New Roman"/>
          <w:lang w:val="en-GB" w:bidi="he-IL"/>
        </w:rPr>
        <w:t>a’ites at A</w:t>
      </w:r>
      <w:r w:rsidR="00787DCF">
        <w:rPr>
          <w:rFonts w:ascii="Calibri" w:eastAsia="Times New Roman" w:hAnsi="Calibri" w:cs="Calibri"/>
          <w:lang w:val="en-GB" w:bidi="he-IL"/>
        </w:rPr>
        <w:t>š</w:t>
      </w:r>
      <w:r w:rsidR="008E0A5C">
        <w:rPr>
          <w:rFonts w:ascii="Calibri" w:eastAsia="Times New Roman" w:hAnsi="Calibri" w:cs="Times New Roman"/>
          <w:lang w:val="en-GB" w:bidi="he-IL"/>
        </w:rPr>
        <w:t>terot Q</w:t>
      </w:r>
      <w:r w:rsidRPr="0035582E">
        <w:rPr>
          <w:rFonts w:ascii="Calibri" w:eastAsia="Times New Roman" w:hAnsi="Calibri" w:cs="Times New Roman"/>
          <w:lang w:val="en-GB" w:bidi="he-IL"/>
        </w:rPr>
        <w:t xml:space="preserve">arnayim, the Zuzites at Ham, </w:t>
      </w:r>
      <w:r>
        <w:rPr>
          <w:rFonts w:ascii="Calibri" w:eastAsia="Times New Roman" w:hAnsi="Calibri" w:cs="Times New Roman"/>
          <w:lang w:val="en-GB" w:bidi="he-IL"/>
        </w:rPr>
        <w:t xml:space="preserve">the Emim at Qiryatayim Plain, </w:t>
      </w:r>
      <w:r>
        <w:rPr>
          <w:rFonts w:ascii="Calibri" w:eastAsia="Times New Roman" w:hAnsi="Calibri" w:cs="Times New Roman"/>
          <w:vertAlign w:val="superscript"/>
          <w:lang w:val="en-GB" w:bidi="he-IL"/>
        </w:rPr>
        <w:t>6</w:t>
      </w:r>
      <w:r w:rsidRPr="0035582E">
        <w:rPr>
          <w:rFonts w:ascii="Calibri" w:eastAsia="Times New Roman" w:hAnsi="Calibri" w:cs="Times New Roman"/>
          <w:lang w:val="en-GB" w:bidi="he-IL"/>
        </w:rPr>
        <w:t>and th</w:t>
      </w:r>
      <w:r w:rsidR="00996562">
        <w:rPr>
          <w:rFonts w:ascii="Calibri" w:eastAsia="Times New Roman" w:hAnsi="Calibri" w:cs="Times New Roman"/>
          <w:lang w:val="en-GB" w:bidi="he-IL"/>
        </w:rPr>
        <w:t>e Horites in their highland, Se‘</w:t>
      </w:r>
      <w:r w:rsidRPr="0035582E">
        <w:rPr>
          <w:rFonts w:ascii="Calibri" w:eastAsia="Times New Roman" w:hAnsi="Calibri" w:cs="Times New Roman"/>
          <w:lang w:val="en-GB" w:bidi="he-IL"/>
        </w:rPr>
        <w:t xml:space="preserve">ir as far as Pa’ran Oak, which is near the </w:t>
      </w:r>
      <w:r>
        <w:rPr>
          <w:rFonts w:ascii="Calibri" w:eastAsia="Times New Roman" w:hAnsi="Calibri" w:cs="Times New Roman"/>
          <w:lang w:val="en-GB" w:bidi="he-IL"/>
        </w:rPr>
        <w:t xml:space="preserve">wilderness. </w:t>
      </w:r>
      <w:r>
        <w:rPr>
          <w:rFonts w:ascii="Calibri" w:eastAsia="Times New Roman" w:hAnsi="Calibri" w:cs="Times New Roman"/>
          <w:vertAlign w:val="superscript"/>
          <w:lang w:val="en-GB" w:bidi="he-IL"/>
        </w:rPr>
        <w:t>7</w:t>
      </w:r>
      <w:r w:rsidRPr="0035582E">
        <w:rPr>
          <w:rFonts w:ascii="Calibri" w:eastAsia="Times New Roman" w:hAnsi="Calibri" w:cs="Times New Roman"/>
          <w:lang w:val="en-GB" w:bidi="he-IL"/>
        </w:rPr>
        <w:t>They</w:t>
      </w:r>
      <w:r w:rsidR="009726D6">
        <w:rPr>
          <w:rFonts w:ascii="Calibri" w:eastAsia="Times New Roman" w:hAnsi="Calibri" w:cs="Times New Roman"/>
          <w:lang w:val="en-GB" w:bidi="he-IL"/>
        </w:rPr>
        <w:t xml:space="preserve"> went back and came to </w:t>
      </w:r>
      <w:r w:rsidR="00F133CE">
        <w:rPr>
          <w:rFonts w:ascii="Calibri" w:eastAsia="Times New Roman" w:hAnsi="Calibri" w:cs="Times New Roman"/>
          <w:lang w:val="en-GB" w:bidi="he-IL"/>
        </w:rPr>
        <w:t>Decision Spring</w:t>
      </w:r>
      <w:r w:rsidR="009726D6">
        <w:rPr>
          <w:rFonts w:ascii="Calibri" w:eastAsia="Times New Roman" w:hAnsi="Calibri" w:cs="Times New Roman"/>
          <w:lang w:val="en-GB" w:bidi="he-IL"/>
        </w:rPr>
        <w:t xml:space="preserve"> (i.e., Qadeš</w:t>
      </w:r>
      <w:r w:rsidRPr="0035582E">
        <w:rPr>
          <w:rFonts w:ascii="Calibri" w:eastAsia="Times New Roman" w:hAnsi="Calibri" w:cs="Times New Roman"/>
          <w:lang w:val="en-GB" w:bidi="he-IL"/>
        </w:rPr>
        <w:t xml:space="preserve">), and struck down </w:t>
      </w:r>
      <w:r w:rsidR="000257B0">
        <w:rPr>
          <w:rFonts w:ascii="Calibri" w:eastAsia="Times New Roman" w:hAnsi="Calibri" w:cs="Times New Roman"/>
          <w:lang w:val="en-GB" w:bidi="he-IL"/>
        </w:rPr>
        <w:t>the</w:t>
      </w:r>
      <w:r w:rsidR="000257B0" w:rsidRPr="000257B0">
        <w:rPr>
          <w:rFonts w:ascii="Calibri" w:eastAsia="Times New Roman" w:hAnsi="Calibri" w:cs="Times New Roman"/>
          <w:lang w:val="en-GB" w:bidi="he-IL"/>
        </w:rPr>
        <w:t xml:space="preserve"> </w:t>
      </w:r>
      <w:r w:rsidR="00787DCF">
        <w:rPr>
          <w:rFonts w:ascii="Calibri" w:eastAsia="Times New Roman" w:hAnsi="Calibri" w:cs="Times New Roman"/>
          <w:lang w:val="en-GB" w:bidi="he-IL"/>
        </w:rPr>
        <w:t xml:space="preserve">entire </w:t>
      </w:r>
      <w:r w:rsidR="000257B0" w:rsidRPr="000257B0">
        <w:rPr>
          <w:rFonts w:ascii="Calibri" w:eastAsia="Times New Roman" w:hAnsi="Calibri" w:cs="Times New Roman"/>
          <w:lang w:val="en-GB" w:bidi="he-IL"/>
        </w:rPr>
        <w:t>area</w:t>
      </w:r>
      <w:r w:rsidR="000257B0">
        <w:rPr>
          <w:rStyle w:val="FootnoteReference"/>
          <w:rFonts w:ascii="Calibri" w:eastAsia="Times New Roman" w:hAnsi="Calibri" w:cs="Times New Roman"/>
          <w:lang w:val="en-GB" w:bidi="he-IL"/>
        </w:rPr>
        <w:footnoteReference w:id="137"/>
      </w:r>
      <w:r w:rsidR="000257B0" w:rsidRPr="000257B0">
        <w:rPr>
          <w:rFonts w:ascii="Calibri" w:eastAsia="Times New Roman" w:hAnsi="Calibri" w:cs="Times New Roman"/>
          <w:lang w:val="en-GB" w:bidi="he-IL"/>
        </w:rPr>
        <w:t xml:space="preserve"> </w:t>
      </w:r>
      <w:r w:rsidR="000257B0">
        <w:rPr>
          <w:rFonts w:ascii="Calibri" w:eastAsia="Times New Roman" w:hAnsi="Calibri" w:cs="Times New Roman"/>
          <w:lang w:val="en-GB" w:bidi="he-IL"/>
        </w:rPr>
        <w:t>of the Amaleqites</w:t>
      </w:r>
      <w:r w:rsidRPr="0035582E">
        <w:rPr>
          <w:rFonts w:ascii="Calibri" w:eastAsia="Times New Roman" w:hAnsi="Calibri" w:cs="Times New Roman"/>
          <w:lang w:val="en-GB" w:bidi="he-IL"/>
        </w:rPr>
        <w:t xml:space="preserve">, and also the Amorites who were </w:t>
      </w:r>
      <w:r w:rsidR="009726D6">
        <w:rPr>
          <w:rFonts w:ascii="Calibri" w:eastAsia="Times New Roman" w:hAnsi="Calibri" w:cs="Times New Roman"/>
          <w:lang w:val="en-GB" w:bidi="he-IL"/>
        </w:rPr>
        <w:t>living in Ḥaṣaṣ</w:t>
      </w:r>
      <w:r w:rsidRPr="0035582E">
        <w:rPr>
          <w:rFonts w:ascii="Calibri" w:eastAsia="Times New Roman" w:hAnsi="Calibri" w:cs="Times New Roman"/>
          <w:lang w:val="en-GB" w:bidi="he-IL"/>
        </w:rPr>
        <w:t xml:space="preserve">on Tamar. </w:t>
      </w:r>
    </w:p>
    <w:p w14:paraId="6C2CFFCF" w14:textId="44EC7C33" w:rsidR="00D87790" w:rsidRDefault="0035582E" w:rsidP="0035582E">
      <w:pPr>
        <w:rPr>
          <w:rFonts w:ascii="Calibri" w:eastAsia="Times New Roman" w:hAnsi="Calibri" w:cs="Times New Roman"/>
          <w:lang w:val="en-GB" w:bidi="he-IL"/>
        </w:rPr>
      </w:pPr>
      <w:r>
        <w:rPr>
          <w:rFonts w:ascii="Calibri" w:eastAsia="Times New Roman" w:hAnsi="Calibri" w:cs="Times New Roman"/>
          <w:vertAlign w:val="superscript"/>
          <w:lang w:val="en-GB" w:bidi="he-IL"/>
        </w:rPr>
        <w:t>8</w:t>
      </w:r>
      <w:r w:rsidRPr="0035582E">
        <w:rPr>
          <w:rFonts w:ascii="Calibri" w:eastAsia="Times New Roman" w:hAnsi="Calibri" w:cs="Times New Roman"/>
          <w:lang w:val="en-GB" w:bidi="he-IL"/>
        </w:rPr>
        <w:t xml:space="preserve">Then the </w:t>
      </w:r>
      <w:r w:rsidR="00787DCF">
        <w:rPr>
          <w:rFonts w:ascii="Calibri" w:eastAsia="Times New Roman" w:hAnsi="Calibri" w:cs="Times New Roman"/>
          <w:lang w:val="en-GB" w:bidi="he-IL"/>
        </w:rPr>
        <w:t>king of Sedom, the king of Amor</w:t>
      </w:r>
      <w:r w:rsidRPr="0035582E">
        <w:rPr>
          <w:rFonts w:ascii="Calibri" w:eastAsia="Times New Roman" w:hAnsi="Calibri" w:cs="Times New Roman"/>
          <w:lang w:val="en-GB" w:bidi="he-IL"/>
        </w:rPr>
        <w:t>ah, t</w:t>
      </w:r>
      <w:r w:rsidR="009726D6">
        <w:rPr>
          <w:rFonts w:ascii="Calibri" w:eastAsia="Times New Roman" w:hAnsi="Calibri" w:cs="Times New Roman"/>
          <w:lang w:val="en-GB" w:bidi="he-IL"/>
        </w:rPr>
        <w:t>he king of Admah, the king of Ṣ</w:t>
      </w:r>
      <w:r w:rsidRPr="0035582E">
        <w:rPr>
          <w:rFonts w:ascii="Calibri" w:eastAsia="Times New Roman" w:hAnsi="Calibri" w:cs="Times New Roman"/>
          <w:lang w:val="en-GB" w:bidi="he-IL"/>
        </w:rPr>
        <w:t>eboyim</w:t>
      </w:r>
      <w:r w:rsidR="009726D6">
        <w:rPr>
          <w:rFonts w:ascii="Calibri" w:eastAsia="Times New Roman" w:hAnsi="Calibri" w:cs="Times New Roman"/>
          <w:lang w:val="en-GB" w:bidi="he-IL"/>
        </w:rPr>
        <w:t>, and the king of Bela (i.e., Ṣ</w:t>
      </w:r>
      <w:r w:rsidRPr="0035582E">
        <w:rPr>
          <w:rFonts w:ascii="Calibri" w:eastAsia="Times New Roman" w:hAnsi="Calibri" w:cs="Times New Roman"/>
          <w:lang w:val="en-GB" w:bidi="he-IL"/>
        </w:rPr>
        <w:t>o’ar) went out, and lined up with them f</w:t>
      </w:r>
      <w:r>
        <w:rPr>
          <w:rFonts w:ascii="Calibri" w:eastAsia="Times New Roman" w:hAnsi="Calibri" w:cs="Times New Roman"/>
          <w:lang w:val="en-GB" w:bidi="he-IL"/>
        </w:rPr>
        <w:t xml:space="preserve">or battle in the Siddim Vale: </w:t>
      </w:r>
      <w:r>
        <w:rPr>
          <w:rFonts w:ascii="Calibri" w:eastAsia="Times New Roman" w:hAnsi="Calibri" w:cs="Times New Roman"/>
          <w:vertAlign w:val="superscript"/>
          <w:lang w:val="en-GB" w:bidi="he-IL"/>
        </w:rPr>
        <w:t>9</w:t>
      </w:r>
      <w:r w:rsidR="00996562">
        <w:rPr>
          <w:rFonts w:ascii="Calibri" w:eastAsia="Times New Roman" w:hAnsi="Calibri" w:cs="Times New Roman"/>
          <w:lang w:val="en-GB" w:bidi="he-IL"/>
        </w:rPr>
        <w:t>Kedorla‘</w:t>
      </w:r>
      <w:r w:rsidRPr="0035582E">
        <w:rPr>
          <w:rFonts w:ascii="Calibri" w:eastAsia="Times New Roman" w:hAnsi="Calibri" w:cs="Times New Roman"/>
          <w:lang w:val="en-GB" w:bidi="he-IL"/>
        </w:rPr>
        <w:t>omer king of Elam, Tidal king of</w:t>
      </w:r>
      <w:r w:rsidR="00424070">
        <w:rPr>
          <w:rFonts w:ascii="Calibri" w:eastAsia="Times New Roman" w:hAnsi="Calibri" w:cs="Times New Roman"/>
          <w:lang w:val="en-GB" w:bidi="he-IL"/>
        </w:rPr>
        <w:t xml:space="preserve"> nations</w:t>
      </w:r>
      <w:r w:rsidR="009726D6">
        <w:rPr>
          <w:rFonts w:ascii="Calibri" w:eastAsia="Times New Roman" w:hAnsi="Calibri" w:cs="Times New Roman"/>
          <w:lang w:val="en-GB" w:bidi="he-IL"/>
        </w:rPr>
        <w:t>, Amrapel king of Š</w:t>
      </w:r>
      <w:r w:rsidRPr="0035582E">
        <w:rPr>
          <w:rFonts w:ascii="Calibri" w:eastAsia="Times New Roman" w:hAnsi="Calibri" w:cs="Times New Roman"/>
          <w:lang w:val="en-GB" w:bidi="he-IL"/>
        </w:rPr>
        <w:t xml:space="preserve">in’ar, and Aryok king of Ellasar, </w:t>
      </w:r>
      <w:r w:rsidR="009726D6">
        <w:rPr>
          <w:rFonts w:ascii="Calibri" w:eastAsia="Times New Roman" w:hAnsi="Calibri" w:cs="Times New Roman"/>
          <w:lang w:val="en-GB" w:bidi="he-IL"/>
        </w:rPr>
        <w:t xml:space="preserve">four kings against the five. </w:t>
      </w:r>
      <w:r w:rsidR="009726D6">
        <w:rPr>
          <w:rFonts w:ascii="Calibri" w:eastAsia="Times New Roman" w:hAnsi="Calibri" w:cs="Times New Roman"/>
          <w:vertAlign w:val="superscript"/>
          <w:lang w:val="en-GB" w:bidi="he-IL"/>
        </w:rPr>
        <w:t>10</w:t>
      </w:r>
      <w:r w:rsidRPr="0035582E">
        <w:rPr>
          <w:rFonts w:ascii="Calibri" w:eastAsia="Times New Roman" w:hAnsi="Calibri" w:cs="Times New Roman"/>
          <w:lang w:val="en-GB" w:bidi="he-IL"/>
        </w:rPr>
        <w:t>Now the Siddim Vale was pit after pit</w:t>
      </w:r>
      <w:r w:rsidR="009A2AF2">
        <w:rPr>
          <w:rStyle w:val="FootnoteReference"/>
          <w:rFonts w:ascii="Calibri" w:eastAsia="Times New Roman" w:hAnsi="Calibri" w:cs="Times New Roman"/>
          <w:lang w:val="en-GB" w:bidi="he-IL"/>
        </w:rPr>
        <w:footnoteReference w:id="138"/>
      </w:r>
      <w:r w:rsidRPr="0035582E">
        <w:rPr>
          <w:rFonts w:ascii="Calibri" w:eastAsia="Times New Roman" w:hAnsi="Calibri" w:cs="Times New Roman"/>
          <w:lang w:val="en-GB" w:bidi="he-IL"/>
        </w:rPr>
        <w:t xml:space="preserve"> of bitum</w:t>
      </w:r>
      <w:r w:rsidR="00787DCF">
        <w:rPr>
          <w:rFonts w:ascii="Calibri" w:eastAsia="Times New Roman" w:hAnsi="Calibri" w:cs="Times New Roman"/>
          <w:lang w:val="en-GB" w:bidi="he-IL"/>
        </w:rPr>
        <w:t>en; the kings of Sedom and Amor</w:t>
      </w:r>
      <w:r w:rsidRPr="0035582E">
        <w:rPr>
          <w:rFonts w:ascii="Calibri" w:eastAsia="Times New Roman" w:hAnsi="Calibri" w:cs="Times New Roman"/>
          <w:lang w:val="en-GB" w:bidi="he-IL"/>
        </w:rPr>
        <w:t>ah fled and fell into them,</w:t>
      </w:r>
      <w:r w:rsidR="003C2339">
        <w:rPr>
          <w:rStyle w:val="FootnoteReference"/>
          <w:rFonts w:ascii="Calibri" w:eastAsia="Times New Roman" w:hAnsi="Calibri" w:cs="Times New Roman"/>
          <w:lang w:val="en-GB" w:bidi="he-IL"/>
        </w:rPr>
        <w:footnoteReference w:id="139"/>
      </w:r>
      <w:r w:rsidRPr="0035582E">
        <w:rPr>
          <w:rFonts w:ascii="Calibri" w:eastAsia="Times New Roman" w:hAnsi="Calibri" w:cs="Times New Roman"/>
          <w:lang w:val="en-GB" w:bidi="he-IL"/>
        </w:rPr>
        <w:t xml:space="preserve"> while the rest fled to the highland. </w:t>
      </w:r>
      <w:r w:rsidR="009726D6">
        <w:rPr>
          <w:rFonts w:ascii="Calibri" w:eastAsia="Times New Roman" w:hAnsi="Calibri" w:cs="Times New Roman"/>
          <w:vertAlign w:val="superscript"/>
          <w:lang w:val="en-GB" w:bidi="he-IL"/>
        </w:rPr>
        <w:t>11</w:t>
      </w:r>
      <w:r w:rsidRPr="0035582E">
        <w:rPr>
          <w:rFonts w:ascii="Calibri" w:eastAsia="Times New Roman" w:hAnsi="Calibri" w:cs="Times New Roman"/>
          <w:lang w:val="en-GB" w:bidi="he-IL"/>
        </w:rPr>
        <w:t>They</w:t>
      </w:r>
      <w:r w:rsidR="00424070">
        <w:rPr>
          <w:rStyle w:val="FootnoteReference"/>
          <w:rFonts w:ascii="Calibri" w:eastAsia="Times New Roman" w:hAnsi="Calibri" w:cs="Times New Roman"/>
          <w:lang w:val="en-GB" w:bidi="he-IL"/>
        </w:rPr>
        <w:footnoteReference w:id="140"/>
      </w:r>
      <w:r w:rsidRPr="0035582E">
        <w:rPr>
          <w:rFonts w:ascii="Calibri" w:eastAsia="Times New Roman" w:hAnsi="Calibri" w:cs="Times New Roman"/>
          <w:lang w:val="en-GB" w:bidi="he-IL"/>
        </w:rPr>
        <w:t xml:space="preserve"> </w:t>
      </w:r>
      <w:r w:rsidR="004002A3">
        <w:rPr>
          <w:rFonts w:ascii="Calibri" w:eastAsia="Times New Roman" w:hAnsi="Calibri" w:cs="Times New Roman"/>
          <w:lang w:val="en-GB" w:bidi="he-IL"/>
        </w:rPr>
        <w:t>got</w:t>
      </w:r>
      <w:r w:rsidRPr="0035582E">
        <w:rPr>
          <w:rFonts w:ascii="Calibri" w:eastAsia="Times New Roman" w:hAnsi="Calibri" w:cs="Times New Roman"/>
          <w:lang w:val="en-GB" w:bidi="he-IL"/>
        </w:rPr>
        <w:t xml:space="preserve"> all the pro</w:t>
      </w:r>
      <w:r w:rsidR="00787DCF">
        <w:rPr>
          <w:rFonts w:ascii="Calibri" w:eastAsia="Times New Roman" w:hAnsi="Calibri" w:cs="Times New Roman"/>
          <w:lang w:val="en-GB" w:bidi="he-IL"/>
        </w:rPr>
        <w:t>perty of Sedom and Amor</w:t>
      </w:r>
      <w:r w:rsidRPr="0035582E">
        <w:rPr>
          <w:rFonts w:ascii="Calibri" w:eastAsia="Times New Roman" w:hAnsi="Calibri" w:cs="Times New Roman"/>
          <w:lang w:val="en-GB" w:bidi="he-IL"/>
        </w:rPr>
        <w:t>ah a</w:t>
      </w:r>
      <w:r w:rsidR="009726D6">
        <w:rPr>
          <w:rFonts w:ascii="Calibri" w:eastAsia="Times New Roman" w:hAnsi="Calibri" w:cs="Times New Roman"/>
          <w:lang w:val="en-GB" w:bidi="he-IL"/>
        </w:rPr>
        <w:t xml:space="preserve">nd all their food, and went. </w:t>
      </w:r>
    </w:p>
    <w:p w14:paraId="155EA21C" w14:textId="6FDABE85" w:rsidR="0035582E" w:rsidRPr="0035582E" w:rsidRDefault="009726D6" w:rsidP="0035582E">
      <w:pPr>
        <w:rPr>
          <w:rFonts w:ascii="Calibri" w:eastAsia="Times New Roman" w:hAnsi="Calibri" w:cs="Times New Roman"/>
          <w:lang w:val="en-GB" w:bidi="he-IL"/>
        </w:rPr>
      </w:pPr>
      <w:r>
        <w:rPr>
          <w:rFonts w:ascii="Calibri" w:eastAsia="Times New Roman" w:hAnsi="Calibri" w:cs="Times New Roman"/>
          <w:vertAlign w:val="superscript"/>
          <w:lang w:val="en-GB" w:bidi="he-IL"/>
        </w:rPr>
        <w:lastRenderedPageBreak/>
        <w:t>12</w:t>
      </w:r>
      <w:r w:rsidR="00D87790">
        <w:rPr>
          <w:rFonts w:ascii="Calibri" w:eastAsia="Times New Roman" w:hAnsi="Calibri" w:cs="Times New Roman"/>
          <w:lang w:val="en-GB" w:bidi="he-IL"/>
        </w:rPr>
        <w:t>So</w:t>
      </w:r>
      <w:r w:rsidR="0035582E" w:rsidRPr="0035582E">
        <w:rPr>
          <w:rFonts w:ascii="Calibri" w:eastAsia="Times New Roman" w:hAnsi="Calibri" w:cs="Times New Roman"/>
          <w:lang w:val="en-GB" w:bidi="he-IL"/>
        </w:rPr>
        <w:t xml:space="preserve"> they </w:t>
      </w:r>
      <w:r w:rsidR="004002A3">
        <w:rPr>
          <w:rFonts w:ascii="Calibri" w:eastAsia="Times New Roman" w:hAnsi="Calibri" w:cs="Times New Roman"/>
          <w:lang w:val="en-GB" w:bidi="he-IL"/>
        </w:rPr>
        <w:t>got</w:t>
      </w:r>
      <w:r w:rsidR="0035582E" w:rsidRPr="0035582E">
        <w:rPr>
          <w:rFonts w:ascii="Calibri" w:eastAsia="Times New Roman" w:hAnsi="Calibri" w:cs="Times New Roman"/>
          <w:lang w:val="en-GB" w:bidi="he-IL"/>
        </w:rPr>
        <w:t xml:space="preserve"> Lot</w:t>
      </w:r>
      <w:r w:rsidR="00041B5E">
        <w:rPr>
          <w:rFonts w:ascii="Calibri" w:eastAsia="Times New Roman" w:hAnsi="Calibri" w:cs="Times New Roman"/>
          <w:lang w:val="en-GB" w:bidi="he-IL"/>
        </w:rPr>
        <w:t xml:space="preserve"> and his property</w:t>
      </w:r>
      <w:r w:rsidR="0035582E" w:rsidRPr="0035582E">
        <w:rPr>
          <w:rFonts w:ascii="Calibri" w:eastAsia="Times New Roman" w:hAnsi="Calibri" w:cs="Times New Roman"/>
          <w:lang w:val="en-GB" w:bidi="he-IL"/>
        </w:rPr>
        <w:t xml:space="preserve">, the son of </w:t>
      </w:r>
      <w:r w:rsidR="00BF4EE8">
        <w:rPr>
          <w:rFonts w:ascii="Calibri" w:eastAsia="Times New Roman" w:hAnsi="Calibri" w:cs="Times New Roman"/>
          <w:lang w:val="en-GB" w:bidi="he-IL"/>
        </w:rPr>
        <w:t>Abram</w:t>
      </w:r>
      <w:r w:rsidR="0035582E" w:rsidRPr="0035582E">
        <w:rPr>
          <w:rFonts w:ascii="Calibri" w:eastAsia="Times New Roman" w:hAnsi="Calibri" w:cs="Times New Roman"/>
          <w:lang w:val="en-GB" w:bidi="he-IL"/>
        </w:rPr>
        <w:t>’s brother, and w</w:t>
      </w:r>
      <w:r>
        <w:rPr>
          <w:rFonts w:ascii="Calibri" w:eastAsia="Times New Roman" w:hAnsi="Calibri" w:cs="Times New Roman"/>
          <w:lang w:val="en-GB" w:bidi="he-IL"/>
        </w:rPr>
        <w:t xml:space="preserve">ent; he was living in Sedom. </w:t>
      </w:r>
      <w:r>
        <w:rPr>
          <w:rFonts w:ascii="Calibri" w:eastAsia="Times New Roman" w:hAnsi="Calibri" w:cs="Times New Roman"/>
          <w:vertAlign w:val="superscript"/>
          <w:lang w:val="en-GB" w:bidi="he-IL"/>
        </w:rPr>
        <w:t>13</w:t>
      </w:r>
      <w:r w:rsidR="00424070">
        <w:rPr>
          <w:rFonts w:ascii="Calibri" w:eastAsia="Times New Roman" w:hAnsi="Calibri" w:cs="Times New Roman"/>
          <w:lang w:val="en-GB" w:bidi="he-IL"/>
        </w:rPr>
        <w:t xml:space="preserve">Someone who </w:t>
      </w:r>
      <w:r w:rsidR="0035582E" w:rsidRPr="0035582E">
        <w:rPr>
          <w:rFonts w:ascii="Calibri" w:eastAsia="Times New Roman" w:hAnsi="Calibri" w:cs="Times New Roman"/>
          <w:lang w:val="en-GB" w:bidi="he-IL"/>
        </w:rPr>
        <w:t>escape</w:t>
      </w:r>
      <w:r>
        <w:rPr>
          <w:rFonts w:ascii="Calibri" w:eastAsia="Times New Roman" w:hAnsi="Calibri" w:cs="Times New Roman"/>
          <w:lang w:val="en-GB" w:bidi="he-IL"/>
        </w:rPr>
        <w:t xml:space="preserve">d came and told </w:t>
      </w:r>
      <w:r w:rsidR="00BF4EE8">
        <w:rPr>
          <w:rFonts w:ascii="Calibri" w:eastAsia="Times New Roman" w:hAnsi="Calibri" w:cs="Times New Roman"/>
          <w:lang w:val="en-GB" w:bidi="he-IL"/>
        </w:rPr>
        <w:t>Abram</w:t>
      </w:r>
      <w:r>
        <w:rPr>
          <w:rFonts w:ascii="Calibri" w:eastAsia="Times New Roman" w:hAnsi="Calibri" w:cs="Times New Roman"/>
          <w:lang w:val="en-GB" w:bidi="he-IL"/>
        </w:rPr>
        <w:t xml:space="preserve"> the Ibrite. He was dwelling by the O</w:t>
      </w:r>
      <w:r w:rsidR="0035582E" w:rsidRPr="0035582E">
        <w:rPr>
          <w:rFonts w:ascii="Calibri" w:eastAsia="Times New Roman" w:hAnsi="Calibri" w:cs="Times New Roman"/>
          <w:lang w:val="en-GB" w:bidi="he-IL"/>
        </w:rPr>
        <w:t>aks of Mam</w:t>
      </w:r>
      <w:r>
        <w:rPr>
          <w:rFonts w:ascii="Calibri" w:eastAsia="Times New Roman" w:hAnsi="Calibri" w:cs="Times New Roman"/>
          <w:lang w:val="en-GB" w:bidi="he-IL"/>
        </w:rPr>
        <w:t>re the Amorite, brother of</w:t>
      </w:r>
      <w:r w:rsidRPr="00B66FD4">
        <w:rPr>
          <w:rFonts w:ascii="Calibri" w:eastAsia="Times New Roman" w:hAnsi="Calibri" w:cs="Times New Roman"/>
          <w:lang w:bidi="he-IL"/>
        </w:rPr>
        <w:t xml:space="preserve"> Eš</w:t>
      </w:r>
      <w:r w:rsidR="0035582E" w:rsidRPr="00B66FD4">
        <w:rPr>
          <w:rFonts w:ascii="Calibri" w:eastAsia="Times New Roman" w:hAnsi="Calibri" w:cs="Times New Roman"/>
          <w:lang w:bidi="he-IL"/>
        </w:rPr>
        <w:t>kol</w:t>
      </w:r>
      <w:r w:rsidR="0035582E" w:rsidRPr="0035582E">
        <w:rPr>
          <w:rFonts w:ascii="Calibri" w:eastAsia="Times New Roman" w:hAnsi="Calibri" w:cs="Times New Roman"/>
          <w:lang w:val="en-GB" w:bidi="he-IL"/>
        </w:rPr>
        <w:t xml:space="preserve"> and brother</w:t>
      </w:r>
      <w:r w:rsidR="00D813F5">
        <w:rPr>
          <w:rFonts w:ascii="Calibri" w:eastAsia="Times New Roman" w:hAnsi="Calibri" w:cs="Times New Roman"/>
          <w:lang w:val="en-GB" w:bidi="he-IL"/>
        </w:rPr>
        <w:t xml:space="preserve"> of Aner; these were holders</w:t>
      </w:r>
      <w:r w:rsidR="00D813F5" w:rsidRPr="0035582E">
        <w:rPr>
          <w:rFonts w:ascii="Calibri" w:eastAsia="Times New Roman" w:hAnsi="Calibri" w:cs="Times New Roman"/>
          <w:lang w:val="en-GB" w:bidi="he-IL"/>
        </w:rPr>
        <w:t xml:space="preserve"> </w:t>
      </w:r>
      <w:r w:rsidR="00655F0E">
        <w:rPr>
          <w:rFonts w:ascii="Calibri" w:eastAsia="Times New Roman" w:hAnsi="Calibri" w:cs="Times New Roman"/>
          <w:lang w:val="en-GB" w:bidi="he-IL"/>
        </w:rPr>
        <w:t xml:space="preserve">of </w:t>
      </w:r>
      <w:r w:rsidR="0035582E" w:rsidRPr="0035582E">
        <w:rPr>
          <w:rFonts w:ascii="Calibri" w:eastAsia="Times New Roman" w:hAnsi="Calibri" w:cs="Times New Roman"/>
          <w:lang w:val="en-GB" w:bidi="he-IL"/>
        </w:rPr>
        <w:t xml:space="preserve">a pact with </w:t>
      </w:r>
      <w:r w:rsidR="00BF4EE8">
        <w:rPr>
          <w:rFonts w:ascii="Calibri" w:eastAsia="Times New Roman" w:hAnsi="Calibri" w:cs="Times New Roman"/>
          <w:lang w:val="en-GB" w:bidi="he-IL"/>
        </w:rPr>
        <w:t>Abram</w:t>
      </w:r>
      <w:r w:rsidR="0035582E" w:rsidRPr="0035582E">
        <w:rPr>
          <w:rFonts w:ascii="Calibri" w:eastAsia="Times New Roman" w:hAnsi="Calibri" w:cs="Times New Roman"/>
          <w:lang w:val="en-GB" w:bidi="he-IL"/>
        </w:rPr>
        <w:t xml:space="preserve">. </w:t>
      </w:r>
    </w:p>
    <w:p w14:paraId="6A7DD407" w14:textId="6E2E0178" w:rsidR="00DE4818" w:rsidRDefault="009726D6" w:rsidP="0035582E">
      <w:pPr>
        <w:rPr>
          <w:rFonts w:ascii="Calibri" w:eastAsia="Times New Roman" w:hAnsi="Calibri" w:cs="Times New Roman"/>
          <w:lang w:val="en-GB" w:bidi="he-IL"/>
        </w:rPr>
      </w:pPr>
      <w:r>
        <w:rPr>
          <w:rFonts w:ascii="Calibri" w:eastAsia="Times New Roman" w:hAnsi="Calibri" w:cs="Times New Roman"/>
          <w:vertAlign w:val="superscript"/>
          <w:lang w:val="en-GB" w:bidi="he-IL"/>
        </w:rPr>
        <w:t>14</w:t>
      </w:r>
      <w:r w:rsidR="0035582E" w:rsidRPr="0035582E">
        <w:rPr>
          <w:rFonts w:ascii="Calibri" w:eastAsia="Times New Roman" w:hAnsi="Calibri" w:cs="Times New Roman"/>
          <w:lang w:val="en-GB" w:bidi="he-IL"/>
        </w:rPr>
        <w:t xml:space="preserve">So </w:t>
      </w:r>
      <w:r w:rsidR="00BF4EE8">
        <w:rPr>
          <w:rFonts w:ascii="Calibri" w:eastAsia="Times New Roman" w:hAnsi="Calibri" w:cs="Times New Roman"/>
          <w:lang w:val="en-GB" w:bidi="he-IL"/>
        </w:rPr>
        <w:t>Abram</w:t>
      </w:r>
      <w:r w:rsidR="0035582E" w:rsidRPr="0035582E">
        <w:rPr>
          <w:rFonts w:ascii="Calibri" w:eastAsia="Times New Roman" w:hAnsi="Calibri" w:cs="Times New Roman"/>
          <w:lang w:val="en-GB" w:bidi="he-IL"/>
        </w:rPr>
        <w:t xml:space="preserve"> heard that his brother h</w:t>
      </w:r>
      <w:r w:rsidR="00B66FD4">
        <w:rPr>
          <w:rFonts w:ascii="Calibri" w:eastAsia="Times New Roman" w:hAnsi="Calibri" w:cs="Times New Roman"/>
          <w:lang w:val="en-GB" w:bidi="he-IL"/>
        </w:rPr>
        <w:t>ad been taken captive</w:t>
      </w:r>
      <w:r w:rsidR="00AA5028">
        <w:rPr>
          <w:rFonts w:ascii="Calibri" w:eastAsia="Times New Roman" w:hAnsi="Calibri" w:cs="Times New Roman"/>
          <w:lang w:val="en-GB" w:bidi="he-IL"/>
        </w:rPr>
        <w:t>,</w:t>
      </w:r>
      <w:r w:rsidR="00B66FD4">
        <w:rPr>
          <w:rFonts w:ascii="Calibri" w:eastAsia="Times New Roman" w:hAnsi="Calibri" w:cs="Times New Roman"/>
          <w:lang w:val="en-GB" w:bidi="he-IL"/>
        </w:rPr>
        <w:t xml:space="preserve"> and </w:t>
      </w:r>
      <w:r w:rsidR="00AA5028">
        <w:rPr>
          <w:rFonts w:ascii="Calibri" w:eastAsia="Times New Roman" w:hAnsi="Calibri" w:cs="Times New Roman"/>
          <w:lang w:val="en-GB" w:bidi="he-IL"/>
        </w:rPr>
        <w:t>he unleashed</w:t>
      </w:r>
      <w:r w:rsidR="00A779E8">
        <w:rPr>
          <w:rStyle w:val="FootnoteReference"/>
          <w:rFonts w:ascii="Calibri" w:eastAsia="Times New Roman" w:hAnsi="Calibri" w:cs="Times New Roman"/>
          <w:lang w:val="en-GB" w:bidi="he-IL"/>
        </w:rPr>
        <w:footnoteReference w:id="141"/>
      </w:r>
      <w:r w:rsidR="0035582E" w:rsidRPr="0035582E">
        <w:rPr>
          <w:rFonts w:ascii="Calibri" w:eastAsia="Times New Roman" w:hAnsi="Calibri" w:cs="Times New Roman"/>
          <w:lang w:val="en-GB" w:bidi="he-IL"/>
        </w:rPr>
        <w:t xml:space="preserve"> his trained men </w:t>
      </w:r>
      <w:r w:rsidR="0066007C">
        <w:rPr>
          <w:rFonts w:ascii="Calibri" w:eastAsia="Times New Roman" w:hAnsi="Calibri" w:cs="Times New Roman"/>
          <w:lang w:val="en-GB" w:bidi="he-IL"/>
        </w:rPr>
        <w:t>(</w:t>
      </w:r>
      <w:r w:rsidR="0035582E" w:rsidRPr="0035582E">
        <w:rPr>
          <w:rFonts w:ascii="Calibri" w:eastAsia="Times New Roman" w:hAnsi="Calibri" w:cs="Times New Roman"/>
          <w:lang w:val="en-GB" w:bidi="he-IL"/>
        </w:rPr>
        <w:t>people born in his household</w:t>
      </w:r>
      <w:r w:rsidR="0066007C">
        <w:rPr>
          <w:rFonts w:ascii="Calibri" w:eastAsia="Times New Roman" w:hAnsi="Calibri" w:cs="Times New Roman"/>
          <w:lang w:val="en-GB" w:bidi="he-IL"/>
        </w:rPr>
        <w:t>)</w:t>
      </w:r>
      <w:r w:rsidR="0035582E" w:rsidRPr="0035582E">
        <w:rPr>
          <w:rFonts w:ascii="Calibri" w:eastAsia="Times New Roman" w:hAnsi="Calibri" w:cs="Times New Roman"/>
          <w:lang w:val="en-GB" w:bidi="he-IL"/>
        </w:rPr>
        <w:t>,</w:t>
      </w:r>
      <w:r w:rsidR="0066007C">
        <w:rPr>
          <w:rStyle w:val="FootnoteReference"/>
          <w:rFonts w:ascii="Calibri" w:eastAsia="Times New Roman" w:hAnsi="Calibri" w:cs="Times New Roman"/>
          <w:lang w:val="en-GB" w:bidi="he-IL"/>
        </w:rPr>
        <w:footnoteReference w:id="142"/>
      </w:r>
      <w:r w:rsidR="0035582E" w:rsidRPr="0035582E">
        <w:rPr>
          <w:rFonts w:ascii="Calibri" w:eastAsia="Times New Roman" w:hAnsi="Calibri" w:cs="Times New Roman"/>
          <w:lang w:val="en-GB" w:bidi="he-IL"/>
        </w:rPr>
        <w:t xml:space="preserve"> 318 of them, and went in pursuit as far </w:t>
      </w:r>
      <w:r>
        <w:rPr>
          <w:rFonts w:ascii="Calibri" w:eastAsia="Times New Roman" w:hAnsi="Calibri" w:cs="Times New Roman"/>
          <w:lang w:val="en-GB" w:bidi="he-IL"/>
        </w:rPr>
        <w:t xml:space="preserve">as Dan. </w:t>
      </w:r>
      <w:r>
        <w:rPr>
          <w:rFonts w:ascii="Calibri" w:eastAsia="Times New Roman" w:hAnsi="Calibri" w:cs="Times New Roman"/>
          <w:vertAlign w:val="superscript"/>
          <w:lang w:val="en-GB" w:bidi="he-IL"/>
        </w:rPr>
        <w:t>15</w:t>
      </w:r>
      <w:r w:rsidR="0035582E" w:rsidRPr="0035582E">
        <w:rPr>
          <w:rFonts w:ascii="Calibri" w:eastAsia="Times New Roman" w:hAnsi="Calibri" w:cs="Times New Roman"/>
          <w:lang w:val="en-GB" w:bidi="he-IL"/>
        </w:rPr>
        <w:t>He and his servants split up against them by night, struck them do</w:t>
      </w:r>
      <w:r>
        <w:rPr>
          <w:rFonts w:ascii="Calibri" w:eastAsia="Times New Roman" w:hAnsi="Calibri" w:cs="Times New Roman"/>
          <w:lang w:val="en-GB" w:bidi="he-IL"/>
        </w:rPr>
        <w:t>wn, and pursued them as far as Ḥ</w:t>
      </w:r>
      <w:r w:rsidR="0035582E" w:rsidRPr="0035582E">
        <w:rPr>
          <w:rFonts w:ascii="Calibri" w:eastAsia="Times New Roman" w:hAnsi="Calibri" w:cs="Times New Roman"/>
          <w:lang w:val="en-GB" w:bidi="he-IL"/>
        </w:rPr>
        <w:t>obah, which is n</w:t>
      </w:r>
      <w:r>
        <w:rPr>
          <w:rFonts w:ascii="Calibri" w:eastAsia="Times New Roman" w:hAnsi="Calibri" w:cs="Times New Roman"/>
          <w:lang w:val="en-GB" w:bidi="he-IL"/>
        </w:rPr>
        <w:t xml:space="preserve">orth of Dammeseq. </w:t>
      </w:r>
      <w:r>
        <w:rPr>
          <w:rFonts w:ascii="Calibri" w:eastAsia="Times New Roman" w:hAnsi="Calibri" w:cs="Times New Roman"/>
          <w:vertAlign w:val="superscript"/>
          <w:lang w:val="en-GB" w:bidi="he-IL"/>
        </w:rPr>
        <w:t>16</w:t>
      </w:r>
      <w:r w:rsidR="0035582E" w:rsidRPr="0035582E">
        <w:rPr>
          <w:rFonts w:ascii="Calibri" w:eastAsia="Times New Roman" w:hAnsi="Calibri" w:cs="Times New Roman"/>
          <w:lang w:val="en-GB" w:bidi="he-IL"/>
        </w:rPr>
        <w:t>He took back all the property</w:t>
      </w:r>
      <w:r w:rsidR="007C2323">
        <w:rPr>
          <w:rFonts w:ascii="Calibri" w:eastAsia="Times New Roman" w:hAnsi="Calibri" w:cs="Times New Roman"/>
          <w:lang w:val="en-GB" w:bidi="he-IL"/>
        </w:rPr>
        <w:t>,</w:t>
      </w:r>
      <w:r w:rsidR="008F09E9">
        <w:rPr>
          <w:rFonts w:ascii="Calibri" w:eastAsia="Times New Roman" w:hAnsi="Calibri" w:cs="Times New Roman"/>
          <w:lang w:val="en-GB" w:bidi="he-IL"/>
        </w:rPr>
        <w:t xml:space="preserve"> and took back both his brother</w:t>
      </w:r>
      <w:r w:rsidR="0035582E" w:rsidRPr="0035582E">
        <w:rPr>
          <w:rFonts w:ascii="Calibri" w:eastAsia="Times New Roman" w:hAnsi="Calibri" w:cs="Times New Roman"/>
          <w:lang w:val="en-GB" w:bidi="he-IL"/>
        </w:rPr>
        <w:t xml:space="preserve"> Lot and his property, and also the wo</w:t>
      </w:r>
      <w:r>
        <w:rPr>
          <w:rFonts w:ascii="Calibri" w:eastAsia="Times New Roman" w:hAnsi="Calibri" w:cs="Times New Roman"/>
          <w:lang w:val="en-GB" w:bidi="he-IL"/>
        </w:rPr>
        <w:t xml:space="preserve">men and the company. </w:t>
      </w:r>
    </w:p>
    <w:p w14:paraId="783BF1CC" w14:textId="0C8AB052" w:rsidR="0035582E" w:rsidRPr="0035582E" w:rsidRDefault="009726D6" w:rsidP="0035582E">
      <w:pPr>
        <w:rPr>
          <w:rFonts w:ascii="Calibri" w:eastAsia="Times New Roman" w:hAnsi="Calibri" w:cs="Times New Roman"/>
          <w:lang w:val="en-GB" w:bidi="he-IL"/>
        </w:rPr>
      </w:pPr>
      <w:r>
        <w:rPr>
          <w:rFonts w:ascii="Calibri" w:eastAsia="Times New Roman" w:hAnsi="Calibri" w:cs="Times New Roman"/>
          <w:vertAlign w:val="superscript"/>
          <w:lang w:val="en-GB" w:bidi="he-IL"/>
        </w:rPr>
        <w:t>17</w:t>
      </w:r>
      <w:r w:rsidR="0035582E" w:rsidRPr="0035582E">
        <w:rPr>
          <w:rFonts w:ascii="Calibri" w:eastAsia="Times New Roman" w:hAnsi="Calibri" w:cs="Times New Roman"/>
          <w:lang w:val="en-GB" w:bidi="he-IL"/>
        </w:rPr>
        <w:t>The king of Sedom went out to meet him after he got back from striking down Kedor</w:t>
      </w:r>
      <w:r w:rsidR="009C4558">
        <w:rPr>
          <w:rFonts w:ascii="Calibri" w:eastAsia="Times New Roman" w:hAnsi="Calibri" w:cs="Times New Roman"/>
          <w:lang w:val="en-GB" w:bidi="he-IL"/>
        </w:rPr>
        <w:t>-</w:t>
      </w:r>
      <w:r w:rsidR="00996562">
        <w:rPr>
          <w:rFonts w:ascii="Calibri" w:eastAsia="Times New Roman" w:hAnsi="Calibri" w:cs="Times New Roman"/>
          <w:lang w:val="en-GB" w:bidi="he-IL"/>
        </w:rPr>
        <w:t>la‘</w:t>
      </w:r>
      <w:r w:rsidR="0035582E" w:rsidRPr="0035582E">
        <w:rPr>
          <w:rFonts w:ascii="Calibri" w:eastAsia="Times New Roman" w:hAnsi="Calibri" w:cs="Times New Roman"/>
          <w:lang w:val="en-GB" w:bidi="he-IL"/>
        </w:rPr>
        <w:t>omer and the kin</w:t>
      </w:r>
      <w:r w:rsidR="00F83E92">
        <w:rPr>
          <w:rFonts w:ascii="Calibri" w:eastAsia="Times New Roman" w:hAnsi="Calibri" w:cs="Times New Roman"/>
          <w:lang w:val="en-GB" w:bidi="he-IL"/>
        </w:rPr>
        <w:t>gs that were with him, in the Š</w:t>
      </w:r>
      <w:r w:rsidR="0035582E" w:rsidRPr="0035582E">
        <w:rPr>
          <w:rFonts w:ascii="Calibri" w:eastAsia="Times New Roman" w:hAnsi="Calibri" w:cs="Times New Roman"/>
          <w:lang w:val="en-GB" w:bidi="he-IL"/>
        </w:rPr>
        <w:t>aveh V</w:t>
      </w:r>
      <w:r>
        <w:rPr>
          <w:rFonts w:ascii="Calibri" w:eastAsia="Times New Roman" w:hAnsi="Calibri" w:cs="Times New Roman"/>
          <w:lang w:val="en-GB" w:bidi="he-IL"/>
        </w:rPr>
        <w:t>ale</w:t>
      </w:r>
      <w:r w:rsidR="00B97399">
        <w:rPr>
          <w:rStyle w:val="FootnoteReference"/>
          <w:rFonts w:ascii="Calibri" w:eastAsia="Times New Roman" w:hAnsi="Calibri" w:cs="Times New Roman"/>
          <w:lang w:val="en-GB" w:bidi="he-IL"/>
        </w:rPr>
        <w:footnoteReference w:id="143"/>
      </w:r>
      <w:r>
        <w:rPr>
          <w:rFonts w:ascii="Calibri" w:eastAsia="Times New Roman" w:hAnsi="Calibri" w:cs="Times New Roman"/>
          <w:lang w:val="en-GB" w:bidi="he-IL"/>
        </w:rPr>
        <w:t xml:space="preserve"> (i.e., the King’s Vale), </w:t>
      </w:r>
      <w:r>
        <w:rPr>
          <w:rFonts w:ascii="Calibri" w:eastAsia="Times New Roman" w:hAnsi="Calibri" w:cs="Times New Roman"/>
          <w:vertAlign w:val="superscript"/>
          <w:lang w:val="en-GB" w:bidi="he-IL"/>
        </w:rPr>
        <w:t>18</w:t>
      </w:r>
      <w:r w:rsidR="00ED58EC">
        <w:rPr>
          <w:rFonts w:ascii="Calibri" w:eastAsia="Times New Roman" w:hAnsi="Calibri" w:cs="Times New Roman"/>
          <w:lang w:val="en-GB" w:bidi="he-IL"/>
        </w:rPr>
        <w:t>and Melki</w:t>
      </w:r>
      <w:r w:rsidR="009C4558">
        <w:rPr>
          <w:rFonts w:ascii="Calibri" w:eastAsia="Times New Roman" w:hAnsi="Calibri" w:cs="Times New Roman"/>
          <w:lang w:val="en-GB" w:bidi="he-IL"/>
        </w:rPr>
        <w:t>-</w:t>
      </w:r>
      <w:r w:rsidR="00ED58EC">
        <w:rPr>
          <w:rFonts w:ascii="Calibri" w:eastAsia="Times New Roman" w:hAnsi="Calibri" w:cs="Times New Roman"/>
          <w:lang w:val="en-GB" w:bidi="he-IL"/>
        </w:rPr>
        <w:t xml:space="preserve">ṣedeq king of </w:t>
      </w:r>
      <w:proofErr w:type="gramStart"/>
      <w:r w:rsidR="00ED58EC">
        <w:rPr>
          <w:rFonts w:ascii="Calibri" w:eastAsia="Times New Roman" w:hAnsi="Calibri" w:cs="Times New Roman"/>
          <w:lang w:val="en-GB" w:bidi="he-IL"/>
        </w:rPr>
        <w:t>Ś</w:t>
      </w:r>
      <w:r w:rsidR="0035582E" w:rsidRPr="0035582E">
        <w:rPr>
          <w:rFonts w:ascii="Calibri" w:eastAsia="Times New Roman" w:hAnsi="Calibri" w:cs="Times New Roman"/>
          <w:lang w:val="en-GB" w:bidi="he-IL"/>
        </w:rPr>
        <w:t>alem</w:t>
      </w:r>
      <w:proofErr w:type="gramEnd"/>
      <w:r w:rsidR="0035582E" w:rsidRPr="0035582E">
        <w:rPr>
          <w:rFonts w:ascii="Calibri" w:eastAsia="Times New Roman" w:hAnsi="Calibri" w:cs="Times New Roman"/>
          <w:lang w:val="en-GB" w:bidi="he-IL"/>
        </w:rPr>
        <w:t xml:space="preserve"> brought out bread and wine (he w</w:t>
      </w:r>
      <w:r>
        <w:rPr>
          <w:rFonts w:ascii="Calibri" w:eastAsia="Times New Roman" w:hAnsi="Calibri" w:cs="Times New Roman"/>
          <w:lang w:val="en-GB" w:bidi="he-IL"/>
        </w:rPr>
        <w:t>as priest</w:t>
      </w:r>
      <w:r w:rsidR="00166FCE">
        <w:rPr>
          <w:rStyle w:val="FootnoteReference"/>
          <w:rFonts w:ascii="Calibri" w:eastAsia="Times New Roman" w:hAnsi="Calibri" w:cs="Times New Roman"/>
          <w:lang w:val="en-GB" w:bidi="he-IL"/>
        </w:rPr>
        <w:footnoteReference w:id="144"/>
      </w:r>
      <w:r w:rsidR="004147D3">
        <w:rPr>
          <w:rFonts w:ascii="Calibri" w:eastAsia="Times New Roman" w:hAnsi="Calibri" w:cs="Times New Roman"/>
          <w:lang w:val="en-GB" w:bidi="he-IL"/>
        </w:rPr>
        <w:t xml:space="preserve"> of El Elyon</w:t>
      </w:r>
      <w:r>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19</w:t>
      </w:r>
      <w:r w:rsidR="007C2323">
        <w:rPr>
          <w:rFonts w:ascii="Calibri" w:eastAsia="Times New Roman" w:hAnsi="Calibri" w:cs="Times New Roman"/>
          <w:lang w:val="en-GB" w:bidi="he-IL"/>
        </w:rPr>
        <w:t>and blessed him:</w:t>
      </w:r>
    </w:p>
    <w:p w14:paraId="2EB81679" w14:textId="77777777" w:rsidR="0035582E" w:rsidRPr="0035582E" w:rsidRDefault="0035582E" w:rsidP="0035582E">
      <w:pPr>
        <w:rPr>
          <w:rFonts w:ascii="Calibri" w:eastAsia="Times New Roman" w:hAnsi="Calibri" w:cs="Times New Roman"/>
          <w:lang w:val="en-GB" w:bidi="he-IL"/>
        </w:rPr>
      </w:pPr>
    </w:p>
    <w:p w14:paraId="6742E111" w14:textId="03DE03F3" w:rsidR="0035582E" w:rsidRPr="0035582E" w:rsidRDefault="0035582E" w:rsidP="0035582E">
      <w:pPr>
        <w:ind w:left="720" w:firstLine="0"/>
        <w:rPr>
          <w:rFonts w:ascii="Calibri" w:eastAsia="Times New Roman" w:hAnsi="Calibri" w:cs="Times New Roman"/>
          <w:lang w:val="en-GB" w:bidi="he-IL"/>
        </w:rPr>
      </w:pPr>
      <w:r w:rsidRPr="0035582E">
        <w:rPr>
          <w:rFonts w:ascii="Calibri" w:eastAsia="Times New Roman" w:hAnsi="Calibri" w:cs="Times New Roman"/>
          <w:lang w:val="en-GB" w:bidi="he-IL"/>
        </w:rPr>
        <w:t xml:space="preserve">Blessed be </w:t>
      </w:r>
      <w:r w:rsidR="00BF4EE8">
        <w:rPr>
          <w:rFonts w:ascii="Calibri" w:eastAsia="Times New Roman" w:hAnsi="Calibri" w:cs="Times New Roman"/>
          <w:lang w:val="en-GB" w:bidi="he-IL"/>
        </w:rPr>
        <w:t>Abram</w:t>
      </w:r>
      <w:r w:rsidR="004147D3">
        <w:rPr>
          <w:rFonts w:ascii="Calibri" w:eastAsia="Times New Roman" w:hAnsi="Calibri" w:cs="Times New Roman"/>
          <w:lang w:val="en-GB" w:bidi="he-IL"/>
        </w:rPr>
        <w:t xml:space="preserve"> by El Elyon</w:t>
      </w:r>
      <w:r w:rsidRPr="0035582E">
        <w:rPr>
          <w:rFonts w:ascii="Calibri" w:eastAsia="Times New Roman" w:hAnsi="Calibri" w:cs="Times New Roman"/>
          <w:lang w:val="en-GB" w:bidi="he-IL"/>
        </w:rPr>
        <w:t xml:space="preserve">, </w:t>
      </w:r>
    </w:p>
    <w:p w14:paraId="0BC14376" w14:textId="77777777" w:rsidR="0035582E" w:rsidRPr="0035582E" w:rsidRDefault="00D71A50" w:rsidP="0035582E">
      <w:pPr>
        <w:ind w:left="720"/>
        <w:rPr>
          <w:rFonts w:ascii="Calibri" w:eastAsia="Times New Roman" w:hAnsi="Calibri" w:cs="Times New Roman"/>
          <w:lang w:val="en-GB" w:bidi="he-IL"/>
        </w:rPr>
      </w:pPr>
      <w:proofErr w:type="gramStart"/>
      <w:r>
        <w:rPr>
          <w:rFonts w:ascii="Calibri" w:eastAsia="Times New Roman" w:hAnsi="Calibri" w:cs="Times New Roman"/>
          <w:lang w:val="en-GB" w:bidi="he-IL"/>
        </w:rPr>
        <w:t>generator</w:t>
      </w:r>
      <w:proofErr w:type="gramEnd"/>
      <w:r w:rsidR="009A2AF2">
        <w:rPr>
          <w:rFonts w:ascii="Calibri" w:eastAsia="Times New Roman" w:hAnsi="Calibri" w:cs="Times New Roman"/>
          <w:lang w:val="en-GB" w:bidi="he-IL"/>
        </w:rPr>
        <w:t xml:space="preserve"> of heavens and </w:t>
      </w:r>
      <w:r w:rsidR="0035582E" w:rsidRPr="0035582E">
        <w:rPr>
          <w:rFonts w:ascii="Calibri" w:eastAsia="Times New Roman" w:hAnsi="Calibri" w:cs="Times New Roman"/>
          <w:lang w:val="en-GB" w:bidi="he-IL"/>
        </w:rPr>
        <w:t xml:space="preserve">earth, </w:t>
      </w:r>
    </w:p>
    <w:p w14:paraId="1045CA21" w14:textId="35980189" w:rsidR="0035582E" w:rsidRPr="0035582E" w:rsidRDefault="009726D6" w:rsidP="0035582E">
      <w:pPr>
        <w:ind w:left="720" w:firstLine="0"/>
        <w:rPr>
          <w:rFonts w:ascii="Calibri" w:eastAsia="Times New Roman" w:hAnsi="Calibri" w:cs="Times New Roman"/>
          <w:lang w:val="en-GB" w:bidi="he-IL"/>
        </w:rPr>
      </w:pPr>
      <w:r>
        <w:rPr>
          <w:rFonts w:ascii="Calibri" w:eastAsia="Times New Roman" w:hAnsi="Calibri" w:cs="Times New Roman"/>
          <w:vertAlign w:val="superscript"/>
          <w:lang w:val="en-GB" w:bidi="he-IL"/>
        </w:rPr>
        <w:t>20</w:t>
      </w:r>
      <w:r w:rsidR="004147D3">
        <w:rPr>
          <w:rFonts w:ascii="Calibri" w:eastAsia="Times New Roman" w:hAnsi="Calibri" w:cs="Times New Roman"/>
          <w:lang w:val="en-GB" w:bidi="he-IL"/>
        </w:rPr>
        <w:t>And El Elyon</w:t>
      </w:r>
      <w:r w:rsidR="0035582E" w:rsidRPr="0035582E">
        <w:rPr>
          <w:rFonts w:ascii="Calibri" w:eastAsia="Times New Roman" w:hAnsi="Calibri" w:cs="Times New Roman"/>
          <w:lang w:val="en-GB" w:bidi="he-IL"/>
        </w:rPr>
        <w:t xml:space="preserve"> be blessed, </w:t>
      </w:r>
    </w:p>
    <w:p w14:paraId="606819AC" w14:textId="5C0DBF19" w:rsidR="0035582E" w:rsidRPr="0035582E" w:rsidRDefault="006E60FC" w:rsidP="0035582E">
      <w:pPr>
        <w:ind w:left="720"/>
        <w:rPr>
          <w:rFonts w:ascii="Calibri" w:eastAsia="Times New Roman" w:hAnsi="Calibri" w:cs="Times New Roman"/>
          <w:lang w:val="en-GB" w:bidi="he-IL"/>
        </w:rPr>
      </w:pPr>
      <w:proofErr w:type="gramStart"/>
      <w:r>
        <w:rPr>
          <w:rFonts w:ascii="Calibri" w:eastAsia="Times New Roman" w:hAnsi="Calibri" w:cs="Times New Roman"/>
          <w:lang w:val="en-GB" w:bidi="he-IL"/>
        </w:rPr>
        <w:t>who</w:t>
      </w:r>
      <w:proofErr w:type="gramEnd"/>
      <w:r>
        <w:rPr>
          <w:rFonts w:ascii="Calibri" w:eastAsia="Times New Roman" w:hAnsi="Calibri" w:cs="Times New Roman"/>
          <w:lang w:val="en-GB" w:bidi="he-IL"/>
        </w:rPr>
        <w:t xml:space="preserve"> has unshield</w:t>
      </w:r>
      <w:r w:rsidR="0035582E" w:rsidRPr="0035582E">
        <w:rPr>
          <w:rFonts w:ascii="Calibri" w:eastAsia="Times New Roman" w:hAnsi="Calibri" w:cs="Times New Roman"/>
          <w:lang w:val="en-GB" w:bidi="he-IL"/>
        </w:rPr>
        <w:t>ed</w:t>
      </w:r>
      <w:r w:rsidR="003D2E82" w:rsidRPr="003D2E82">
        <w:rPr>
          <w:rFonts w:ascii="Calibri" w:eastAsia="Times New Roman" w:hAnsi="Calibri" w:cs="Times New Roman"/>
          <w:vertAlign w:val="superscript"/>
          <w:lang w:bidi="he-IL"/>
        </w:rPr>
        <w:footnoteReference w:id="145"/>
      </w:r>
      <w:r w:rsidR="0035582E" w:rsidRPr="0035582E">
        <w:rPr>
          <w:rFonts w:ascii="Calibri" w:eastAsia="Times New Roman" w:hAnsi="Calibri" w:cs="Times New Roman"/>
          <w:lang w:val="en-GB" w:bidi="he-IL"/>
        </w:rPr>
        <w:t xml:space="preserve"> your attackers into your hand.</w:t>
      </w:r>
    </w:p>
    <w:p w14:paraId="14ADB27B" w14:textId="77777777" w:rsidR="0035582E" w:rsidRPr="0035582E" w:rsidRDefault="0035582E" w:rsidP="0035582E">
      <w:pPr>
        <w:ind w:left="720"/>
        <w:rPr>
          <w:rFonts w:ascii="Calibri" w:eastAsia="Times New Roman" w:hAnsi="Calibri" w:cs="Times New Roman"/>
          <w:lang w:val="en-GB" w:bidi="he-IL"/>
        </w:rPr>
      </w:pPr>
    </w:p>
    <w:p w14:paraId="66A4C7BD" w14:textId="77777777" w:rsidR="009F6B15" w:rsidRDefault="0035582E" w:rsidP="00ED58EC">
      <w:pPr>
        <w:ind w:firstLine="0"/>
        <w:rPr>
          <w:rFonts w:ascii="Calibri" w:eastAsia="Times New Roman" w:hAnsi="Calibri" w:cs="Times New Roman"/>
          <w:szCs w:val="18"/>
          <w:lang w:val="en-GB" w:bidi="he-IL"/>
        </w:rPr>
      </w:pPr>
      <w:r w:rsidRPr="0035582E">
        <w:rPr>
          <w:rFonts w:ascii="Calibri" w:eastAsia="Times New Roman" w:hAnsi="Calibri" w:cs="Times New Roman"/>
          <w:szCs w:val="18"/>
          <w:lang w:val="en-GB" w:bidi="he-IL"/>
        </w:rPr>
        <w:t>He gav</w:t>
      </w:r>
      <w:r w:rsidR="009726D6">
        <w:rPr>
          <w:rFonts w:ascii="Calibri" w:eastAsia="Times New Roman" w:hAnsi="Calibri" w:cs="Times New Roman"/>
          <w:szCs w:val="18"/>
          <w:lang w:val="en-GB" w:bidi="he-IL"/>
        </w:rPr>
        <w:t xml:space="preserve">e him a tenth of everything. </w:t>
      </w:r>
    </w:p>
    <w:p w14:paraId="5A8F7A32" w14:textId="75F62CD5" w:rsidR="0035582E" w:rsidRPr="0035582E" w:rsidRDefault="009726D6" w:rsidP="009F6B15">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21</w:t>
      </w:r>
      <w:r w:rsidR="0035582E" w:rsidRPr="0035582E">
        <w:rPr>
          <w:rFonts w:ascii="Calibri" w:eastAsia="Times New Roman" w:hAnsi="Calibri" w:cs="Times New Roman"/>
          <w:szCs w:val="18"/>
          <w:lang w:val="en-GB" w:bidi="he-IL"/>
        </w:rPr>
        <w:t>Th</w:t>
      </w:r>
      <w:r w:rsidR="00ED58EC">
        <w:rPr>
          <w:rFonts w:ascii="Calibri" w:eastAsia="Times New Roman" w:hAnsi="Calibri" w:cs="Times New Roman"/>
          <w:szCs w:val="18"/>
          <w:lang w:val="en-GB" w:bidi="he-IL"/>
        </w:rPr>
        <w:t xml:space="preserve">e king of Sedom said to </w:t>
      </w:r>
      <w:r w:rsidR="00BF4EE8">
        <w:rPr>
          <w:rFonts w:ascii="Calibri" w:eastAsia="Times New Roman" w:hAnsi="Calibri" w:cs="Times New Roman"/>
          <w:szCs w:val="18"/>
          <w:lang w:val="en-GB" w:bidi="he-IL"/>
        </w:rPr>
        <w:t>Abram</w:t>
      </w:r>
      <w:r w:rsidR="00ED58EC">
        <w:rPr>
          <w:rFonts w:ascii="Calibri" w:eastAsia="Times New Roman" w:hAnsi="Calibri" w:cs="Times New Roman"/>
          <w:szCs w:val="18"/>
          <w:lang w:val="en-GB" w:bidi="he-IL"/>
        </w:rPr>
        <w:t xml:space="preserve">, </w:t>
      </w:r>
      <w:r w:rsidR="003D56BA">
        <w:rPr>
          <w:rFonts w:ascii="Calibri" w:eastAsia="Times New Roman" w:hAnsi="Calibri" w:cs="Times New Roman"/>
          <w:szCs w:val="18"/>
          <w:lang w:val="en-GB" w:bidi="he-IL"/>
        </w:rPr>
        <w:t>“</w:t>
      </w:r>
      <w:r w:rsidR="0035582E" w:rsidRPr="0035582E">
        <w:rPr>
          <w:rFonts w:ascii="Calibri" w:eastAsia="Times New Roman" w:hAnsi="Calibri" w:cs="Times New Roman"/>
          <w:szCs w:val="18"/>
          <w:lang w:val="en-GB" w:bidi="he-IL"/>
        </w:rPr>
        <w:t>Give me the people but take</w:t>
      </w:r>
      <w:r w:rsidR="00ED58EC">
        <w:rPr>
          <w:rFonts w:ascii="Calibri" w:eastAsia="Times New Roman" w:hAnsi="Calibri" w:cs="Times New Roman"/>
          <w:szCs w:val="18"/>
          <w:lang w:val="en-GB" w:bidi="he-IL"/>
        </w:rPr>
        <w:t xml:space="preserve"> the property for yourself</w:t>
      </w:r>
      <w:r>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22</w:t>
      </w:r>
      <w:r w:rsidR="0035582E" w:rsidRPr="0035582E">
        <w:rPr>
          <w:rFonts w:ascii="Calibri" w:eastAsia="Times New Roman" w:hAnsi="Calibri" w:cs="Times New Roman"/>
          <w:szCs w:val="18"/>
          <w:lang w:val="en-GB" w:bidi="he-IL"/>
        </w:rPr>
        <w:t xml:space="preserve">But </w:t>
      </w:r>
      <w:r w:rsidR="00BF4EE8">
        <w:rPr>
          <w:rFonts w:ascii="Calibri" w:eastAsia="Times New Roman" w:hAnsi="Calibri" w:cs="Times New Roman"/>
          <w:szCs w:val="18"/>
          <w:lang w:val="en-GB" w:bidi="he-IL"/>
        </w:rPr>
        <w:t>Abram</w:t>
      </w:r>
      <w:r w:rsidR="00ED58EC">
        <w:rPr>
          <w:rFonts w:ascii="Calibri" w:eastAsia="Times New Roman" w:hAnsi="Calibri" w:cs="Times New Roman"/>
          <w:szCs w:val="18"/>
          <w:lang w:val="en-GB" w:bidi="he-IL"/>
        </w:rPr>
        <w:t xml:space="preserve"> said to the king of Sedom, </w:t>
      </w:r>
      <w:r w:rsidR="003D56BA">
        <w:rPr>
          <w:rFonts w:ascii="Calibri" w:eastAsia="Times New Roman" w:hAnsi="Calibri" w:cs="Times New Roman"/>
          <w:szCs w:val="18"/>
          <w:lang w:val="en-GB" w:bidi="he-IL"/>
        </w:rPr>
        <w:t>“</w:t>
      </w:r>
      <w:r w:rsidR="0035582E" w:rsidRPr="0035582E">
        <w:rPr>
          <w:rFonts w:ascii="Calibri" w:eastAsia="Times New Roman" w:hAnsi="Calibri" w:cs="Times New Roman"/>
          <w:szCs w:val="18"/>
          <w:lang w:val="en-GB" w:bidi="he-IL"/>
        </w:rPr>
        <w:t xml:space="preserve">I </w:t>
      </w:r>
      <w:r w:rsidR="00E92840">
        <w:rPr>
          <w:rFonts w:ascii="Calibri" w:eastAsia="Times New Roman" w:hAnsi="Calibri" w:cs="Times New Roman"/>
          <w:szCs w:val="18"/>
          <w:lang w:val="en-GB" w:bidi="he-IL"/>
        </w:rPr>
        <w:t>am</w:t>
      </w:r>
      <w:r w:rsidR="009A2AF2">
        <w:rPr>
          <w:rFonts w:ascii="Calibri" w:eastAsia="Times New Roman" w:hAnsi="Calibri" w:cs="Times New Roman"/>
          <w:szCs w:val="18"/>
          <w:lang w:val="en-GB" w:bidi="he-IL"/>
        </w:rPr>
        <w:t xml:space="preserve"> </w:t>
      </w:r>
      <w:r w:rsidR="00E92840">
        <w:rPr>
          <w:rFonts w:ascii="Calibri" w:eastAsia="Times New Roman" w:hAnsi="Calibri" w:cs="Times New Roman"/>
          <w:szCs w:val="18"/>
          <w:lang w:val="en-GB" w:bidi="he-IL"/>
        </w:rPr>
        <w:t>raising</w:t>
      </w:r>
      <w:r w:rsidR="0035582E" w:rsidRPr="0035582E">
        <w:rPr>
          <w:rFonts w:ascii="Calibri" w:eastAsia="Times New Roman" w:hAnsi="Calibri" w:cs="Times New Roman"/>
          <w:szCs w:val="18"/>
          <w:lang w:val="en-GB" w:bidi="he-IL"/>
        </w:rPr>
        <w:t xml:space="preserve"> my hand to Yahweh,</w:t>
      </w:r>
      <w:r w:rsidR="009A2AF2">
        <w:rPr>
          <w:rStyle w:val="FootnoteReference"/>
          <w:rFonts w:ascii="Calibri" w:eastAsia="Times New Roman" w:hAnsi="Calibri" w:cs="Times New Roman"/>
          <w:szCs w:val="18"/>
          <w:lang w:val="en-GB" w:bidi="he-IL"/>
        </w:rPr>
        <w:footnoteReference w:id="146"/>
      </w:r>
      <w:r w:rsidR="004147D3">
        <w:rPr>
          <w:rFonts w:ascii="Calibri" w:eastAsia="Times New Roman" w:hAnsi="Calibri" w:cs="Times New Roman"/>
          <w:szCs w:val="18"/>
          <w:lang w:val="en-GB" w:bidi="he-IL"/>
        </w:rPr>
        <w:t xml:space="preserve"> El Elyon</w:t>
      </w:r>
      <w:r w:rsidR="00482B7A">
        <w:rPr>
          <w:rFonts w:ascii="Calibri" w:eastAsia="Times New Roman" w:hAnsi="Calibri" w:cs="Times New Roman"/>
          <w:szCs w:val="18"/>
          <w:lang w:val="en-GB" w:bidi="he-IL"/>
        </w:rPr>
        <w:t>, generator</w:t>
      </w:r>
      <w:r w:rsidR="0035582E" w:rsidRPr="0035582E">
        <w:rPr>
          <w:rFonts w:ascii="Calibri" w:eastAsia="Times New Roman" w:hAnsi="Calibri" w:cs="Times New Roman"/>
          <w:szCs w:val="18"/>
          <w:lang w:val="en-GB" w:bidi="he-IL"/>
        </w:rPr>
        <w:t xml:space="preserve"> o</w:t>
      </w:r>
      <w:r w:rsidR="007C2323">
        <w:rPr>
          <w:rFonts w:ascii="Calibri" w:eastAsia="Times New Roman" w:hAnsi="Calibri" w:cs="Times New Roman"/>
          <w:szCs w:val="18"/>
          <w:lang w:val="en-GB" w:bidi="he-IL"/>
        </w:rPr>
        <w:t xml:space="preserve">f heavens and </w:t>
      </w:r>
      <w:r>
        <w:rPr>
          <w:rFonts w:ascii="Calibri" w:eastAsia="Times New Roman" w:hAnsi="Calibri" w:cs="Times New Roman"/>
          <w:szCs w:val="18"/>
          <w:lang w:val="en-GB" w:bidi="he-IL"/>
        </w:rPr>
        <w:t xml:space="preserve">earth: </w:t>
      </w:r>
      <w:proofErr w:type="gramStart"/>
      <w:r>
        <w:rPr>
          <w:rFonts w:ascii="Calibri" w:eastAsia="Times New Roman" w:hAnsi="Calibri" w:cs="Times New Roman"/>
          <w:szCs w:val="18"/>
          <w:vertAlign w:val="superscript"/>
          <w:lang w:val="en-GB" w:bidi="he-IL"/>
        </w:rPr>
        <w:t>23</w:t>
      </w:r>
      <w:r w:rsidR="00ED58EC">
        <w:rPr>
          <w:rFonts w:ascii="Calibri" w:eastAsia="Times New Roman" w:hAnsi="Calibri" w:cs="Times New Roman"/>
          <w:szCs w:val="18"/>
          <w:lang w:val="en-GB" w:bidi="he-IL"/>
        </w:rPr>
        <w:t>’</w:t>
      </w:r>
      <w:r w:rsidR="0035582E" w:rsidRPr="0035582E">
        <w:rPr>
          <w:rFonts w:ascii="Calibri" w:eastAsia="Times New Roman" w:hAnsi="Calibri" w:cs="Times New Roman"/>
          <w:szCs w:val="18"/>
          <w:lang w:val="en-GB" w:bidi="he-IL"/>
        </w:rPr>
        <w:t>From</w:t>
      </w:r>
      <w:proofErr w:type="gramEnd"/>
      <w:r w:rsidR="0035582E" w:rsidRPr="0035582E">
        <w:rPr>
          <w:rFonts w:ascii="Calibri" w:eastAsia="Times New Roman" w:hAnsi="Calibri" w:cs="Times New Roman"/>
          <w:szCs w:val="18"/>
          <w:lang w:val="en-GB" w:bidi="he-IL"/>
        </w:rPr>
        <w:t xml:space="preserve"> a thread to a boot strap,</w:t>
      </w:r>
      <w:r w:rsidR="00A639CF">
        <w:rPr>
          <w:rStyle w:val="FootnoteReference"/>
          <w:rFonts w:ascii="Calibri" w:eastAsia="Times New Roman" w:hAnsi="Calibri" w:cs="Times New Roman"/>
          <w:szCs w:val="18"/>
          <w:lang w:val="en-GB" w:bidi="he-IL"/>
        </w:rPr>
        <w:footnoteReference w:id="147"/>
      </w:r>
      <w:r w:rsidR="0035582E" w:rsidRPr="0035582E">
        <w:rPr>
          <w:rFonts w:ascii="Calibri" w:eastAsia="Times New Roman" w:hAnsi="Calibri" w:cs="Times New Roman"/>
          <w:szCs w:val="18"/>
          <w:lang w:val="en-GB" w:bidi="he-IL"/>
        </w:rPr>
        <w:t xml:space="preserve"> if </w:t>
      </w:r>
      <w:r w:rsidR="0020450F">
        <w:rPr>
          <w:rFonts w:ascii="Calibri" w:eastAsia="Times New Roman" w:hAnsi="Calibri" w:cs="Times New Roman"/>
          <w:szCs w:val="18"/>
          <w:lang w:val="en-GB" w:bidi="he-IL"/>
        </w:rPr>
        <w:t>I get anything of</w:t>
      </w:r>
      <w:r w:rsidR="00ED58EC">
        <w:rPr>
          <w:rFonts w:ascii="Calibri" w:eastAsia="Times New Roman" w:hAnsi="Calibri" w:cs="Times New Roman"/>
          <w:szCs w:val="18"/>
          <w:lang w:val="en-GB" w:bidi="he-IL"/>
        </w:rPr>
        <w:t xml:space="preserve"> yours….’</w:t>
      </w:r>
      <w:r w:rsidR="007C2323">
        <w:rPr>
          <w:rStyle w:val="FootnoteReference"/>
          <w:rFonts w:ascii="Calibri" w:eastAsia="Times New Roman" w:hAnsi="Calibri" w:cs="Times New Roman"/>
          <w:szCs w:val="18"/>
          <w:lang w:val="en-GB" w:bidi="he-IL"/>
        </w:rPr>
        <w:footnoteReference w:id="148"/>
      </w:r>
      <w:r w:rsidR="00ED58EC">
        <w:rPr>
          <w:rFonts w:ascii="Calibri" w:eastAsia="Times New Roman" w:hAnsi="Calibri" w:cs="Times New Roman"/>
          <w:szCs w:val="18"/>
          <w:lang w:val="en-GB" w:bidi="he-IL"/>
        </w:rPr>
        <w:t xml:space="preserve"> </w:t>
      </w:r>
      <w:r w:rsidR="007C2323">
        <w:rPr>
          <w:rFonts w:ascii="Calibri" w:eastAsia="Times New Roman" w:hAnsi="Calibri" w:cs="Times New Roman"/>
          <w:szCs w:val="18"/>
          <w:lang w:val="en-GB" w:bidi="he-IL"/>
        </w:rPr>
        <w:t>So y</w:t>
      </w:r>
      <w:r w:rsidR="0035582E" w:rsidRPr="0035582E">
        <w:rPr>
          <w:rFonts w:ascii="Calibri" w:eastAsia="Times New Roman" w:hAnsi="Calibri" w:cs="Times New Roman"/>
          <w:szCs w:val="18"/>
          <w:lang w:val="en-GB" w:bidi="he-IL"/>
        </w:rPr>
        <w:t xml:space="preserve">ou will not say, ‘I’m the </w:t>
      </w:r>
      <w:r w:rsidR="00ED58EC">
        <w:rPr>
          <w:rFonts w:ascii="Calibri" w:eastAsia="Times New Roman" w:hAnsi="Calibri" w:cs="Times New Roman"/>
          <w:szCs w:val="18"/>
          <w:lang w:val="en-GB" w:bidi="he-IL"/>
        </w:rPr>
        <w:t xml:space="preserve">one who made </w:t>
      </w:r>
      <w:r w:rsidR="00BF4EE8">
        <w:rPr>
          <w:rFonts w:ascii="Calibri" w:eastAsia="Times New Roman" w:hAnsi="Calibri" w:cs="Times New Roman"/>
          <w:szCs w:val="18"/>
          <w:lang w:val="en-GB" w:bidi="he-IL"/>
        </w:rPr>
        <w:t>Abram</w:t>
      </w:r>
      <w:r w:rsidR="00ED58EC">
        <w:rPr>
          <w:rFonts w:ascii="Calibri" w:eastAsia="Times New Roman" w:hAnsi="Calibri" w:cs="Times New Roman"/>
          <w:szCs w:val="18"/>
          <w:lang w:val="en-GB" w:bidi="he-IL"/>
        </w:rPr>
        <w:t xml:space="preserve"> wealthy</w:t>
      </w:r>
      <w:r>
        <w:rPr>
          <w:rFonts w:ascii="Calibri" w:eastAsia="Times New Roman" w:hAnsi="Calibri" w:cs="Times New Roman"/>
          <w:szCs w:val="18"/>
          <w:lang w:val="en-GB" w:bidi="he-IL"/>
        </w:rPr>
        <w:t>.</w:t>
      </w:r>
      <w:r w:rsidR="00ED58EC">
        <w:rPr>
          <w:rFonts w:ascii="Calibri" w:eastAsia="Times New Roman" w:hAnsi="Calibri" w:cs="Times New Roman"/>
          <w:szCs w:val="18"/>
          <w:lang w:val="en-GB" w:bidi="he-IL"/>
        </w:rPr>
        <w:t>’</w:t>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24</w:t>
      </w:r>
      <w:r w:rsidR="0035582E" w:rsidRPr="0035582E">
        <w:rPr>
          <w:rFonts w:ascii="Calibri" w:eastAsia="Times New Roman" w:hAnsi="Calibri" w:cs="Times New Roman"/>
          <w:szCs w:val="18"/>
          <w:lang w:val="en-GB" w:bidi="he-IL"/>
        </w:rPr>
        <w:t>Not</w:t>
      </w:r>
      <w:r w:rsidR="004D0FE2">
        <w:rPr>
          <w:rFonts w:ascii="Calibri" w:eastAsia="Times New Roman" w:hAnsi="Calibri" w:cs="Times New Roman"/>
          <w:szCs w:val="18"/>
          <w:lang w:val="en-GB" w:bidi="he-IL"/>
        </w:rPr>
        <w:t>hing</w:t>
      </w:r>
      <w:r w:rsidR="0035582E" w:rsidRPr="0035582E">
        <w:rPr>
          <w:rFonts w:ascii="Calibri" w:eastAsia="Times New Roman" w:hAnsi="Calibri" w:cs="Times New Roman"/>
          <w:szCs w:val="18"/>
          <w:lang w:val="en-GB" w:bidi="he-IL"/>
        </w:rPr>
        <w:t xml:space="preserve"> </w:t>
      </w:r>
      <w:r w:rsidR="00E51791">
        <w:rPr>
          <w:rFonts w:ascii="Calibri" w:eastAsia="Times New Roman" w:hAnsi="Calibri" w:cs="Times New Roman"/>
          <w:szCs w:val="18"/>
          <w:lang w:val="en-GB" w:bidi="he-IL"/>
        </w:rPr>
        <w:t>for me,</w:t>
      </w:r>
      <w:r w:rsidR="00D510DA">
        <w:rPr>
          <w:rStyle w:val="FootnoteReference"/>
          <w:rFonts w:ascii="Calibri" w:eastAsia="Times New Roman" w:hAnsi="Calibri" w:cs="Times New Roman"/>
          <w:szCs w:val="18"/>
          <w:lang w:val="en-GB" w:bidi="he-IL"/>
        </w:rPr>
        <w:footnoteReference w:id="149"/>
      </w:r>
      <w:r w:rsidR="00E51791">
        <w:rPr>
          <w:rFonts w:ascii="Calibri" w:eastAsia="Times New Roman" w:hAnsi="Calibri" w:cs="Times New Roman"/>
          <w:szCs w:val="18"/>
          <w:lang w:val="en-GB" w:bidi="he-IL"/>
        </w:rPr>
        <w:t xml:space="preserve"> o</w:t>
      </w:r>
      <w:r w:rsidR="0035582E" w:rsidRPr="0035582E">
        <w:rPr>
          <w:rFonts w:ascii="Calibri" w:eastAsia="Times New Roman" w:hAnsi="Calibri" w:cs="Times New Roman"/>
          <w:szCs w:val="18"/>
          <w:lang w:val="en-GB" w:bidi="he-IL"/>
        </w:rPr>
        <w:t>nly what the boys have eaten, and the share of the m</w:t>
      </w:r>
      <w:r w:rsidR="00ED58EC">
        <w:rPr>
          <w:rFonts w:ascii="Calibri" w:eastAsia="Times New Roman" w:hAnsi="Calibri" w:cs="Times New Roman"/>
          <w:szCs w:val="18"/>
          <w:lang w:val="en-GB" w:bidi="he-IL"/>
        </w:rPr>
        <w:t>en who went with me, Aner, Eš</w:t>
      </w:r>
      <w:r w:rsidR="0035582E" w:rsidRPr="0035582E">
        <w:rPr>
          <w:rFonts w:ascii="Calibri" w:eastAsia="Times New Roman" w:hAnsi="Calibri" w:cs="Times New Roman"/>
          <w:szCs w:val="18"/>
          <w:lang w:val="en-GB" w:bidi="he-IL"/>
        </w:rPr>
        <w:t>kol, and Mamre</w:t>
      </w:r>
      <w:r w:rsidR="00860BA0">
        <w:rPr>
          <w:rFonts w:ascii="Calibri" w:eastAsia="Times New Roman" w:hAnsi="Calibri" w:cs="Times New Roman"/>
          <w:szCs w:val="18"/>
          <w:lang w:val="en-GB" w:bidi="he-IL"/>
        </w:rPr>
        <w:t xml:space="preserve"> – they may</w:t>
      </w:r>
      <w:r w:rsidR="0020450F">
        <w:rPr>
          <w:rFonts w:ascii="Calibri" w:eastAsia="Times New Roman" w:hAnsi="Calibri" w:cs="Times New Roman"/>
          <w:szCs w:val="18"/>
          <w:lang w:val="en-GB" w:bidi="he-IL"/>
        </w:rPr>
        <w:t xml:space="preserve"> get</w:t>
      </w:r>
      <w:r w:rsidR="00ED58EC">
        <w:rPr>
          <w:rFonts w:ascii="Calibri" w:eastAsia="Times New Roman" w:hAnsi="Calibri" w:cs="Times New Roman"/>
          <w:szCs w:val="18"/>
          <w:lang w:val="en-GB" w:bidi="he-IL"/>
        </w:rPr>
        <w:t xml:space="preserve"> their share</w:t>
      </w:r>
      <w:r w:rsidR="0035582E" w:rsidRPr="0035582E">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p>
    <w:p w14:paraId="4D4FB684" w14:textId="77777777" w:rsidR="0035582E" w:rsidRDefault="00141055" w:rsidP="0035582E">
      <w:pPr>
        <w:pStyle w:val="Heading2"/>
        <w:rPr>
          <w:lang w:bidi="he-IL"/>
        </w:rPr>
      </w:pPr>
      <w:r>
        <w:rPr>
          <w:lang w:bidi="he-IL"/>
        </w:rPr>
        <w:t>Interpretation</w:t>
      </w:r>
      <w:r w:rsidR="0035582E">
        <w:rPr>
          <w:lang w:bidi="he-IL"/>
        </w:rPr>
        <w:t xml:space="preserve"> </w:t>
      </w:r>
    </w:p>
    <w:p w14:paraId="0619C471" w14:textId="71212CFE" w:rsidR="00CA31E7" w:rsidRDefault="004A01B0" w:rsidP="00112BFC">
      <w:pPr>
        <w:rPr>
          <w:lang w:bidi="he-IL"/>
        </w:rPr>
      </w:pPr>
      <w:r>
        <w:rPr>
          <w:lang w:bidi="he-IL"/>
        </w:rPr>
        <w:t>Only in this chapter does the Abraham narrative</w:t>
      </w:r>
      <w:r w:rsidR="004D0FE2">
        <w:rPr>
          <w:lang w:bidi="he-IL"/>
        </w:rPr>
        <w:t xml:space="preserve"> refer</w:t>
      </w:r>
      <w:r>
        <w:rPr>
          <w:lang w:bidi="he-IL"/>
        </w:rPr>
        <w:t xml:space="preserve"> to </w:t>
      </w:r>
      <w:r w:rsidR="004101D2">
        <w:rPr>
          <w:lang w:bidi="he-IL"/>
        </w:rPr>
        <w:t>events and n</w:t>
      </w:r>
      <w:r>
        <w:rPr>
          <w:lang w:bidi="he-IL"/>
        </w:rPr>
        <w:t xml:space="preserve">ations </w:t>
      </w:r>
      <w:r w:rsidR="00092858">
        <w:rPr>
          <w:lang w:bidi="he-IL"/>
        </w:rPr>
        <w:t>in the international context</w:t>
      </w:r>
      <w:r w:rsidR="00860BA0">
        <w:rPr>
          <w:lang w:bidi="he-IL"/>
        </w:rPr>
        <w:t>. I</w:t>
      </w:r>
      <w:r>
        <w:rPr>
          <w:lang w:bidi="he-IL"/>
        </w:rPr>
        <w:t xml:space="preserve">n </w:t>
      </w:r>
      <w:r w:rsidR="00860BA0">
        <w:rPr>
          <w:lang w:bidi="he-IL"/>
        </w:rPr>
        <w:t>theory it might enable one</w:t>
      </w:r>
      <w:r>
        <w:rPr>
          <w:lang w:bidi="he-IL"/>
        </w:rPr>
        <w:t xml:space="preserve"> to relate</w:t>
      </w:r>
      <w:r w:rsidR="004D0FE2" w:rsidRPr="004D0FE2">
        <w:rPr>
          <w:lang w:bidi="he-IL"/>
        </w:rPr>
        <w:t xml:space="preserve"> the Genesis narrative t</w:t>
      </w:r>
      <w:r>
        <w:rPr>
          <w:lang w:bidi="he-IL"/>
        </w:rPr>
        <w:t>o a more specific</w:t>
      </w:r>
      <w:r w:rsidR="004D0FE2">
        <w:rPr>
          <w:lang w:bidi="he-IL"/>
        </w:rPr>
        <w:t xml:space="preserve"> context</w:t>
      </w:r>
      <w:r>
        <w:rPr>
          <w:lang w:bidi="he-IL"/>
        </w:rPr>
        <w:t xml:space="preserve"> in the time before Moses</w:t>
      </w:r>
      <w:r w:rsidR="004D0FE2">
        <w:rPr>
          <w:lang w:bidi="he-IL"/>
        </w:rPr>
        <w:t xml:space="preserve">, but actually </w:t>
      </w:r>
      <w:r w:rsidR="004101D2">
        <w:rPr>
          <w:lang w:bidi="he-IL"/>
        </w:rPr>
        <w:t>w</w:t>
      </w:r>
      <w:r w:rsidR="00D87790">
        <w:rPr>
          <w:lang w:bidi="he-IL"/>
        </w:rPr>
        <w:t>e know virtually nothing about the individuals or the peoples involved</w:t>
      </w:r>
      <w:r w:rsidR="004D0FE2">
        <w:rPr>
          <w:lang w:bidi="he-IL"/>
        </w:rPr>
        <w:t xml:space="preserve"> in the story</w:t>
      </w:r>
      <w:r w:rsidR="002E5FC1">
        <w:rPr>
          <w:lang w:bidi="he-IL"/>
        </w:rPr>
        <w:t xml:space="preserve">. It is </w:t>
      </w:r>
      <w:r w:rsidR="003D56BA">
        <w:rPr>
          <w:lang w:bidi="he-IL"/>
        </w:rPr>
        <w:t>“</w:t>
      </w:r>
      <w:r w:rsidR="001D3157">
        <w:rPr>
          <w:lang w:bidi="he-IL"/>
        </w:rPr>
        <w:t>a world of its own.</w:t>
      </w:r>
      <w:r w:rsidR="003D56BA">
        <w:rPr>
          <w:lang w:bidi="he-IL"/>
        </w:rPr>
        <w:t>”</w:t>
      </w:r>
      <w:r w:rsidR="00636D8D">
        <w:rPr>
          <w:rStyle w:val="FootnoteReference"/>
          <w:lang w:bidi="he-IL"/>
        </w:rPr>
        <w:footnoteReference w:id="150"/>
      </w:r>
      <w:r w:rsidR="00636D8D">
        <w:rPr>
          <w:lang w:bidi="he-IL"/>
        </w:rPr>
        <w:t xml:space="preserve"> P</w:t>
      </w:r>
      <w:r w:rsidR="00D87790">
        <w:rPr>
          <w:lang w:bidi="he-IL"/>
        </w:rPr>
        <w:t>resumably the audience suffered from the same ignorance</w:t>
      </w:r>
      <w:r w:rsidR="00D206AF">
        <w:rPr>
          <w:lang w:bidi="he-IL"/>
        </w:rPr>
        <w:t xml:space="preserve">. </w:t>
      </w:r>
      <w:r w:rsidR="00CA31E7">
        <w:rPr>
          <w:lang w:bidi="he-IL"/>
        </w:rPr>
        <w:lastRenderedPageBreak/>
        <w:t>The narrator either had</w:t>
      </w:r>
      <w:r w:rsidR="00130FC1">
        <w:rPr>
          <w:lang w:bidi="he-IL"/>
        </w:rPr>
        <w:t xml:space="preserve"> some </w:t>
      </w:r>
      <w:r w:rsidR="00CA31E7">
        <w:rPr>
          <w:lang w:bidi="he-IL"/>
        </w:rPr>
        <w:t xml:space="preserve">historical </w:t>
      </w:r>
      <w:r w:rsidR="00130FC1">
        <w:rPr>
          <w:lang w:bidi="he-IL"/>
        </w:rPr>
        <w:t>information that we cannot control</w:t>
      </w:r>
      <w:r w:rsidR="00CA31E7">
        <w:rPr>
          <w:lang w:bidi="he-IL"/>
        </w:rPr>
        <w:t>, or created the narrative out of an</w:t>
      </w:r>
      <w:r w:rsidR="00130FC1">
        <w:rPr>
          <w:lang w:bidi="he-IL"/>
        </w:rPr>
        <w:t xml:space="preserve"> inspired imagination to make the story history-like. </w:t>
      </w:r>
    </w:p>
    <w:p w14:paraId="2591D867" w14:textId="1CA01797" w:rsidR="004101D2" w:rsidRDefault="004A01B0" w:rsidP="00112BFC">
      <w:pPr>
        <w:rPr>
          <w:lang w:bidi="he-IL"/>
        </w:rPr>
      </w:pPr>
      <w:r>
        <w:rPr>
          <w:lang w:bidi="he-IL"/>
        </w:rPr>
        <w:t>It i</w:t>
      </w:r>
      <w:r w:rsidR="00D206AF" w:rsidRPr="00D206AF">
        <w:rPr>
          <w:lang w:bidi="he-IL"/>
        </w:rPr>
        <w:t>s a long time before we discover how</w:t>
      </w:r>
      <w:r w:rsidR="00D206AF">
        <w:rPr>
          <w:lang w:bidi="he-IL"/>
        </w:rPr>
        <w:t xml:space="preserve"> the</w:t>
      </w:r>
      <w:r w:rsidR="00D206AF" w:rsidRPr="00D206AF">
        <w:rPr>
          <w:lang w:bidi="he-IL"/>
        </w:rPr>
        <w:t xml:space="preserve"> chapter relates to Abraham. It will turn out that the first ha</w:t>
      </w:r>
      <w:r w:rsidR="00D206AF">
        <w:rPr>
          <w:lang w:bidi="he-IL"/>
        </w:rPr>
        <w:t xml:space="preserve">lf </w:t>
      </w:r>
      <w:r w:rsidR="00D206AF" w:rsidRPr="00D206AF">
        <w:rPr>
          <w:lang w:bidi="he-IL"/>
        </w:rPr>
        <w:t>tells the audience the background to that question, and it is a thrilling story in its own right.</w:t>
      </w:r>
      <w:r w:rsidR="00CA31E7">
        <w:rPr>
          <w:lang w:bidi="he-IL"/>
        </w:rPr>
        <w:t xml:space="preserve"> </w:t>
      </w:r>
      <w:r>
        <w:rPr>
          <w:lang w:bidi="he-IL"/>
        </w:rPr>
        <w:t>W</w:t>
      </w:r>
      <w:r w:rsidR="004101D2">
        <w:rPr>
          <w:lang w:bidi="he-IL"/>
        </w:rPr>
        <w:t xml:space="preserve">e </w:t>
      </w:r>
      <w:r w:rsidR="00CA31E7">
        <w:rPr>
          <w:lang w:bidi="he-IL"/>
        </w:rPr>
        <w:t xml:space="preserve">first </w:t>
      </w:r>
      <w:r w:rsidR="004101D2">
        <w:rPr>
          <w:lang w:bidi="he-IL"/>
        </w:rPr>
        <w:t>enjoy reading about a rebellion on the part of the city-states down in the Jordan Valley against thei</w:t>
      </w:r>
      <w:r w:rsidR="000B7633">
        <w:rPr>
          <w:lang w:bidi="he-IL"/>
        </w:rPr>
        <w:t xml:space="preserve">r overlords from the far </w:t>
      </w:r>
      <w:r w:rsidR="00CA31E7">
        <w:rPr>
          <w:lang w:bidi="he-IL"/>
        </w:rPr>
        <w:t xml:space="preserve">north and </w:t>
      </w:r>
      <w:r w:rsidR="004101D2">
        <w:rPr>
          <w:lang w:bidi="he-IL"/>
        </w:rPr>
        <w:t>east, about an expedition on the part of the latter to put the city-states in their place, and about a battle which ends with the kings of Sodom and Gomorrah hiding in bitumen pits and with the eastern kings taking much plunder. Woo hoo!</w:t>
      </w:r>
      <w:r w:rsidR="00750AD5">
        <w:rPr>
          <w:lang w:bidi="he-IL"/>
        </w:rPr>
        <w:t xml:space="preserve"> </w:t>
      </w:r>
      <w:r>
        <w:rPr>
          <w:lang w:bidi="he-IL"/>
        </w:rPr>
        <w:t>This entertaining story</w:t>
      </w:r>
      <w:r w:rsidR="00CC2226">
        <w:rPr>
          <w:lang w:bidi="he-IL"/>
        </w:rPr>
        <w:t xml:space="preserve"> could be complete in its own right</w:t>
      </w:r>
      <w:r>
        <w:rPr>
          <w:lang w:bidi="he-IL"/>
        </w:rPr>
        <w:t>, but</w:t>
      </w:r>
      <w:r w:rsidR="00CC2226">
        <w:rPr>
          <w:lang w:bidi="he-IL"/>
        </w:rPr>
        <w:t xml:space="preserve"> as</w:t>
      </w:r>
      <w:r w:rsidR="00035778">
        <w:rPr>
          <w:lang w:bidi="he-IL"/>
        </w:rPr>
        <w:t xml:space="preserve"> </w:t>
      </w:r>
      <w:r w:rsidR="00CA31E7">
        <w:rPr>
          <w:lang w:bidi="he-IL"/>
        </w:rPr>
        <w:t xml:space="preserve">the </w:t>
      </w:r>
      <w:r w:rsidR="00035778">
        <w:rPr>
          <w:lang w:bidi="he-IL"/>
        </w:rPr>
        <w:t>intro</w:t>
      </w:r>
      <w:r w:rsidR="00CA31E7">
        <w:rPr>
          <w:lang w:bidi="he-IL"/>
        </w:rPr>
        <w:t>duction to what follows it functions</w:t>
      </w:r>
      <w:r w:rsidR="00035778">
        <w:rPr>
          <w:lang w:bidi="he-IL"/>
        </w:rPr>
        <w:t xml:space="preserve"> </w:t>
      </w:r>
      <w:r w:rsidR="00CA31E7">
        <w:rPr>
          <w:lang w:bidi="he-IL"/>
        </w:rPr>
        <w:t xml:space="preserve">dramatically </w:t>
      </w:r>
      <w:r w:rsidR="00CC2226">
        <w:rPr>
          <w:lang w:bidi="he-IL"/>
        </w:rPr>
        <w:t xml:space="preserve">as </w:t>
      </w:r>
      <w:r w:rsidR="00035778">
        <w:rPr>
          <w:lang w:bidi="he-IL"/>
        </w:rPr>
        <w:t xml:space="preserve">a </w:t>
      </w:r>
      <w:r w:rsidR="00CA31E7">
        <w:rPr>
          <w:lang w:bidi="he-IL"/>
        </w:rPr>
        <w:t>long raising of suspense</w:t>
      </w:r>
      <w:r w:rsidR="00750AD5">
        <w:rPr>
          <w:lang w:bidi="he-IL"/>
        </w:rPr>
        <w:t>.</w:t>
      </w:r>
      <w:r w:rsidR="00035778">
        <w:rPr>
          <w:lang w:bidi="he-IL"/>
        </w:rPr>
        <w:t xml:space="preserve"> </w:t>
      </w:r>
      <w:r>
        <w:rPr>
          <w:lang w:bidi="he-IL"/>
        </w:rPr>
        <w:t>I</w:t>
      </w:r>
      <w:r w:rsidR="00CC2226">
        <w:rPr>
          <w:lang w:bidi="he-IL"/>
        </w:rPr>
        <w:t>t</w:t>
      </w:r>
      <w:r w:rsidR="00CA31E7">
        <w:rPr>
          <w:lang w:bidi="he-IL"/>
        </w:rPr>
        <w:t>s</w:t>
      </w:r>
      <w:r w:rsidR="00CC7BA4">
        <w:rPr>
          <w:lang w:bidi="he-IL"/>
        </w:rPr>
        <w:t xml:space="preserve"> links with Gen 10 and specifically with the Nimrod story</w:t>
      </w:r>
      <w:r w:rsidR="00CC2226">
        <w:rPr>
          <w:lang w:bidi="he-IL"/>
        </w:rPr>
        <w:t xml:space="preserve"> (</w:t>
      </w:r>
      <w:r w:rsidR="00D1323C">
        <w:rPr>
          <w:lang w:bidi="he-IL"/>
        </w:rPr>
        <w:t>as king of Shinar</w:t>
      </w:r>
      <w:r w:rsidR="00CC2226">
        <w:rPr>
          <w:lang w:bidi="he-IL"/>
        </w:rPr>
        <w:t>,</w:t>
      </w:r>
      <w:r w:rsidR="00996562">
        <w:rPr>
          <w:lang w:bidi="he-IL"/>
        </w:rPr>
        <w:t xml:space="preserve"> Amrap</w:t>
      </w:r>
      <w:r w:rsidR="00AA4580">
        <w:rPr>
          <w:lang w:bidi="he-IL"/>
        </w:rPr>
        <w:t xml:space="preserve">el </w:t>
      </w:r>
      <w:r w:rsidR="00D1323C">
        <w:rPr>
          <w:lang w:bidi="he-IL"/>
        </w:rPr>
        <w:t>h</w:t>
      </w:r>
      <w:r w:rsidR="00CC2226">
        <w:rPr>
          <w:lang w:bidi="he-IL"/>
        </w:rPr>
        <w:t>as been identified with Nimrod)</w:t>
      </w:r>
      <w:r w:rsidR="00D1323C">
        <w:rPr>
          <w:rStyle w:val="FootnoteReference"/>
          <w:lang w:bidi="he-IL"/>
        </w:rPr>
        <w:footnoteReference w:id="151"/>
      </w:r>
      <w:r w:rsidR="00CC2226">
        <w:rPr>
          <w:lang w:bidi="he-IL"/>
        </w:rPr>
        <w:t xml:space="preserve"> suggest that it reaffirms Yahweh’s involvement </w:t>
      </w:r>
      <w:r w:rsidR="00D1323C">
        <w:rPr>
          <w:lang w:bidi="he-IL"/>
        </w:rPr>
        <w:t>with development</w:t>
      </w:r>
      <w:r w:rsidR="001F4FD9">
        <w:rPr>
          <w:lang w:bidi="he-IL"/>
        </w:rPr>
        <w:t>s in the affairs of the nations.</w:t>
      </w:r>
      <w:r w:rsidR="00D1323C">
        <w:rPr>
          <w:rStyle w:val="FootnoteReference"/>
          <w:lang w:bidi="he-IL"/>
        </w:rPr>
        <w:footnoteReference w:id="152"/>
      </w:r>
    </w:p>
    <w:p w14:paraId="6727A77B" w14:textId="77777777" w:rsidR="00035778" w:rsidRDefault="00035778" w:rsidP="00EF3833">
      <w:pPr>
        <w:rPr>
          <w:lang w:bidi="he-IL"/>
        </w:rPr>
      </w:pPr>
      <w:r>
        <w:rPr>
          <w:lang w:bidi="he-IL"/>
        </w:rPr>
        <w:t>T</w:t>
      </w:r>
      <w:r w:rsidR="005E3C84">
        <w:rPr>
          <w:lang w:bidi="he-IL"/>
        </w:rPr>
        <w:t xml:space="preserve">he element in the story that brings it into </w:t>
      </w:r>
      <w:r w:rsidR="000B7633">
        <w:rPr>
          <w:lang w:bidi="he-IL"/>
        </w:rPr>
        <w:t xml:space="preserve">connection with the </w:t>
      </w:r>
      <w:r w:rsidR="00CC2226">
        <w:rPr>
          <w:lang w:bidi="he-IL"/>
        </w:rPr>
        <w:t>Abraham narrative</w:t>
      </w:r>
      <w:r w:rsidR="000B7633">
        <w:rPr>
          <w:lang w:bidi="he-IL"/>
        </w:rPr>
        <w:t xml:space="preserve"> </w:t>
      </w:r>
      <w:r w:rsidR="005E3C84">
        <w:rPr>
          <w:lang w:bidi="he-IL"/>
        </w:rPr>
        <w:t>(vv. 12-16)</w:t>
      </w:r>
      <w:r w:rsidR="00750AD5">
        <w:rPr>
          <w:lang w:bidi="he-IL"/>
        </w:rPr>
        <w:t>, and specifica</w:t>
      </w:r>
      <w:r>
        <w:rPr>
          <w:lang w:bidi="he-IL"/>
        </w:rPr>
        <w:t>lly with</w:t>
      </w:r>
      <w:r w:rsidR="00750AD5">
        <w:rPr>
          <w:lang w:bidi="he-IL"/>
        </w:rPr>
        <w:t xml:space="preserve"> Gen 13</w:t>
      </w:r>
      <w:r>
        <w:rPr>
          <w:lang w:bidi="he-IL"/>
        </w:rPr>
        <w:t>, is that t</w:t>
      </w:r>
      <w:r w:rsidR="000B7633">
        <w:rPr>
          <w:lang w:bidi="he-IL"/>
        </w:rPr>
        <w:t>he overlords</w:t>
      </w:r>
      <w:r w:rsidR="004101D2">
        <w:rPr>
          <w:lang w:bidi="he-IL"/>
        </w:rPr>
        <w:t xml:space="preserve"> </w:t>
      </w:r>
      <w:r w:rsidR="001F4FD9">
        <w:rPr>
          <w:lang w:bidi="he-IL"/>
        </w:rPr>
        <w:t>also took Lot. S</w:t>
      </w:r>
      <w:r w:rsidR="005E3C84">
        <w:rPr>
          <w:lang w:bidi="he-IL"/>
        </w:rPr>
        <w:t>erves him right</w:t>
      </w:r>
      <w:r w:rsidR="000B7633">
        <w:rPr>
          <w:lang w:bidi="he-IL"/>
        </w:rPr>
        <w:t xml:space="preserve">, because he is </w:t>
      </w:r>
      <w:r w:rsidR="00CC2226">
        <w:rPr>
          <w:lang w:bidi="he-IL"/>
        </w:rPr>
        <w:t xml:space="preserve">now </w:t>
      </w:r>
      <w:r w:rsidR="00750AD5">
        <w:rPr>
          <w:lang w:bidi="he-IL"/>
        </w:rPr>
        <w:t xml:space="preserve">not merely encamped near Sodom but living </w:t>
      </w:r>
      <w:r w:rsidR="00CC2226">
        <w:rPr>
          <w:lang w:bidi="he-IL"/>
        </w:rPr>
        <w:t xml:space="preserve">in Sodom! As happened in Gen 12—13, however, Abraham </w:t>
      </w:r>
      <w:r w:rsidR="005E3C84">
        <w:rPr>
          <w:lang w:bidi="he-IL"/>
        </w:rPr>
        <w:t xml:space="preserve">sees this crisis </w:t>
      </w:r>
      <w:r w:rsidR="001F4FD9">
        <w:rPr>
          <w:lang w:bidi="he-IL"/>
        </w:rPr>
        <w:t>as requiring</w:t>
      </w:r>
      <w:r w:rsidR="00CC2226">
        <w:rPr>
          <w:lang w:bidi="he-IL"/>
        </w:rPr>
        <w:t xml:space="preserve"> action. He pursues the four</w:t>
      </w:r>
      <w:r w:rsidR="005E3C84">
        <w:rPr>
          <w:lang w:bidi="he-IL"/>
        </w:rPr>
        <w:t xml:space="preserve"> kings with his citizen’s army, defeats them, and rescues </w:t>
      </w:r>
      <w:r w:rsidR="000B7633">
        <w:rPr>
          <w:lang w:bidi="he-IL"/>
        </w:rPr>
        <w:t>L</w:t>
      </w:r>
      <w:r>
        <w:rPr>
          <w:lang w:bidi="he-IL"/>
        </w:rPr>
        <w:t xml:space="preserve">ot and the rest </w:t>
      </w:r>
      <w:r w:rsidR="00CC2226">
        <w:rPr>
          <w:lang w:bidi="he-IL"/>
        </w:rPr>
        <w:t>of the plunder. The story thus</w:t>
      </w:r>
      <w:r>
        <w:rPr>
          <w:lang w:bidi="he-IL"/>
        </w:rPr>
        <w:t xml:space="preserve"> portrays</w:t>
      </w:r>
      <w:r w:rsidR="000B7633">
        <w:rPr>
          <w:lang w:bidi="he-IL"/>
        </w:rPr>
        <w:t xml:space="preserve"> Abraham as </w:t>
      </w:r>
      <w:r w:rsidR="00CC2226">
        <w:rPr>
          <w:lang w:bidi="he-IL"/>
        </w:rPr>
        <w:t>more dyn</w:t>
      </w:r>
      <w:r w:rsidR="001F4FD9">
        <w:rPr>
          <w:lang w:bidi="he-IL"/>
        </w:rPr>
        <w:t>amic than he was in Gen 12—13, indeed</w:t>
      </w:r>
      <w:r w:rsidR="00CC2226">
        <w:rPr>
          <w:lang w:bidi="he-IL"/>
        </w:rPr>
        <w:t xml:space="preserve"> as </w:t>
      </w:r>
      <w:r w:rsidR="000B7633">
        <w:rPr>
          <w:lang w:bidi="he-IL"/>
        </w:rPr>
        <w:t>the kind of figure we read about in Judges.</w:t>
      </w:r>
      <w:r w:rsidR="000B7633">
        <w:rPr>
          <w:rStyle w:val="FootnoteReference"/>
          <w:lang w:bidi="he-IL"/>
        </w:rPr>
        <w:footnoteReference w:id="153"/>
      </w:r>
      <w:r w:rsidR="00CC2226">
        <w:rPr>
          <w:lang w:bidi="he-IL"/>
        </w:rPr>
        <w:t xml:space="preserve"> H</w:t>
      </w:r>
      <w:r>
        <w:rPr>
          <w:lang w:bidi="he-IL"/>
        </w:rPr>
        <w:t>is triumphant return</w:t>
      </w:r>
      <w:r w:rsidR="00A65316">
        <w:rPr>
          <w:lang w:bidi="he-IL"/>
        </w:rPr>
        <w:t xml:space="preserve"> would have made a</w:t>
      </w:r>
      <w:r w:rsidR="00CC2226">
        <w:rPr>
          <w:lang w:bidi="he-IL"/>
        </w:rPr>
        <w:t>nother</w:t>
      </w:r>
      <w:r w:rsidR="00A65316">
        <w:rPr>
          <w:lang w:bidi="he-IL"/>
        </w:rPr>
        <w:t xml:space="preserve"> satisfac</w:t>
      </w:r>
      <w:r w:rsidR="00CC2226">
        <w:rPr>
          <w:lang w:bidi="he-IL"/>
        </w:rPr>
        <w:t xml:space="preserve">tory ending to the story, though </w:t>
      </w:r>
      <w:r w:rsidR="00A65316">
        <w:rPr>
          <w:lang w:bidi="he-IL"/>
        </w:rPr>
        <w:t>one might have expected Abra</w:t>
      </w:r>
      <w:r w:rsidR="000B7633">
        <w:rPr>
          <w:lang w:bidi="he-IL"/>
        </w:rPr>
        <w:t>ha</w:t>
      </w:r>
      <w:r w:rsidR="00A65316">
        <w:rPr>
          <w:lang w:bidi="he-IL"/>
        </w:rPr>
        <w:t xml:space="preserve">m to call on Yahweh’s name if not to build an altar down in Sodom (cf. 12:7, 8; 13:4, 18). </w:t>
      </w:r>
    </w:p>
    <w:p w14:paraId="7750FF22" w14:textId="33EEBF62" w:rsidR="00EF3833" w:rsidRDefault="00CC2226" w:rsidP="00EF3833">
      <w:pPr>
        <w:rPr>
          <w:lang w:bidi="he-IL"/>
        </w:rPr>
      </w:pPr>
      <w:r>
        <w:rPr>
          <w:lang w:bidi="he-IL"/>
        </w:rPr>
        <w:t>W</w:t>
      </w:r>
      <w:r w:rsidR="00A65316">
        <w:rPr>
          <w:lang w:bidi="he-IL"/>
        </w:rPr>
        <w:t>e do get somet</w:t>
      </w:r>
      <w:r w:rsidR="000B7633">
        <w:rPr>
          <w:lang w:bidi="he-IL"/>
        </w:rPr>
        <w:t>hing equivalent to such a conclusion</w:t>
      </w:r>
      <w:r w:rsidR="00035778">
        <w:rPr>
          <w:lang w:bidi="he-IL"/>
        </w:rPr>
        <w:t xml:space="preserve"> (vv. 17-24)</w:t>
      </w:r>
      <w:r w:rsidR="000B7633">
        <w:rPr>
          <w:lang w:bidi="he-IL"/>
        </w:rPr>
        <w:t>, though</w:t>
      </w:r>
      <w:r w:rsidR="00A65316">
        <w:rPr>
          <w:lang w:bidi="he-IL"/>
        </w:rPr>
        <w:t xml:space="preserve"> it takes a distinctive form. </w:t>
      </w:r>
      <w:r w:rsidR="000B7633">
        <w:rPr>
          <w:lang w:bidi="he-IL"/>
        </w:rPr>
        <w:t>When Abraham returns for his victory parade, t</w:t>
      </w:r>
      <w:r w:rsidR="00A65316">
        <w:rPr>
          <w:lang w:bidi="he-IL"/>
        </w:rPr>
        <w:t>he greetings party c</w:t>
      </w:r>
      <w:r w:rsidR="000B7633">
        <w:rPr>
          <w:lang w:bidi="he-IL"/>
        </w:rPr>
        <w:t>omprises not only the king of So</w:t>
      </w:r>
      <w:r w:rsidR="00A65316">
        <w:rPr>
          <w:lang w:bidi="he-IL"/>
        </w:rPr>
        <w:t>dom (who has had a shower in the Dead Sea</w:t>
      </w:r>
      <w:r>
        <w:rPr>
          <w:lang w:bidi="he-IL"/>
        </w:rPr>
        <w:t>, though</w:t>
      </w:r>
      <w:r w:rsidR="000B7633">
        <w:rPr>
          <w:lang w:bidi="he-IL"/>
        </w:rPr>
        <w:t xml:space="preserve"> it </w:t>
      </w:r>
      <w:r>
        <w:rPr>
          <w:lang w:bidi="he-IL"/>
        </w:rPr>
        <w:t>has</w:t>
      </w:r>
      <w:r w:rsidR="00A65316">
        <w:rPr>
          <w:lang w:bidi="he-IL"/>
        </w:rPr>
        <w:t xml:space="preserve">n’t stop him smelling of bitumen) but </w:t>
      </w:r>
      <w:r w:rsidR="00E6294B">
        <w:rPr>
          <w:lang w:bidi="he-IL"/>
        </w:rPr>
        <w:t xml:space="preserve">also </w:t>
      </w:r>
      <w:r w:rsidR="000B7633">
        <w:rPr>
          <w:lang w:bidi="he-IL"/>
        </w:rPr>
        <w:t xml:space="preserve">the king of Salem. </w:t>
      </w:r>
      <w:r w:rsidR="00D64987">
        <w:rPr>
          <w:lang w:bidi="he-IL"/>
        </w:rPr>
        <w:t xml:space="preserve">Presumably the scene is </w:t>
      </w:r>
      <w:r w:rsidR="00E31737">
        <w:rPr>
          <w:lang w:bidi="he-IL"/>
        </w:rPr>
        <w:t xml:space="preserve">therefore </w:t>
      </w:r>
      <w:r w:rsidR="00D64987">
        <w:rPr>
          <w:lang w:bidi="he-IL"/>
        </w:rPr>
        <w:t>on the mountain ridge where Melchizedek lives and where Abraham is on his way home</w:t>
      </w:r>
      <w:r w:rsidR="00E31737">
        <w:rPr>
          <w:lang w:bidi="he-IL"/>
        </w:rPr>
        <w:t xml:space="preserve"> to Mamre</w:t>
      </w:r>
      <w:r w:rsidR="00D64987">
        <w:rPr>
          <w:lang w:bidi="he-IL"/>
        </w:rPr>
        <w:t xml:space="preserve">. </w:t>
      </w:r>
      <w:r w:rsidR="000B7633">
        <w:rPr>
          <w:lang w:bidi="he-IL"/>
        </w:rPr>
        <w:t>As</w:t>
      </w:r>
      <w:r w:rsidR="00A65316">
        <w:rPr>
          <w:lang w:bidi="he-IL"/>
        </w:rPr>
        <w:t xml:space="preserve"> a priest</w:t>
      </w:r>
      <w:r w:rsidR="00D64987">
        <w:rPr>
          <w:lang w:bidi="he-IL"/>
        </w:rPr>
        <w:t>, Melchizedek</w:t>
      </w:r>
      <w:r w:rsidR="000B7633">
        <w:rPr>
          <w:lang w:bidi="he-IL"/>
        </w:rPr>
        <w:t xml:space="preserve"> can </w:t>
      </w:r>
      <w:r w:rsidR="00A65316">
        <w:rPr>
          <w:lang w:bidi="he-IL"/>
        </w:rPr>
        <w:t>bless Abraham</w:t>
      </w:r>
      <w:r w:rsidR="000B7633">
        <w:rPr>
          <w:lang w:bidi="he-IL"/>
        </w:rPr>
        <w:t xml:space="preserve"> and bless the God who has given Abraham the victory</w:t>
      </w:r>
      <w:r w:rsidR="00A65316">
        <w:rPr>
          <w:lang w:bidi="he-IL"/>
        </w:rPr>
        <w:t xml:space="preserve">. </w:t>
      </w:r>
      <w:r w:rsidR="00D64987">
        <w:rPr>
          <w:lang w:bidi="he-IL"/>
        </w:rPr>
        <w:t>He thus brings a first fu</w:t>
      </w:r>
      <w:r w:rsidR="001F4FD9">
        <w:rPr>
          <w:lang w:bidi="he-IL"/>
        </w:rPr>
        <w:t xml:space="preserve">lfillment of the promise in </w:t>
      </w:r>
      <w:r w:rsidR="00D64987">
        <w:rPr>
          <w:lang w:bidi="he-IL"/>
        </w:rPr>
        <w:t xml:space="preserve">12:2-3 that there will be people who bless Abraham—indeed, of the promise that his name will be great and of people finding blessing through him. </w:t>
      </w:r>
      <w:r w:rsidR="00E6294B">
        <w:rPr>
          <w:lang w:bidi="he-IL"/>
        </w:rPr>
        <w:t>Abraham therefore gives him</w:t>
      </w:r>
      <w:r w:rsidR="000B7633">
        <w:rPr>
          <w:lang w:bidi="he-IL"/>
        </w:rPr>
        <w:t>, as God’s representative,</w:t>
      </w:r>
      <w:r w:rsidR="00E6294B">
        <w:rPr>
          <w:lang w:bidi="he-IL"/>
        </w:rPr>
        <w:t xml:space="preserve"> a tithe of the plunder from the battle</w:t>
      </w:r>
      <w:r w:rsidR="00B47B09">
        <w:rPr>
          <w:lang w:bidi="he-IL"/>
        </w:rPr>
        <w:t>, though not without nuancing Melchizedek’s description of the deity</w:t>
      </w:r>
      <w:r w:rsidR="00E6294B">
        <w:rPr>
          <w:lang w:bidi="he-IL"/>
        </w:rPr>
        <w:t xml:space="preserve">. The king of Sodom invites him to keep the rest </w:t>
      </w:r>
      <w:r w:rsidR="00E91B73">
        <w:rPr>
          <w:lang w:bidi="he-IL"/>
        </w:rPr>
        <w:t>of the plunder;</w:t>
      </w:r>
      <w:r w:rsidR="00E91B73" w:rsidRPr="00E91B73">
        <w:rPr>
          <w:lang w:bidi="he-IL"/>
        </w:rPr>
        <w:t xml:space="preserve"> </w:t>
      </w:r>
      <w:r w:rsidR="001F4FD9">
        <w:rPr>
          <w:lang w:bidi="he-IL"/>
        </w:rPr>
        <w:t>the king</w:t>
      </w:r>
      <w:r w:rsidR="00E91B73">
        <w:rPr>
          <w:lang w:bidi="he-IL"/>
        </w:rPr>
        <w:t xml:space="preserve"> </w:t>
      </w:r>
      <w:r w:rsidR="00E91B73" w:rsidRPr="00E91B73">
        <w:rPr>
          <w:lang w:bidi="he-IL"/>
        </w:rPr>
        <w:t>has been seen as surly,</w:t>
      </w:r>
      <w:r w:rsidR="00E91B73" w:rsidRPr="00E91B73">
        <w:rPr>
          <w:vertAlign w:val="superscript"/>
          <w:lang w:bidi="he-IL"/>
        </w:rPr>
        <w:footnoteReference w:id="154"/>
      </w:r>
      <w:r w:rsidR="00E91B73" w:rsidRPr="00E91B73">
        <w:rPr>
          <w:lang w:bidi="he-IL"/>
        </w:rPr>
        <w:t xml:space="preserve"> which would make him an embodiment of the person who </w:t>
      </w:r>
      <w:r w:rsidR="003D56BA">
        <w:rPr>
          <w:lang w:bidi="he-IL"/>
        </w:rPr>
        <w:t>“</w:t>
      </w:r>
      <w:r w:rsidR="00E91B73" w:rsidRPr="00E91B73">
        <w:rPr>
          <w:lang w:bidi="he-IL"/>
        </w:rPr>
        <w:t>diminishes</w:t>
      </w:r>
      <w:r w:rsidR="003D56BA">
        <w:rPr>
          <w:lang w:bidi="he-IL"/>
        </w:rPr>
        <w:t>”</w:t>
      </w:r>
      <w:r w:rsidR="00E91B73" w:rsidRPr="00E91B73">
        <w:rPr>
          <w:lang w:bidi="he-IL"/>
        </w:rPr>
        <w:t xml:space="preserve"> Abraham in 12:2-3, but he can as easily be seen as also positively recognizing Abraham</w:t>
      </w:r>
      <w:r w:rsidR="00E91B73" w:rsidRPr="00E91B73">
        <w:rPr>
          <w:vertAlign w:val="superscript"/>
          <w:lang w:bidi="he-IL"/>
        </w:rPr>
        <w:footnoteReference w:id="155"/>
      </w:r>
      <w:r w:rsidR="00E91B73" w:rsidRPr="00E91B73">
        <w:rPr>
          <w:lang w:bidi="he-IL"/>
        </w:rPr>
        <w:t xml:space="preserve"> and thus as another positive fulfillment of that promise. </w:t>
      </w:r>
      <w:r w:rsidR="00E91B73">
        <w:rPr>
          <w:lang w:bidi="he-IL"/>
        </w:rPr>
        <w:t>B</w:t>
      </w:r>
      <w:r w:rsidR="00D64987">
        <w:rPr>
          <w:lang w:bidi="he-IL"/>
        </w:rPr>
        <w:t>ut Abraham declines, not</w:t>
      </w:r>
      <w:r w:rsidR="00E6294B">
        <w:rPr>
          <w:lang w:bidi="he-IL"/>
        </w:rPr>
        <w:t xml:space="preserve"> want</w:t>
      </w:r>
      <w:r w:rsidR="00D64987">
        <w:rPr>
          <w:lang w:bidi="he-IL"/>
        </w:rPr>
        <w:t>ing</w:t>
      </w:r>
      <w:r w:rsidR="00E6294B">
        <w:rPr>
          <w:lang w:bidi="he-IL"/>
        </w:rPr>
        <w:t xml:space="preserve"> to be in hock to the king of Sodom.</w:t>
      </w:r>
      <w:r w:rsidR="000B7633">
        <w:rPr>
          <w:lang w:bidi="he-IL"/>
        </w:rPr>
        <w:t xml:space="preserve"> </w:t>
      </w:r>
      <w:r w:rsidR="00B47B09">
        <w:rPr>
          <w:lang w:bidi="he-IL"/>
        </w:rPr>
        <w:t>One can imagine that the story spoke to the trickiness and necessary subtlety of relationships with neighbors and their religion and theology</w:t>
      </w:r>
      <w:r w:rsidR="00D64987">
        <w:rPr>
          <w:lang w:bidi="he-IL"/>
        </w:rPr>
        <w:t xml:space="preserve"> in Israel</w:t>
      </w:r>
      <w:r w:rsidR="00EF3833">
        <w:rPr>
          <w:lang w:bidi="he-IL"/>
        </w:rPr>
        <w:t xml:space="preserve">. </w:t>
      </w:r>
      <w:r w:rsidR="004721D9">
        <w:rPr>
          <w:lang w:bidi="he-IL"/>
        </w:rPr>
        <w:t>In addition, the audience knows that the Davidic king is the successor of Melchizedek (Ps 110:4, the only other First Testament reference to him).</w:t>
      </w:r>
      <w:r w:rsidR="000D2654">
        <w:rPr>
          <w:rStyle w:val="FootnoteReference"/>
          <w:lang w:bidi="he-IL"/>
        </w:rPr>
        <w:footnoteReference w:id="156"/>
      </w:r>
      <w:r w:rsidR="00024738">
        <w:rPr>
          <w:lang w:bidi="he-IL"/>
        </w:rPr>
        <w:t xml:space="preserve"> Abraham is </w:t>
      </w:r>
      <w:r w:rsidR="003D56BA">
        <w:rPr>
          <w:lang w:bidi="he-IL"/>
        </w:rPr>
        <w:t>“</w:t>
      </w:r>
      <w:r w:rsidR="00024738">
        <w:rPr>
          <w:lang w:bidi="he-IL"/>
        </w:rPr>
        <w:t>bowing before the one who is holding the place for the future anointed one.</w:t>
      </w:r>
      <w:r w:rsidR="003D56BA">
        <w:rPr>
          <w:lang w:bidi="he-IL"/>
        </w:rPr>
        <w:t>”</w:t>
      </w:r>
      <w:r w:rsidR="00024738">
        <w:rPr>
          <w:rStyle w:val="FootnoteReference"/>
          <w:lang w:bidi="he-IL"/>
        </w:rPr>
        <w:footnoteReference w:id="157"/>
      </w:r>
      <w:r w:rsidR="00727890">
        <w:rPr>
          <w:lang w:bidi="he-IL"/>
        </w:rPr>
        <w:t xml:space="preserve"> </w:t>
      </w:r>
      <w:r w:rsidR="00D64987">
        <w:rPr>
          <w:lang w:bidi="he-IL"/>
        </w:rPr>
        <w:t xml:space="preserve">So one can imagine </w:t>
      </w:r>
      <w:r w:rsidR="00EF3833">
        <w:rPr>
          <w:lang w:bidi="he-IL"/>
        </w:rPr>
        <w:t xml:space="preserve">insights the story </w:t>
      </w:r>
      <w:r w:rsidR="00EF3833">
        <w:rPr>
          <w:lang w:bidi="he-IL"/>
        </w:rPr>
        <w:lastRenderedPageBreak/>
        <w:t>might offer in different contexts in Israel’s history, but</w:t>
      </w:r>
      <w:r w:rsidR="00EF3833" w:rsidRPr="00EF3833">
        <w:rPr>
          <w:lang w:bidi="he-IL"/>
        </w:rPr>
        <w:t xml:space="preserve"> as usual, the story gives no </w:t>
      </w:r>
      <w:r w:rsidR="00EF3833">
        <w:rPr>
          <w:lang w:bidi="he-IL"/>
        </w:rPr>
        <w:t xml:space="preserve">concrete </w:t>
      </w:r>
      <w:r w:rsidR="00EF3833" w:rsidRPr="00EF3833">
        <w:rPr>
          <w:lang w:bidi="he-IL"/>
        </w:rPr>
        <w:t xml:space="preserve">indication of the context in which it was </w:t>
      </w:r>
      <w:r w:rsidR="00EF3833">
        <w:rPr>
          <w:lang w:bidi="he-IL"/>
        </w:rPr>
        <w:t>composed or told</w:t>
      </w:r>
      <w:r w:rsidR="00EF3833" w:rsidRPr="00EF3833">
        <w:rPr>
          <w:lang w:bidi="he-IL"/>
        </w:rPr>
        <w:t>.</w:t>
      </w:r>
      <w:r w:rsidR="00EF3833" w:rsidRPr="00EF3833">
        <w:rPr>
          <w:vertAlign w:val="superscript"/>
          <w:lang w:bidi="he-IL"/>
        </w:rPr>
        <w:footnoteReference w:id="158"/>
      </w:r>
      <w:r w:rsidR="00EF3833" w:rsidRPr="00EF3833">
        <w:rPr>
          <w:lang w:bidi="he-IL"/>
        </w:rPr>
        <w:t xml:space="preserve"> </w:t>
      </w:r>
    </w:p>
    <w:p w14:paraId="7958B94E" w14:textId="422031E1" w:rsidR="0035582E" w:rsidRDefault="0042615E" w:rsidP="00521D2F">
      <w:pPr>
        <w:pStyle w:val="ListParagraph"/>
        <w:ind w:left="0" w:firstLine="720"/>
        <w:rPr>
          <w:lang w:bidi="he-IL"/>
        </w:rPr>
      </w:pPr>
      <w:r>
        <w:rPr>
          <w:b/>
          <w:lang w:bidi="he-IL"/>
        </w:rPr>
        <w:t>14:1-3</w:t>
      </w:r>
      <w:r w:rsidR="00E6294B">
        <w:rPr>
          <w:b/>
          <w:lang w:bidi="he-IL"/>
        </w:rPr>
        <w:t xml:space="preserve">. </w:t>
      </w:r>
      <w:r w:rsidR="008E0A5C">
        <w:rPr>
          <w:lang w:bidi="he-IL"/>
        </w:rPr>
        <w:t>T</w:t>
      </w:r>
      <w:r w:rsidR="00521D2F">
        <w:rPr>
          <w:lang w:bidi="he-IL"/>
        </w:rPr>
        <w:t xml:space="preserve">wo </w:t>
      </w:r>
      <w:r w:rsidR="008E0A5C">
        <w:rPr>
          <w:lang w:bidi="he-IL"/>
        </w:rPr>
        <w:t>of the first four kings come from places w</w:t>
      </w:r>
      <w:r w:rsidR="00521D2F">
        <w:rPr>
          <w:lang w:bidi="he-IL"/>
        </w:rPr>
        <w:t>e</w:t>
      </w:r>
      <w:r w:rsidR="008E0A5C">
        <w:rPr>
          <w:lang w:bidi="he-IL"/>
        </w:rPr>
        <w:t xml:space="preserve"> </w:t>
      </w:r>
      <w:r w:rsidR="009201FE">
        <w:rPr>
          <w:lang w:bidi="he-IL"/>
        </w:rPr>
        <w:t xml:space="preserve">know, Shinar (i.e., Babylonia; </w:t>
      </w:r>
      <w:r w:rsidR="00521D2F">
        <w:rPr>
          <w:lang w:bidi="he-IL"/>
        </w:rPr>
        <w:t>cf. 10:10)</w:t>
      </w:r>
      <w:r w:rsidR="00176817">
        <w:rPr>
          <w:lang w:bidi="he-IL"/>
        </w:rPr>
        <w:t>,</w:t>
      </w:r>
      <w:r w:rsidR="00521D2F">
        <w:rPr>
          <w:lang w:bidi="he-IL"/>
        </w:rPr>
        <w:t xml:space="preserve"> and Elam (cf. 10:22), to its east. We do not know where Ellasar</w:t>
      </w:r>
      <w:r w:rsidR="00176817">
        <w:rPr>
          <w:lang w:bidi="he-IL"/>
        </w:rPr>
        <w:t xml:space="preserve"> was</w:t>
      </w:r>
      <w:r w:rsidR="00521D2F">
        <w:rPr>
          <w:lang w:bidi="he-IL"/>
        </w:rPr>
        <w:t xml:space="preserve">, nor </w:t>
      </w:r>
      <w:proofErr w:type="gramStart"/>
      <w:r w:rsidR="00521D2F">
        <w:rPr>
          <w:lang w:bidi="he-IL"/>
        </w:rPr>
        <w:t xml:space="preserve">who were the </w:t>
      </w:r>
      <w:r w:rsidR="003D56BA">
        <w:rPr>
          <w:lang w:bidi="he-IL"/>
        </w:rPr>
        <w:t>“</w:t>
      </w:r>
      <w:r w:rsidR="00521D2F">
        <w:rPr>
          <w:lang w:bidi="he-IL"/>
        </w:rPr>
        <w:t>nations</w:t>
      </w:r>
      <w:r w:rsidR="003D56BA">
        <w:rPr>
          <w:lang w:bidi="he-IL"/>
        </w:rPr>
        <w:t>”</w:t>
      </w:r>
      <w:r w:rsidR="00521D2F">
        <w:rPr>
          <w:lang w:bidi="he-IL"/>
        </w:rPr>
        <w:t xml:space="preserve"> of which Tidal </w:t>
      </w:r>
      <w:r w:rsidR="008E7EDF">
        <w:rPr>
          <w:lang w:bidi="he-IL"/>
        </w:rPr>
        <w:t>w</w:t>
      </w:r>
      <w:r w:rsidR="00521D2F">
        <w:rPr>
          <w:lang w:bidi="he-IL"/>
        </w:rPr>
        <w:t>as king</w:t>
      </w:r>
      <w:proofErr w:type="gramEnd"/>
      <w:r w:rsidR="00521D2F">
        <w:rPr>
          <w:lang w:bidi="he-IL"/>
        </w:rPr>
        <w:t xml:space="preserve">. And we have no references to any kings called Amrapel, Aryok, </w:t>
      </w:r>
      <w:r w:rsidR="008E7EDF">
        <w:rPr>
          <w:lang w:bidi="he-IL"/>
        </w:rPr>
        <w:t>or Kedorla</w:t>
      </w:r>
      <w:r w:rsidR="00996562">
        <w:rPr>
          <w:lang w:bidi="he-IL"/>
        </w:rPr>
        <w:t>‘</w:t>
      </w:r>
      <w:r w:rsidR="008E7EDF">
        <w:rPr>
          <w:lang w:bidi="he-IL"/>
        </w:rPr>
        <w:t xml:space="preserve">omer, though </w:t>
      </w:r>
      <w:r w:rsidR="00521D2F">
        <w:rPr>
          <w:lang w:bidi="he-IL"/>
        </w:rPr>
        <w:t>Tid</w:t>
      </w:r>
      <w:r w:rsidR="008E7EDF">
        <w:rPr>
          <w:lang w:bidi="he-IL"/>
        </w:rPr>
        <w:t>‘</w:t>
      </w:r>
      <w:r w:rsidR="00521D2F">
        <w:rPr>
          <w:lang w:bidi="he-IL"/>
        </w:rPr>
        <w:t>al</w:t>
      </w:r>
      <w:r w:rsidR="008E7EDF">
        <w:rPr>
          <w:lang w:bidi="he-IL"/>
        </w:rPr>
        <w:t xml:space="preserve"> may be equivalent to Tudḫaliaš, the name of four Hittite kings</w:t>
      </w:r>
      <w:r w:rsidR="00521D2F">
        <w:rPr>
          <w:lang w:bidi="he-IL"/>
        </w:rPr>
        <w:t>.</w:t>
      </w:r>
      <w:r w:rsidR="008E7EDF">
        <w:rPr>
          <w:rStyle w:val="FootnoteReference"/>
          <w:lang w:bidi="he-IL"/>
        </w:rPr>
        <w:footnoteReference w:id="159"/>
      </w:r>
      <w:r w:rsidR="00521D2F">
        <w:rPr>
          <w:lang w:bidi="he-IL"/>
        </w:rPr>
        <w:t xml:space="preserve"> </w:t>
      </w:r>
      <w:r w:rsidR="00176817">
        <w:rPr>
          <w:lang w:bidi="he-IL"/>
        </w:rPr>
        <w:t>That link pairs with the tradition locating Ellasar in Turkey</w:t>
      </w:r>
      <w:r w:rsidR="00176817">
        <w:rPr>
          <w:rStyle w:val="FootnoteReference"/>
          <w:lang w:bidi="he-IL"/>
        </w:rPr>
        <w:footnoteReference w:id="160"/>
      </w:r>
      <w:r w:rsidR="00176817">
        <w:rPr>
          <w:lang w:bidi="he-IL"/>
        </w:rPr>
        <w:t xml:space="preserve"> and together the four kings might then represent a </w:t>
      </w:r>
      <w:r w:rsidR="008E0A5C">
        <w:rPr>
          <w:lang w:bidi="he-IL"/>
        </w:rPr>
        <w:t>wide swathe of powers</w:t>
      </w:r>
      <w:r w:rsidR="00CC3FA1">
        <w:rPr>
          <w:lang w:bidi="he-IL"/>
        </w:rPr>
        <w:t xml:space="preserve"> from Turke</w:t>
      </w:r>
      <w:r w:rsidR="00176817">
        <w:rPr>
          <w:lang w:bidi="he-IL"/>
        </w:rPr>
        <w:t xml:space="preserve">y through </w:t>
      </w:r>
      <w:r w:rsidR="00CC3FA1">
        <w:rPr>
          <w:lang w:bidi="he-IL"/>
        </w:rPr>
        <w:t xml:space="preserve">Iraq to Iran, much like the accounts in Gen 10. </w:t>
      </w:r>
      <w:r w:rsidR="00521D2F">
        <w:rPr>
          <w:lang w:bidi="he-IL"/>
        </w:rPr>
        <w:t>What is clear is that they represent an impressive coalition from th</w:t>
      </w:r>
      <w:r w:rsidR="00CC3FA1">
        <w:rPr>
          <w:lang w:bidi="he-IL"/>
        </w:rPr>
        <w:t>e great imperial centers to the north and east</w:t>
      </w:r>
      <w:r w:rsidR="00521D2F">
        <w:rPr>
          <w:lang w:bidi="he-IL"/>
        </w:rPr>
        <w:t xml:space="preserve">. </w:t>
      </w:r>
      <w:r w:rsidR="00E47AB8" w:rsidRPr="00E47AB8">
        <w:rPr>
          <w:i/>
          <w:lang w:bidi="he-IL"/>
        </w:rPr>
        <w:t xml:space="preserve">GenR </w:t>
      </w:r>
      <w:r w:rsidR="00977DBC">
        <w:rPr>
          <w:lang w:bidi="he-IL"/>
        </w:rPr>
        <w:t>42:2 comments on how</w:t>
      </w:r>
      <w:r w:rsidR="00E47AB8">
        <w:rPr>
          <w:lang w:bidi="he-IL"/>
        </w:rPr>
        <w:t xml:space="preserve"> encounters with four kingdoms form a bracket around Israel’s history</w:t>
      </w:r>
      <w:r w:rsidR="00176817">
        <w:rPr>
          <w:lang w:bidi="he-IL"/>
        </w:rPr>
        <w:t xml:space="preserve"> </w:t>
      </w:r>
      <w:r w:rsidR="00E47AB8">
        <w:rPr>
          <w:lang w:bidi="he-IL"/>
        </w:rPr>
        <w:t>(cf. Dan 2 and 7).</w:t>
      </w:r>
    </w:p>
    <w:p w14:paraId="5BC9CC36" w14:textId="2725DEE6" w:rsidR="00521D2F" w:rsidRDefault="0064277E" w:rsidP="00521D2F">
      <w:pPr>
        <w:pStyle w:val="ListParagraph"/>
        <w:ind w:left="0" w:firstLine="720"/>
        <w:rPr>
          <w:lang w:bidi="he-IL"/>
        </w:rPr>
      </w:pPr>
      <w:r>
        <w:rPr>
          <w:lang w:bidi="he-IL"/>
        </w:rPr>
        <w:t>Their victims (v</w:t>
      </w:r>
      <w:r w:rsidR="009201FE">
        <w:rPr>
          <w:lang w:bidi="he-IL"/>
        </w:rPr>
        <w:t>v</w:t>
      </w:r>
      <w:r>
        <w:rPr>
          <w:lang w:bidi="he-IL"/>
        </w:rPr>
        <w:t>. 2</w:t>
      </w:r>
      <w:r w:rsidR="009201FE">
        <w:rPr>
          <w:lang w:bidi="he-IL"/>
        </w:rPr>
        <w:t>-3</w:t>
      </w:r>
      <w:r>
        <w:rPr>
          <w:lang w:bidi="he-IL"/>
        </w:rPr>
        <w:t>) are much smalle</w:t>
      </w:r>
      <w:r w:rsidR="00CC3FA1">
        <w:rPr>
          <w:lang w:bidi="he-IL"/>
        </w:rPr>
        <w:t>r fry, the kings of little city-</w:t>
      </w:r>
      <w:r>
        <w:rPr>
          <w:lang w:bidi="he-IL"/>
        </w:rPr>
        <w:t>s</w:t>
      </w:r>
      <w:r w:rsidR="00CC3FA1">
        <w:rPr>
          <w:lang w:bidi="he-IL"/>
        </w:rPr>
        <w:t xml:space="preserve">tates down in the Jordan Valley. We know of </w:t>
      </w:r>
      <w:r>
        <w:rPr>
          <w:lang w:bidi="he-IL"/>
        </w:rPr>
        <w:t>Sodom, Gomo</w:t>
      </w:r>
      <w:r w:rsidR="00CC3FA1">
        <w:rPr>
          <w:lang w:bidi="he-IL"/>
        </w:rPr>
        <w:t xml:space="preserve">rrah, and Soar </w:t>
      </w:r>
      <w:r>
        <w:rPr>
          <w:lang w:bidi="he-IL"/>
        </w:rPr>
        <w:t>from Gen 13, and Adm</w:t>
      </w:r>
      <w:r w:rsidR="00CC3FA1">
        <w:rPr>
          <w:lang w:bidi="he-IL"/>
        </w:rPr>
        <w:t xml:space="preserve">ah and Seboyim </w:t>
      </w:r>
      <w:r w:rsidR="00977DBC">
        <w:rPr>
          <w:lang w:bidi="he-IL"/>
        </w:rPr>
        <w:t>from 10:19. A</w:t>
      </w:r>
      <w:r>
        <w:rPr>
          <w:lang w:bidi="he-IL"/>
        </w:rPr>
        <w:t>ll five were</w:t>
      </w:r>
      <w:r w:rsidR="00977DBC">
        <w:rPr>
          <w:lang w:bidi="he-IL"/>
        </w:rPr>
        <w:t xml:space="preserve"> presumably located </w:t>
      </w:r>
      <w:r>
        <w:rPr>
          <w:lang w:bidi="he-IL"/>
        </w:rPr>
        <w:t>around the Dead Sea (cf. v. 3), but we do not</w:t>
      </w:r>
      <w:r w:rsidR="009201FE">
        <w:rPr>
          <w:lang w:bidi="he-IL"/>
        </w:rPr>
        <w:t xml:space="preserve"> know their precise location</w:t>
      </w:r>
      <w:r w:rsidR="00977DBC">
        <w:rPr>
          <w:lang w:bidi="he-IL"/>
        </w:rPr>
        <w:t>. The</w:t>
      </w:r>
      <w:r>
        <w:rPr>
          <w:lang w:bidi="he-IL"/>
        </w:rPr>
        <w:t xml:space="preserve"> kings</w:t>
      </w:r>
      <w:r w:rsidR="00977DBC">
        <w:rPr>
          <w:lang w:bidi="he-IL"/>
        </w:rPr>
        <w:t>’ names do not occur elsewhere</w:t>
      </w:r>
      <w:r w:rsidR="000A536B">
        <w:rPr>
          <w:lang w:bidi="he-IL"/>
        </w:rPr>
        <w:t xml:space="preserve">, though it </w:t>
      </w:r>
      <w:r w:rsidR="00977DBC">
        <w:rPr>
          <w:lang w:bidi="he-IL"/>
        </w:rPr>
        <w:t>may be no coincidence that Bera</w:t>
      </w:r>
      <w:r w:rsidR="000A536B">
        <w:rPr>
          <w:lang w:bidi="he-IL"/>
        </w:rPr>
        <w:t xml:space="preserve"> sounds like a bad guy (</w:t>
      </w:r>
      <w:r w:rsidR="000A536B">
        <w:rPr>
          <w:i/>
          <w:lang w:bidi="he-IL"/>
        </w:rPr>
        <w:t>ra‘</w:t>
      </w:r>
      <w:r w:rsidR="000A536B">
        <w:rPr>
          <w:lang w:bidi="he-IL"/>
        </w:rPr>
        <w:t>)</w:t>
      </w:r>
      <w:r w:rsidR="000A536B">
        <w:rPr>
          <w:i/>
          <w:lang w:bidi="he-IL"/>
        </w:rPr>
        <w:t xml:space="preserve"> </w:t>
      </w:r>
      <w:r w:rsidR="00977DBC">
        <w:rPr>
          <w:lang w:bidi="he-IL"/>
        </w:rPr>
        <w:t>and Birsha</w:t>
      </w:r>
      <w:r w:rsidR="000A536B">
        <w:rPr>
          <w:lang w:bidi="he-IL"/>
        </w:rPr>
        <w:t xml:space="preserve"> sounds like a faithless guy (</w:t>
      </w:r>
      <w:r w:rsidR="000A536B">
        <w:rPr>
          <w:i/>
          <w:lang w:bidi="he-IL"/>
        </w:rPr>
        <w:t>reša‘</w:t>
      </w:r>
      <w:r w:rsidR="00977DBC">
        <w:rPr>
          <w:lang w:bidi="he-IL"/>
        </w:rPr>
        <w:t xml:space="preserve">). Nor do we know </w:t>
      </w:r>
      <w:r w:rsidR="009201FE">
        <w:rPr>
          <w:lang w:bidi="he-IL"/>
        </w:rPr>
        <w:t>where Siddim Vale was</w:t>
      </w:r>
      <w:r w:rsidR="00CC3FA1">
        <w:rPr>
          <w:lang w:bidi="he-IL"/>
        </w:rPr>
        <w:t>, only that it was in the</w:t>
      </w:r>
      <w:r w:rsidR="00977DBC">
        <w:rPr>
          <w:lang w:bidi="he-IL"/>
        </w:rPr>
        <w:t xml:space="preserve"> area of the Dead Sea (</w:t>
      </w:r>
      <w:r w:rsidR="009201FE">
        <w:rPr>
          <w:lang w:bidi="he-IL"/>
        </w:rPr>
        <w:t>which is it</w:t>
      </w:r>
      <w:r w:rsidR="00CC3FA1">
        <w:rPr>
          <w:lang w:bidi="he-IL"/>
        </w:rPr>
        <w:t xml:space="preserve"> Arabic name; </w:t>
      </w:r>
      <w:r w:rsidR="003D56BA">
        <w:rPr>
          <w:lang w:bidi="he-IL"/>
        </w:rPr>
        <w:t>“</w:t>
      </w:r>
      <w:r w:rsidR="00CC3FA1">
        <w:rPr>
          <w:lang w:bidi="he-IL"/>
        </w:rPr>
        <w:t>Salt Sea</w:t>
      </w:r>
      <w:r w:rsidR="003D56BA">
        <w:rPr>
          <w:lang w:bidi="he-IL"/>
        </w:rPr>
        <w:t>”</w:t>
      </w:r>
      <w:r w:rsidR="00CC3FA1">
        <w:rPr>
          <w:lang w:bidi="he-IL"/>
        </w:rPr>
        <w:t xml:space="preserve"> is the regular Hebrew name).</w:t>
      </w:r>
      <w:r w:rsidR="00CC3FA1">
        <w:rPr>
          <w:rStyle w:val="FootnoteReference"/>
          <w:lang w:bidi="he-IL"/>
        </w:rPr>
        <w:footnoteReference w:id="161"/>
      </w:r>
      <w:r w:rsidR="00CC3FA1">
        <w:rPr>
          <w:lang w:bidi="he-IL"/>
        </w:rPr>
        <w:t xml:space="preserve"> And</w:t>
      </w:r>
      <w:r>
        <w:rPr>
          <w:lang w:bidi="he-IL"/>
        </w:rPr>
        <w:t xml:space="preserve"> we have</w:t>
      </w:r>
      <w:r w:rsidR="00CC3FA1">
        <w:rPr>
          <w:lang w:bidi="he-IL"/>
        </w:rPr>
        <w:t xml:space="preserve"> no basis for dating any </w:t>
      </w:r>
      <w:r>
        <w:rPr>
          <w:lang w:bidi="he-IL"/>
        </w:rPr>
        <w:t>battle that may have involved these nine kings.</w:t>
      </w:r>
    </w:p>
    <w:p w14:paraId="67AC1C97" w14:textId="107DBF19" w:rsidR="00092858" w:rsidRDefault="0042615E" w:rsidP="00092858">
      <w:pPr>
        <w:pStyle w:val="ListParagraph"/>
        <w:ind w:left="0" w:firstLine="720"/>
        <w:rPr>
          <w:lang w:bidi="he-IL"/>
        </w:rPr>
      </w:pPr>
      <w:r>
        <w:rPr>
          <w:b/>
          <w:lang w:bidi="he-IL"/>
        </w:rPr>
        <w:t>14:4-7</w:t>
      </w:r>
      <w:r w:rsidR="00CC3FA1">
        <w:rPr>
          <w:lang w:bidi="he-IL"/>
        </w:rPr>
        <w:t>. Genesis now</w:t>
      </w:r>
      <w:r>
        <w:rPr>
          <w:lang w:bidi="he-IL"/>
        </w:rPr>
        <w:t xml:space="preserve"> backtracks to give us the </w:t>
      </w:r>
      <w:r w:rsidR="00977DBC">
        <w:rPr>
          <w:lang w:bidi="he-IL"/>
        </w:rPr>
        <w:t xml:space="preserve">battle’s </w:t>
      </w:r>
      <w:r>
        <w:rPr>
          <w:lang w:bidi="he-IL"/>
        </w:rPr>
        <w:t>con</w:t>
      </w:r>
      <w:r w:rsidR="00977DBC">
        <w:rPr>
          <w:lang w:bidi="he-IL"/>
        </w:rPr>
        <w:t xml:space="preserve">text. As </w:t>
      </w:r>
      <w:r w:rsidR="008E0A5C">
        <w:rPr>
          <w:lang w:bidi="he-IL"/>
        </w:rPr>
        <w:t xml:space="preserve">subjects of </w:t>
      </w:r>
      <w:r w:rsidR="008E0A5C" w:rsidRPr="008E0A5C">
        <w:rPr>
          <w:lang w:bidi="he-IL"/>
        </w:rPr>
        <w:t>Kedorla</w:t>
      </w:r>
      <w:r w:rsidR="00996562">
        <w:rPr>
          <w:lang w:bidi="he-IL"/>
        </w:rPr>
        <w:t>‘</w:t>
      </w:r>
      <w:r w:rsidR="008E0A5C" w:rsidRPr="008E0A5C">
        <w:rPr>
          <w:lang w:bidi="he-IL"/>
        </w:rPr>
        <w:t>omer</w:t>
      </w:r>
      <w:r w:rsidR="00977DBC">
        <w:rPr>
          <w:lang w:bidi="he-IL"/>
        </w:rPr>
        <w:t>, the</w:t>
      </w:r>
      <w:r w:rsidR="008E0A5C">
        <w:rPr>
          <w:lang w:bidi="he-IL"/>
        </w:rPr>
        <w:t xml:space="preserve"> </w:t>
      </w:r>
      <w:r w:rsidR="00977DBC" w:rsidRPr="00977DBC">
        <w:rPr>
          <w:lang w:bidi="he-IL"/>
        </w:rPr>
        <w:t>five city-states</w:t>
      </w:r>
      <w:r w:rsidR="00977DBC">
        <w:rPr>
          <w:lang w:bidi="he-IL"/>
        </w:rPr>
        <w:t>’</w:t>
      </w:r>
      <w:r w:rsidR="00977DBC" w:rsidRPr="00977DBC">
        <w:rPr>
          <w:lang w:bidi="he-IL"/>
        </w:rPr>
        <w:t xml:space="preserve"> </w:t>
      </w:r>
      <w:r w:rsidR="00977DBC">
        <w:rPr>
          <w:lang w:bidi="he-IL"/>
        </w:rPr>
        <w:t xml:space="preserve">value may </w:t>
      </w:r>
      <w:r w:rsidR="009201FE">
        <w:rPr>
          <w:lang w:bidi="he-IL"/>
        </w:rPr>
        <w:t>have lain in</w:t>
      </w:r>
      <w:r w:rsidR="008E0A5C">
        <w:rPr>
          <w:lang w:bidi="he-IL"/>
        </w:rPr>
        <w:t xml:space="preserve"> the </w:t>
      </w:r>
      <w:r w:rsidR="00B7250F">
        <w:rPr>
          <w:lang w:bidi="he-IL"/>
        </w:rPr>
        <w:t>area’s mineral resources</w:t>
      </w:r>
      <w:r w:rsidR="00092858">
        <w:rPr>
          <w:lang w:bidi="he-IL"/>
        </w:rPr>
        <w:t>.</w:t>
      </w:r>
    </w:p>
    <w:p w14:paraId="50D1B90D" w14:textId="6B712218" w:rsidR="0042615E" w:rsidRPr="00F133CE" w:rsidRDefault="0042615E" w:rsidP="00092858">
      <w:pPr>
        <w:pStyle w:val="ListParagraph"/>
        <w:ind w:left="0" w:firstLine="720"/>
        <w:rPr>
          <w:lang w:bidi="he-IL"/>
        </w:rPr>
      </w:pPr>
      <w:r>
        <w:rPr>
          <w:lang w:bidi="he-IL"/>
        </w:rPr>
        <w:t>By the next year (v</w:t>
      </w:r>
      <w:r w:rsidR="00353392">
        <w:rPr>
          <w:lang w:bidi="he-IL"/>
        </w:rPr>
        <w:t>v</w:t>
      </w:r>
      <w:r>
        <w:rPr>
          <w:lang w:bidi="he-IL"/>
        </w:rPr>
        <w:t>. 5</w:t>
      </w:r>
      <w:r w:rsidR="00353392">
        <w:rPr>
          <w:lang w:bidi="he-IL"/>
        </w:rPr>
        <w:t>-6</w:t>
      </w:r>
      <w:r w:rsidR="00CC3FA1">
        <w:rPr>
          <w:lang w:bidi="he-IL"/>
        </w:rPr>
        <w:t>), Kedorla</w:t>
      </w:r>
      <w:r w:rsidR="00996562">
        <w:rPr>
          <w:lang w:bidi="he-IL"/>
        </w:rPr>
        <w:t>‘</w:t>
      </w:r>
      <w:r w:rsidR="00CC3FA1">
        <w:rPr>
          <w:lang w:bidi="he-IL"/>
        </w:rPr>
        <w:t>omer had got the other</w:t>
      </w:r>
      <w:r>
        <w:rPr>
          <w:lang w:bidi="he-IL"/>
        </w:rPr>
        <w:t xml:space="preserve"> kings to ally with him to put </w:t>
      </w:r>
      <w:r w:rsidR="002F2165">
        <w:rPr>
          <w:lang w:bidi="he-IL"/>
        </w:rPr>
        <w:t>the city-st</w:t>
      </w:r>
      <w:r w:rsidR="008E0A5C">
        <w:rPr>
          <w:lang w:bidi="he-IL"/>
        </w:rPr>
        <w:t>ates in their place. The kings</w:t>
      </w:r>
      <w:r w:rsidR="002F2165">
        <w:rPr>
          <w:lang w:bidi="he-IL"/>
        </w:rPr>
        <w:t xml:space="preserve"> took their time getting to the Jordan Valley. Perhaps these other peoples had joined in the rebellion, though if so, one might ha</w:t>
      </w:r>
      <w:r w:rsidR="008E0A5C">
        <w:rPr>
          <w:lang w:bidi="he-IL"/>
        </w:rPr>
        <w:t>ve expected Genesis to say so. P</w:t>
      </w:r>
      <w:r w:rsidR="009201FE">
        <w:rPr>
          <w:lang w:bidi="he-IL"/>
        </w:rPr>
        <w:t xml:space="preserve">erhaps, then, the </w:t>
      </w:r>
      <w:r w:rsidR="002F2165">
        <w:rPr>
          <w:lang w:bidi="he-IL"/>
        </w:rPr>
        <w:t>kings made the</w:t>
      </w:r>
      <w:r w:rsidR="008E0A5C">
        <w:rPr>
          <w:lang w:bidi="he-IL"/>
        </w:rPr>
        <w:t>ir</w:t>
      </w:r>
      <w:r w:rsidR="002F2165">
        <w:rPr>
          <w:lang w:bidi="he-IL"/>
        </w:rPr>
        <w:t xml:space="preserve"> expedition worthwhile by taking over these other places. </w:t>
      </w:r>
      <w:r w:rsidR="008E0A5C">
        <w:rPr>
          <w:lang w:bidi="he-IL"/>
        </w:rPr>
        <w:t>Or perhaps they were engaging in preemptive strikes to safeguard against these other peoples coming to the five kings’ support. Any</w:t>
      </w:r>
      <w:r w:rsidR="00EB6AD9">
        <w:rPr>
          <w:lang w:bidi="he-IL"/>
        </w:rPr>
        <w:t>way, they first made their battling way north-south through the highland east of the Jordan and thus above</w:t>
      </w:r>
      <w:r w:rsidR="00893501">
        <w:rPr>
          <w:lang w:bidi="he-IL"/>
        </w:rPr>
        <w:t xml:space="preserve"> the location of the five towns</w:t>
      </w:r>
      <w:r w:rsidR="00EB6AD9">
        <w:rPr>
          <w:lang w:bidi="he-IL"/>
        </w:rPr>
        <w:t xml:space="preserve">. </w:t>
      </w:r>
      <w:r w:rsidR="00092858">
        <w:rPr>
          <w:lang w:bidi="he-IL"/>
        </w:rPr>
        <w:t>Whereas we cannot identify the</w:t>
      </w:r>
      <w:r w:rsidR="00B7250F">
        <w:rPr>
          <w:lang w:bidi="he-IL"/>
        </w:rPr>
        <w:t xml:space="preserve"> </w:t>
      </w:r>
      <w:r w:rsidR="009201FE">
        <w:rPr>
          <w:lang w:bidi="he-IL"/>
        </w:rPr>
        <w:t xml:space="preserve">four </w:t>
      </w:r>
      <w:r w:rsidR="00B7250F">
        <w:rPr>
          <w:lang w:bidi="he-IL"/>
        </w:rPr>
        <w:t>kings</w:t>
      </w:r>
      <w:r w:rsidR="00092858">
        <w:rPr>
          <w:lang w:bidi="he-IL"/>
        </w:rPr>
        <w:t>, their route is broadl</w:t>
      </w:r>
      <w:r w:rsidR="009201FE">
        <w:rPr>
          <w:lang w:bidi="he-IL"/>
        </w:rPr>
        <w:t>y identifiable as following</w:t>
      </w:r>
      <w:r w:rsidR="00092858">
        <w:rPr>
          <w:lang w:bidi="he-IL"/>
        </w:rPr>
        <w:t xml:space="preserve"> the </w:t>
      </w:r>
      <w:r w:rsidR="003D56BA">
        <w:rPr>
          <w:lang w:bidi="he-IL"/>
        </w:rPr>
        <w:t>“</w:t>
      </w:r>
      <w:r w:rsidR="00092858">
        <w:rPr>
          <w:lang w:bidi="he-IL"/>
        </w:rPr>
        <w:t>King’s Highway</w:t>
      </w:r>
      <w:r w:rsidR="003D56BA">
        <w:rPr>
          <w:lang w:bidi="he-IL"/>
        </w:rPr>
        <w:t>”</w:t>
      </w:r>
      <w:r w:rsidR="00092858">
        <w:rPr>
          <w:lang w:bidi="he-IL"/>
        </w:rPr>
        <w:t xml:space="preserve"> (Num 20:17), the main road east of the Jordan for traders and armies.</w:t>
      </w:r>
      <w:r w:rsidR="00727890">
        <w:rPr>
          <w:lang w:bidi="he-IL"/>
        </w:rPr>
        <w:t xml:space="preserve"> </w:t>
      </w:r>
      <w:r w:rsidR="008E0A5C">
        <w:rPr>
          <w:lang w:bidi="he-IL"/>
        </w:rPr>
        <w:t>Ashterot Q</w:t>
      </w:r>
      <w:r w:rsidR="00092858">
        <w:rPr>
          <w:lang w:bidi="he-IL"/>
        </w:rPr>
        <w:t>arnayim is in the Golan, t</w:t>
      </w:r>
      <w:r w:rsidR="005669A6">
        <w:rPr>
          <w:lang w:bidi="he-IL"/>
        </w:rPr>
        <w:t>here is</w:t>
      </w:r>
      <w:r w:rsidR="00092858">
        <w:rPr>
          <w:lang w:bidi="he-IL"/>
        </w:rPr>
        <w:t xml:space="preserve"> a town called Ham not far away, and</w:t>
      </w:r>
      <w:r w:rsidR="00964AE6">
        <w:rPr>
          <w:lang w:bidi="he-IL"/>
        </w:rPr>
        <w:t xml:space="preserve"> S</w:t>
      </w:r>
      <w:r w:rsidR="00FB73DA">
        <w:rPr>
          <w:lang w:bidi="he-IL"/>
        </w:rPr>
        <w:t>e</w:t>
      </w:r>
      <w:r w:rsidR="009201FE">
        <w:rPr>
          <w:lang w:bidi="he-IL"/>
        </w:rPr>
        <w:t>‘</w:t>
      </w:r>
      <w:r w:rsidR="00FB73DA">
        <w:rPr>
          <w:lang w:bidi="he-IL"/>
        </w:rPr>
        <w:t>ir is further south. Pa</w:t>
      </w:r>
      <w:r w:rsidR="00996562">
        <w:rPr>
          <w:lang w:bidi="he-IL"/>
        </w:rPr>
        <w:t>’</w:t>
      </w:r>
      <w:r w:rsidR="00FB73DA">
        <w:rPr>
          <w:lang w:bidi="he-IL"/>
        </w:rPr>
        <w:t xml:space="preserve">ran </w:t>
      </w:r>
      <w:r w:rsidR="00130FC1">
        <w:rPr>
          <w:lang w:bidi="he-IL"/>
        </w:rPr>
        <w:t>extends</w:t>
      </w:r>
      <w:r w:rsidR="00964AE6">
        <w:rPr>
          <w:lang w:bidi="he-IL"/>
        </w:rPr>
        <w:t xml:space="preserve"> </w:t>
      </w:r>
      <w:r w:rsidR="00FB73DA">
        <w:rPr>
          <w:lang w:bidi="he-IL"/>
        </w:rPr>
        <w:t xml:space="preserve">much further </w:t>
      </w:r>
      <w:r w:rsidR="009201FE">
        <w:rPr>
          <w:lang w:bidi="he-IL"/>
        </w:rPr>
        <w:t>down into Sinai</w:t>
      </w:r>
      <w:r w:rsidR="00964AE6">
        <w:rPr>
          <w:lang w:bidi="he-IL"/>
        </w:rPr>
        <w:t>, but</w:t>
      </w:r>
      <w:r w:rsidR="00FB73DA">
        <w:rPr>
          <w:lang w:bidi="he-IL"/>
        </w:rPr>
        <w:t xml:space="preserve"> at its northern end Pa</w:t>
      </w:r>
      <w:r w:rsidR="00996562">
        <w:rPr>
          <w:lang w:bidi="he-IL"/>
        </w:rPr>
        <w:t>’</w:t>
      </w:r>
      <w:r w:rsidR="00FB73DA">
        <w:rPr>
          <w:lang w:bidi="he-IL"/>
        </w:rPr>
        <w:t>ran</w:t>
      </w:r>
      <w:r w:rsidR="00964AE6">
        <w:rPr>
          <w:lang w:bidi="he-IL"/>
        </w:rPr>
        <w:t xml:space="preserve"> Oak (</w:t>
      </w:r>
      <w:r w:rsidR="00964AE6">
        <w:rPr>
          <w:i/>
          <w:lang w:bidi="he-IL"/>
        </w:rPr>
        <w:t>’êl</w:t>
      </w:r>
      <w:r w:rsidR="00FB73DA">
        <w:rPr>
          <w:i/>
          <w:lang w:bidi="he-IL"/>
        </w:rPr>
        <w:t xml:space="preserve"> </w:t>
      </w:r>
      <w:r w:rsidR="00FB73DA" w:rsidRPr="00FB73DA">
        <w:rPr>
          <w:i/>
          <w:lang w:bidi="he-IL"/>
        </w:rPr>
        <w:t>pa</w:t>
      </w:r>
      <w:r w:rsidR="00FB73DA">
        <w:rPr>
          <w:i/>
          <w:lang w:bidi="he-IL"/>
        </w:rPr>
        <w:t>’</w:t>
      </w:r>
      <w:r w:rsidR="00FB73DA" w:rsidRPr="00FB73DA">
        <w:rPr>
          <w:i/>
          <w:lang w:bidi="he-IL"/>
        </w:rPr>
        <w:t>ran</w:t>
      </w:r>
      <w:r w:rsidR="00964AE6">
        <w:rPr>
          <w:lang w:bidi="he-IL"/>
        </w:rPr>
        <w:t>) makes one think of Elat</w:t>
      </w:r>
      <w:r w:rsidR="00130FC1">
        <w:rPr>
          <w:lang w:bidi="he-IL"/>
        </w:rPr>
        <w:t>,</w:t>
      </w:r>
      <w:r w:rsidR="00964AE6" w:rsidRPr="00130FC1">
        <w:rPr>
          <w:rStyle w:val="FootnoteReference"/>
          <w:lang w:bidi="he-IL"/>
        </w:rPr>
        <w:footnoteReference w:id="162"/>
      </w:r>
      <w:r w:rsidR="005669A6" w:rsidRPr="00130FC1">
        <w:rPr>
          <w:lang w:bidi="he-IL"/>
        </w:rPr>
        <w:t xml:space="preserve"> </w:t>
      </w:r>
      <w:r w:rsidR="00130FC1">
        <w:rPr>
          <w:lang w:bidi="he-IL"/>
        </w:rPr>
        <w:t>and the kings might be concer</w:t>
      </w:r>
      <w:r w:rsidR="00FB73DA">
        <w:rPr>
          <w:lang w:bidi="he-IL"/>
        </w:rPr>
        <w:t>ned to assert authority over this further</w:t>
      </w:r>
      <w:r w:rsidR="00130FC1">
        <w:rPr>
          <w:lang w:bidi="he-IL"/>
        </w:rPr>
        <w:t xml:space="preserve"> significant point on the trade routes. </w:t>
      </w:r>
      <w:r w:rsidR="00964AE6">
        <w:rPr>
          <w:lang w:bidi="he-IL"/>
        </w:rPr>
        <w:t>P</w:t>
      </w:r>
      <w:r w:rsidR="00EB6AD9">
        <w:rPr>
          <w:lang w:bidi="he-IL"/>
        </w:rPr>
        <w:t xml:space="preserve">resumably </w:t>
      </w:r>
      <w:r w:rsidR="00EB6AD9" w:rsidRPr="00EB6AD9">
        <w:rPr>
          <w:lang w:val="en-GB" w:bidi="he-IL"/>
        </w:rPr>
        <w:t>Qiryatayim Plain</w:t>
      </w:r>
      <w:r w:rsidR="00EB6AD9">
        <w:rPr>
          <w:lang w:val="en-GB" w:bidi="he-IL"/>
        </w:rPr>
        <w:t xml:space="preserve"> is on the same </w:t>
      </w:r>
      <w:r w:rsidR="00FB73DA">
        <w:rPr>
          <w:lang w:val="en-GB" w:bidi="he-IL"/>
        </w:rPr>
        <w:t xml:space="preserve">north-south </w:t>
      </w:r>
      <w:r w:rsidR="00EB6AD9">
        <w:rPr>
          <w:lang w:val="en-GB" w:bidi="he-IL"/>
        </w:rPr>
        <w:t>line</w:t>
      </w:r>
      <w:r w:rsidR="00BE2876">
        <w:rPr>
          <w:lang w:val="en-GB" w:bidi="he-IL"/>
        </w:rPr>
        <w:t xml:space="preserve">, and might well link with the </w:t>
      </w:r>
      <w:r w:rsidR="00BE2876" w:rsidRPr="00BE2876">
        <w:rPr>
          <w:lang w:val="en-GB" w:bidi="he-IL"/>
        </w:rPr>
        <w:t>Qiryatayim</w:t>
      </w:r>
      <w:r w:rsidR="00BE2876">
        <w:rPr>
          <w:lang w:val="en-GB" w:bidi="he-IL"/>
        </w:rPr>
        <w:t xml:space="preserve"> in </w:t>
      </w:r>
      <w:r w:rsidR="00FB73DA">
        <w:rPr>
          <w:lang w:val="en-GB" w:bidi="he-IL"/>
        </w:rPr>
        <w:t>Num 32:37</w:t>
      </w:r>
      <w:r w:rsidR="00EB6AD9">
        <w:rPr>
          <w:lang w:val="en-GB" w:bidi="he-IL"/>
        </w:rPr>
        <w:t>. Th</w:t>
      </w:r>
      <w:r w:rsidR="00353392">
        <w:rPr>
          <w:lang w:val="en-GB" w:bidi="he-IL"/>
        </w:rPr>
        <w:t>e peoples they defeated there,</w:t>
      </w:r>
      <w:r w:rsidR="00EB6AD9">
        <w:rPr>
          <w:lang w:val="en-GB" w:bidi="he-IL"/>
        </w:rPr>
        <w:t xml:space="preserve"> the</w:t>
      </w:r>
      <w:r w:rsidR="00EB6AD9" w:rsidRPr="00F133CE">
        <w:rPr>
          <w:lang w:bidi="he-IL"/>
        </w:rPr>
        <w:t xml:space="preserve"> Re</w:t>
      </w:r>
      <w:r w:rsidR="00636389" w:rsidRPr="00F133CE">
        <w:rPr>
          <w:lang w:bidi="he-IL"/>
        </w:rPr>
        <w:t>pa</w:t>
      </w:r>
      <w:r w:rsidR="009201FE">
        <w:rPr>
          <w:lang w:bidi="he-IL"/>
        </w:rPr>
        <w:t>’</w:t>
      </w:r>
      <w:r w:rsidR="00636389" w:rsidRPr="00F133CE">
        <w:rPr>
          <w:lang w:bidi="he-IL"/>
        </w:rPr>
        <w:t>ites</w:t>
      </w:r>
      <w:r w:rsidR="00353392">
        <w:rPr>
          <w:lang w:val="en-GB" w:bidi="he-IL"/>
        </w:rPr>
        <w:t>,</w:t>
      </w:r>
      <w:r w:rsidR="00636389">
        <w:rPr>
          <w:lang w:val="en-GB" w:bidi="he-IL"/>
        </w:rPr>
        <w:t xml:space="preserve"> </w:t>
      </w:r>
      <w:r w:rsidR="00353392" w:rsidRPr="00F133CE">
        <w:rPr>
          <w:lang w:bidi="he-IL"/>
        </w:rPr>
        <w:t xml:space="preserve">Zuzites/Zamzummites, Emites, </w:t>
      </w:r>
      <w:r w:rsidR="00861898" w:rsidRPr="00F133CE">
        <w:rPr>
          <w:lang w:bidi="he-IL"/>
        </w:rPr>
        <w:t xml:space="preserve">and </w:t>
      </w:r>
      <w:r w:rsidR="00353392" w:rsidRPr="00F133CE">
        <w:rPr>
          <w:lang w:bidi="he-IL"/>
        </w:rPr>
        <w:t>Horites, also appear in Deut 2:10-12</w:t>
      </w:r>
      <w:r w:rsidR="00356B82">
        <w:rPr>
          <w:lang w:bidi="he-IL"/>
        </w:rPr>
        <w:t>, 20-23</w:t>
      </w:r>
      <w:r w:rsidR="00353392" w:rsidRPr="00F133CE">
        <w:rPr>
          <w:lang w:bidi="he-IL"/>
        </w:rPr>
        <w:t xml:space="preserve"> as pre-Israelite inhabitants of that area east of the Jordan.</w:t>
      </w:r>
    </w:p>
    <w:p w14:paraId="18B50CA7" w14:textId="1D212152" w:rsidR="00353392" w:rsidRDefault="009201FE" w:rsidP="00521D2F">
      <w:pPr>
        <w:pStyle w:val="ListParagraph"/>
        <w:ind w:left="0" w:firstLine="720"/>
        <w:rPr>
          <w:lang w:val="en-GB" w:bidi="he-IL"/>
        </w:rPr>
      </w:pPr>
      <w:r>
        <w:rPr>
          <w:lang w:bidi="he-IL"/>
        </w:rPr>
        <w:t>From their furthest point south, t</w:t>
      </w:r>
      <w:r w:rsidR="00353392" w:rsidRPr="00F133CE">
        <w:rPr>
          <w:lang w:bidi="he-IL"/>
        </w:rPr>
        <w:t xml:space="preserve">he four kings then proceeded northwest (v. 7) to Qadesh, the key town in northern Sinai, </w:t>
      </w:r>
      <w:r w:rsidR="00130FC1" w:rsidRPr="00F133CE">
        <w:rPr>
          <w:lang w:bidi="he-IL"/>
        </w:rPr>
        <w:t>a ce</w:t>
      </w:r>
      <w:r w:rsidR="00353392" w:rsidRPr="00F133CE">
        <w:rPr>
          <w:lang w:bidi="he-IL"/>
        </w:rPr>
        <w:t xml:space="preserve">nter for the Amaleqites </w:t>
      </w:r>
      <w:r w:rsidR="00F133CE">
        <w:rPr>
          <w:lang w:bidi="he-IL"/>
        </w:rPr>
        <w:t>(cf. Num 13:29</w:t>
      </w:r>
      <w:r w:rsidR="00353392" w:rsidRPr="00F133CE">
        <w:rPr>
          <w:lang w:bidi="he-IL"/>
        </w:rPr>
        <w:t>)</w:t>
      </w:r>
      <w:r w:rsidR="00C92F4D">
        <w:rPr>
          <w:lang w:bidi="he-IL"/>
        </w:rPr>
        <w:t xml:space="preserve">; the name </w:t>
      </w:r>
      <w:r w:rsidR="00C92F4D" w:rsidRPr="00C92F4D">
        <w:rPr>
          <w:lang w:bidi="he-IL"/>
        </w:rPr>
        <w:t>De</w:t>
      </w:r>
      <w:r w:rsidR="00C92F4D">
        <w:rPr>
          <w:lang w:bidi="he-IL"/>
        </w:rPr>
        <w:t>cision Spring suggests it was</w:t>
      </w:r>
      <w:r w:rsidR="00C92F4D" w:rsidRPr="00C92F4D">
        <w:rPr>
          <w:lang w:bidi="he-IL"/>
        </w:rPr>
        <w:t xml:space="preserve"> the location for powwow</w:t>
      </w:r>
      <w:r w:rsidR="00406D5D" w:rsidRPr="00F133CE">
        <w:rPr>
          <w:lang w:bidi="he-IL"/>
        </w:rPr>
        <w:t>.</w:t>
      </w:r>
      <w:r w:rsidR="00C92F4D">
        <w:rPr>
          <w:rStyle w:val="FootnoteReference"/>
          <w:lang w:bidi="he-IL"/>
        </w:rPr>
        <w:footnoteReference w:id="163"/>
      </w:r>
      <w:r w:rsidR="00356B82">
        <w:rPr>
          <w:lang w:bidi="he-IL"/>
        </w:rPr>
        <w:t xml:space="preserve"> From Qadesh</w:t>
      </w:r>
      <w:r w:rsidR="00406D5D" w:rsidRPr="00F133CE">
        <w:rPr>
          <w:lang w:bidi="he-IL"/>
        </w:rPr>
        <w:t xml:space="preserve"> they swerved back </w:t>
      </w:r>
      <w:r w:rsidR="00353392" w:rsidRPr="00F133CE">
        <w:rPr>
          <w:lang w:bidi="he-IL"/>
        </w:rPr>
        <w:t xml:space="preserve">northeast and down into </w:t>
      </w:r>
      <w:r w:rsidR="00353392" w:rsidRPr="00F133CE">
        <w:rPr>
          <w:lang w:bidi="he-IL"/>
        </w:rPr>
        <w:lastRenderedPageBreak/>
        <w:t xml:space="preserve">the Jordan Valley to </w:t>
      </w:r>
      <w:r w:rsidR="00406D5D" w:rsidRPr="00F133CE">
        <w:rPr>
          <w:lang w:bidi="he-IL"/>
        </w:rPr>
        <w:t>Ḥaṣaṣon</w:t>
      </w:r>
      <w:r w:rsidR="00D42DE3" w:rsidRPr="00F133CE">
        <w:rPr>
          <w:lang w:bidi="he-IL"/>
        </w:rPr>
        <w:t xml:space="preserve"> Tamar, </w:t>
      </w:r>
      <w:r w:rsidR="00406D5D" w:rsidRPr="00F133CE">
        <w:rPr>
          <w:lang w:bidi="he-IL"/>
        </w:rPr>
        <w:t>whose inhabitants are simply designated by the all-purpose term</w:t>
      </w:r>
      <w:r w:rsidR="00406D5D">
        <w:rPr>
          <w:lang w:val="en-GB" w:bidi="he-IL"/>
        </w:rPr>
        <w:t xml:space="preserve"> </w:t>
      </w:r>
      <w:r w:rsidR="003D56BA">
        <w:rPr>
          <w:lang w:val="en-GB" w:bidi="he-IL"/>
        </w:rPr>
        <w:t>“</w:t>
      </w:r>
      <w:r w:rsidR="00406D5D">
        <w:rPr>
          <w:lang w:val="en-GB" w:bidi="he-IL"/>
        </w:rPr>
        <w:t>Amorites.</w:t>
      </w:r>
      <w:r w:rsidR="003D56BA">
        <w:rPr>
          <w:lang w:val="en-GB" w:bidi="he-IL"/>
        </w:rPr>
        <w:t>”</w:t>
      </w:r>
      <w:r w:rsidR="00406D5D">
        <w:rPr>
          <w:lang w:val="en-GB" w:bidi="he-IL"/>
        </w:rPr>
        <w:t xml:space="preserve"> </w:t>
      </w:r>
      <w:r w:rsidR="00D42DE3">
        <w:rPr>
          <w:lang w:val="en-GB" w:bidi="he-IL"/>
        </w:rPr>
        <w:t xml:space="preserve">The </w:t>
      </w:r>
      <w:r w:rsidR="00356B82">
        <w:rPr>
          <w:lang w:val="en-GB" w:bidi="he-IL"/>
        </w:rPr>
        <w:t xml:space="preserve">place’s </w:t>
      </w:r>
      <w:r w:rsidR="00D42DE3">
        <w:rPr>
          <w:lang w:val="en-GB" w:bidi="he-IL"/>
        </w:rPr>
        <w:t xml:space="preserve">name </w:t>
      </w:r>
      <w:r w:rsidR="00356B82">
        <w:rPr>
          <w:lang w:val="en-GB" w:bidi="he-IL"/>
        </w:rPr>
        <w:t xml:space="preserve">suggests </w:t>
      </w:r>
      <w:r w:rsidR="00D42DE3">
        <w:rPr>
          <w:lang w:val="en-GB" w:bidi="he-IL"/>
        </w:rPr>
        <w:t xml:space="preserve">something to do with gravel and something to do with a palm, an odd combination though </w:t>
      </w:r>
      <w:r w:rsidR="00130FC1">
        <w:rPr>
          <w:lang w:val="en-GB" w:bidi="he-IL"/>
        </w:rPr>
        <w:t xml:space="preserve">it </w:t>
      </w:r>
      <w:r w:rsidR="00D42DE3">
        <w:rPr>
          <w:lang w:val="en-GB" w:bidi="he-IL"/>
        </w:rPr>
        <w:t>fit</w:t>
      </w:r>
      <w:r w:rsidR="00130FC1">
        <w:rPr>
          <w:lang w:val="en-GB" w:bidi="he-IL"/>
        </w:rPr>
        <w:t>s</w:t>
      </w:r>
      <w:r w:rsidR="00D42DE3">
        <w:rPr>
          <w:lang w:val="en-GB" w:bidi="he-IL"/>
        </w:rPr>
        <w:t xml:space="preserve"> a location</w:t>
      </w:r>
      <w:r w:rsidR="00130FC1">
        <w:rPr>
          <w:lang w:val="en-GB" w:bidi="he-IL"/>
        </w:rPr>
        <w:t xml:space="preserve"> near the Dead Sea. </w:t>
      </w:r>
      <w:r w:rsidR="00D42DE3" w:rsidRPr="00D42DE3">
        <w:rPr>
          <w:lang w:bidi="he-IL"/>
        </w:rPr>
        <w:t>Ḥaṣaṣon</w:t>
      </w:r>
      <w:r w:rsidR="00D42DE3">
        <w:rPr>
          <w:lang w:val="en-GB" w:bidi="he-IL"/>
        </w:rPr>
        <w:t xml:space="preserve"> Tamar </w:t>
      </w:r>
      <w:r w:rsidR="00572CD9">
        <w:rPr>
          <w:lang w:val="en-GB" w:bidi="he-IL"/>
        </w:rPr>
        <w:t>is identified with</w:t>
      </w:r>
      <w:r w:rsidR="007F5244">
        <w:rPr>
          <w:lang w:bidi="he-IL"/>
        </w:rPr>
        <w:t xml:space="preserve"> Ein Gedi </w:t>
      </w:r>
      <w:r w:rsidR="003A602F">
        <w:rPr>
          <w:lang w:val="en-GB" w:bidi="he-IL"/>
        </w:rPr>
        <w:t xml:space="preserve">in 2 Chron 20:2 </w:t>
      </w:r>
      <w:r w:rsidR="007F5244">
        <w:rPr>
          <w:lang w:bidi="he-IL"/>
        </w:rPr>
        <w:t>(cf. TgOnq here</w:t>
      </w:r>
      <w:r w:rsidR="00130FC1">
        <w:rPr>
          <w:lang w:bidi="he-IL"/>
        </w:rPr>
        <w:t>), which makes geographical sense</w:t>
      </w:r>
      <w:r w:rsidR="00356B82">
        <w:rPr>
          <w:lang w:bidi="he-IL"/>
        </w:rPr>
        <w:t xml:space="preserve"> insofar as lower Ein Gedi is on the Dead Sea, though the descent from upper Ein Gedi is perilous</w:t>
      </w:r>
      <w:r w:rsidR="00130FC1">
        <w:rPr>
          <w:lang w:bidi="he-IL"/>
        </w:rPr>
        <w:t>.</w:t>
      </w:r>
    </w:p>
    <w:p w14:paraId="74B32FD7" w14:textId="2F8CB11C" w:rsidR="00406D5D" w:rsidRDefault="00C91743" w:rsidP="00521D2F">
      <w:pPr>
        <w:pStyle w:val="ListParagraph"/>
        <w:ind w:left="0" w:firstLine="720"/>
        <w:rPr>
          <w:lang w:val="en-GB" w:bidi="he-IL"/>
        </w:rPr>
      </w:pPr>
      <w:r w:rsidRPr="00C91743">
        <w:rPr>
          <w:b/>
          <w:lang w:bidi="he-IL"/>
        </w:rPr>
        <w:t>14:</w:t>
      </w:r>
      <w:r>
        <w:rPr>
          <w:b/>
          <w:lang w:bidi="he-IL"/>
        </w:rPr>
        <w:t xml:space="preserve">8-11. </w:t>
      </w:r>
      <w:r>
        <w:rPr>
          <w:lang w:val="en-GB" w:bidi="he-IL"/>
        </w:rPr>
        <w:t>The city</w:t>
      </w:r>
      <w:r w:rsidR="00356B82">
        <w:rPr>
          <w:lang w:val="en-GB" w:bidi="he-IL"/>
        </w:rPr>
        <w:t>-state</w:t>
      </w:r>
      <w:r>
        <w:rPr>
          <w:lang w:val="en-GB" w:bidi="he-IL"/>
        </w:rPr>
        <w:t xml:space="preserve"> kings </w:t>
      </w:r>
      <w:r w:rsidR="00406D5D">
        <w:rPr>
          <w:lang w:val="en-GB" w:bidi="he-IL"/>
        </w:rPr>
        <w:t>perhaps realize that Kedorla</w:t>
      </w:r>
      <w:r w:rsidR="00572CD9">
        <w:rPr>
          <w:lang w:val="en-GB" w:bidi="he-IL"/>
        </w:rPr>
        <w:t>‘</w:t>
      </w:r>
      <w:r w:rsidR="00406D5D">
        <w:rPr>
          <w:lang w:val="en-GB" w:bidi="he-IL"/>
        </w:rPr>
        <w:t>omer and company have put down their</w:t>
      </w:r>
      <w:r w:rsidR="00406D5D" w:rsidRPr="00406D5D">
        <w:rPr>
          <w:lang w:bidi="he-IL"/>
        </w:rPr>
        <w:t xml:space="preserve"> neighbors</w:t>
      </w:r>
      <w:r w:rsidR="00406D5D">
        <w:rPr>
          <w:lang w:val="en-GB" w:bidi="he-IL"/>
        </w:rPr>
        <w:t xml:space="preserve"> and </w:t>
      </w:r>
      <w:r w:rsidR="00356B82">
        <w:rPr>
          <w:lang w:val="en-GB" w:bidi="he-IL"/>
        </w:rPr>
        <w:t>potential allies on all sides</w:t>
      </w:r>
      <w:r w:rsidR="003A602F">
        <w:rPr>
          <w:lang w:val="en-GB" w:bidi="he-IL"/>
        </w:rPr>
        <w:t>,</w:t>
      </w:r>
      <w:r w:rsidR="00356B82">
        <w:rPr>
          <w:lang w:val="en-GB" w:bidi="he-IL"/>
        </w:rPr>
        <w:t xml:space="preserve"> and t</w:t>
      </w:r>
      <w:r w:rsidR="00406D5D">
        <w:rPr>
          <w:lang w:val="en-GB" w:bidi="he-IL"/>
        </w:rPr>
        <w:t>he</w:t>
      </w:r>
      <w:r w:rsidR="00356B82">
        <w:rPr>
          <w:lang w:val="en-GB" w:bidi="he-IL"/>
        </w:rPr>
        <w:t>y have to face up to the four</w:t>
      </w:r>
      <w:r w:rsidR="00406D5D">
        <w:rPr>
          <w:lang w:val="en-GB" w:bidi="he-IL"/>
        </w:rPr>
        <w:t xml:space="preserve"> kings on as near as they c</w:t>
      </w:r>
      <w:r w:rsidR="00B7250F">
        <w:rPr>
          <w:lang w:val="en-GB" w:bidi="he-IL"/>
        </w:rPr>
        <w:t>an get to their own terms. T</w:t>
      </w:r>
      <w:r w:rsidR="00406D5D">
        <w:rPr>
          <w:lang w:val="en-GB" w:bidi="he-IL"/>
        </w:rPr>
        <w:t>he story leaps over their inevi</w:t>
      </w:r>
      <w:r w:rsidR="005560C7">
        <w:rPr>
          <w:lang w:val="en-GB" w:bidi="he-IL"/>
        </w:rPr>
        <w:t>table def</w:t>
      </w:r>
      <w:r w:rsidR="00B7250F">
        <w:rPr>
          <w:lang w:val="en-GB" w:bidi="he-IL"/>
        </w:rPr>
        <w:t>eat to the aftermath. With a smi</w:t>
      </w:r>
      <w:r w:rsidR="005560C7">
        <w:rPr>
          <w:lang w:val="en-GB" w:bidi="he-IL"/>
        </w:rPr>
        <w:t xml:space="preserve">rk on his face the narrator reports how </w:t>
      </w:r>
      <w:r w:rsidR="00B7250F">
        <w:rPr>
          <w:lang w:val="en-GB" w:bidi="he-IL"/>
        </w:rPr>
        <w:t xml:space="preserve">two of </w:t>
      </w:r>
      <w:r w:rsidR="005560C7">
        <w:rPr>
          <w:lang w:val="en-GB" w:bidi="he-IL"/>
        </w:rPr>
        <w:t>t</w:t>
      </w:r>
      <w:r w:rsidR="00406D5D">
        <w:rPr>
          <w:lang w:val="en-GB" w:bidi="he-IL"/>
        </w:rPr>
        <w:t>he</w:t>
      </w:r>
      <w:r w:rsidR="00B7250F">
        <w:rPr>
          <w:lang w:val="en-GB" w:bidi="he-IL"/>
        </w:rPr>
        <w:t xml:space="preserve"> kings </w:t>
      </w:r>
      <w:r w:rsidR="005560C7">
        <w:rPr>
          <w:lang w:val="en-GB" w:bidi="he-IL"/>
        </w:rPr>
        <w:t xml:space="preserve">jump into bitumen pits to avoid being caught </w:t>
      </w:r>
      <w:r w:rsidR="00B7250F">
        <w:rPr>
          <w:lang w:val="en-GB" w:bidi="he-IL"/>
        </w:rPr>
        <w:t>and killed, while the other</w:t>
      </w:r>
      <w:r w:rsidR="005560C7">
        <w:rPr>
          <w:lang w:val="en-GB" w:bidi="he-IL"/>
        </w:rPr>
        <w:t>s run for the hills (which the easterners have already captured). Mea</w:t>
      </w:r>
      <w:r w:rsidR="00356B82">
        <w:rPr>
          <w:lang w:val="en-GB" w:bidi="he-IL"/>
        </w:rPr>
        <w:t>nwhile, Kedorla</w:t>
      </w:r>
      <w:r w:rsidR="00572CD9">
        <w:rPr>
          <w:lang w:val="en-GB" w:bidi="he-IL"/>
        </w:rPr>
        <w:t>‘</w:t>
      </w:r>
      <w:r w:rsidR="00356B82">
        <w:rPr>
          <w:lang w:val="en-GB" w:bidi="he-IL"/>
        </w:rPr>
        <w:t xml:space="preserve">omer </w:t>
      </w:r>
      <w:r w:rsidR="005560C7">
        <w:rPr>
          <w:lang w:val="en-GB" w:bidi="he-IL"/>
        </w:rPr>
        <w:t>make</w:t>
      </w:r>
      <w:r w:rsidR="00356B82">
        <w:rPr>
          <w:lang w:val="en-GB" w:bidi="he-IL"/>
        </w:rPr>
        <w:t>s</w:t>
      </w:r>
      <w:r w:rsidR="005560C7">
        <w:rPr>
          <w:lang w:val="en-GB" w:bidi="he-IL"/>
        </w:rPr>
        <w:t xml:space="preserve"> off </w:t>
      </w:r>
      <w:r w:rsidR="00572CD9">
        <w:rPr>
          <w:lang w:val="en-GB" w:bidi="he-IL"/>
        </w:rPr>
        <w:t xml:space="preserve">with the plunder which helps </w:t>
      </w:r>
      <w:r w:rsidR="005560C7">
        <w:rPr>
          <w:lang w:val="en-GB" w:bidi="he-IL"/>
        </w:rPr>
        <w:t xml:space="preserve">make the whole venture worthwhile, and </w:t>
      </w:r>
      <w:r w:rsidR="00356B82">
        <w:rPr>
          <w:lang w:val="en-GB" w:bidi="he-IL"/>
        </w:rPr>
        <w:t xml:space="preserve">with </w:t>
      </w:r>
      <w:r w:rsidR="005560C7">
        <w:rPr>
          <w:lang w:val="en-GB" w:bidi="he-IL"/>
        </w:rPr>
        <w:t>the food which feeds the army.</w:t>
      </w:r>
    </w:p>
    <w:p w14:paraId="193F4EC2" w14:textId="77777777" w:rsidR="00C74E63" w:rsidRDefault="00C91743" w:rsidP="00521D2F">
      <w:pPr>
        <w:pStyle w:val="ListParagraph"/>
        <w:ind w:left="0" w:firstLine="720"/>
        <w:rPr>
          <w:lang w:bidi="he-IL"/>
        </w:rPr>
      </w:pPr>
      <w:r w:rsidRPr="00C91743">
        <w:rPr>
          <w:b/>
          <w:lang w:bidi="he-IL"/>
        </w:rPr>
        <w:t>14:</w:t>
      </w:r>
      <w:r>
        <w:rPr>
          <w:b/>
          <w:lang w:bidi="he-IL"/>
        </w:rPr>
        <w:t xml:space="preserve">12-13. </w:t>
      </w:r>
      <w:proofErr w:type="gramStart"/>
      <w:r w:rsidR="009C4558">
        <w:rPr>
          <w:lang w:bidi="he-IL"/>
        </w:rPr>
        <w:t>In</w:t>
      </w:r>
      <w:proofErr w:type="gramEnd"/>
      <w:r w:rsidR="009C4558">
        <w:rPr>
          <w:lang w:bidi="he-IL"/>
        </w:rPr>
        <w:t xml:space="preserve"> itself the story could end there, but it doesn’t. And following on 13:12-13 it might raise the questio</w:t>
      </w:r>
      <w:r w:rsidR="00B7250F">
        <w:rPr>
          <w:lang w:bidi="he-IL"/>
        </w:rPr>
        <w:t xml:space="preserve">n, what happened to Lot, then? </w:t>
      </w:r>
      <w:r w:rsidR="00C74E63">
        <w:rPr>
          <w:lang w:bidi="he-IL"/>
        </w:rPr>
        <w:t xml:space="preserve">Taking </w:t>
      </w:r>
      <w:r w:rsidR="005560C7">
        <w:rPr>
          <w:lang w:bidi="he-IL"/>
        </w:rPr>
        <w:t>captive</w:t>
      </w:r>
      <w:r w:rsidR="00C74E63">
        <w:rPr>
          <w:lang w:bidi="he-IL"/>
        </w:rPr>
        <w:t>s is another practice that</w:t>
      </w:r>
      <w:r w:rsidR="00B7250F">
        <w:rPr>
          <w:lang w:bidi="he-IL"/>
        </w:rPr>
        <w:t xml:space="preserve"> makes war worthwhile, b</w:t>
      </w:r>
      <w:r w:rsidR="005560C7">
        <w:rPr>
          <w:lang w:bidi="he-IL"/>
        </w:rPr>
        <w:t>ut the mention</w:t>
      </w:r>
      <w:r w:rsidR="00C74E63">
        <w:rPr>
          <w:lang w:bidi="he-IL"/>
        </w:rPr>
        <w:t xml:space="preserve"> of Lot alone reflects the particular interest</w:t>
      </w:r>
      <w:r w:rsidR="005560C7">
        <w:rPr>
          <w:lang w:bidi="he-IL"/>
        </w:rPr>
        <w:t xml:space="preserve"> of the story. </w:t>
      </w:r>
    </w:p>
    <w:p w14:paraId="2CBD2180" w14:textId="0F6AEEBB" w:rsidR="005560C7" w:rsidRDefault="00B00D36" w:rsidP="00521D2F">
      <w:pPr>
        <w:pStyle w:val="ListParagraph"/>
        <w:ind w:left="0" w:firstLine="720"/>
        <w:rPr>
          <w:lang w:bidi="he-IL"/>
        </w:rPr>
      </w:pPr>
      <w:r>
        <w:rPr>
          <w:lang w:bidi="he-IL"/>
        </w:rPr>
        <w:t xml:space="preserve">In 13:18 one would have thought </w:t>
      </w:r>
      <w:r w:rsidR="00C74E63">
        <w:rPr>
          <w:lang w:bidi="he-IL"/>
        </w:rPr>
        <w:t xml:space="preserve">that </w:t>
      </w:r>
      <w:r>
        <w:rPr>
          <w:lang w:bidi="he-IL"/>
        </w:rPr>
        <w:t>Mamre</w:t>
      </w:r>
      <w:r w:rsidR="00B7250F">
        <w:rPr>
          <w:lang w:bidi="he-IL"/>
        </w:rPr>
        <w:t xml:space="preserve"> (v. 13), up on the mountain ridge to the west, </w:t>
      </w:r>
      <w:r>
        <w:rPr>
          <w:lang w:bidi="he-IL"/>
        </w:rPr>
        <w:t>was simply a place name,</w:t>
      </w:r>
      <w:r w:rsidR="00572CD9">
        <w:rPr>
          <w:lang w:bidi="he-IL"/>
        </w:rPr>
        <w:t xml:space="preserve"> but here </w:t>
      </w:r>
      <w:r>
        <w:rPr>
          <w:lang w:bidi="he-IL"/>
        </w:rPr>
        <w:t>i</w:t>
      </w:r>
      <w:r w:rsidR="00B7250F">
        <w:rPr>
          <w:lang w:bidi="he-IL"/>
        </w:rPr>
        <w:t>t is the name of a person;</w:t>
      </w:r>
      <w:r w:rsidR="00572CD9">
        <w:rPr>
          <w:lang w:bidi="he-IL"/>
        </w:rPr>
        <w:t xml:space="preserve"> Mamre’</w:t>
      </w:r>
      <w:r>
        <w:rPr>
          <w:lang w:bidi="he-IL"/>
        </w:rPr>
        <w:t xml:space="preserve">s two brothers </w:t>
      </w:r>
      <w:r w:rsidR="00B7250F">
        <w:rPr>
          <w:lang w:bidi="he-IL"/>
        </w:rPr>
        <w:t>also</w:t>
      </w:r>
      <w:r w:rsidR="00C74E63">
        <w:rPr>
          <w:lang w:bidi="he-IL"/>
        </w:rPr>
        <w:t xml:space="preserve"> </w:t>
      </w:r>
      <w:r w:rsidR="00572CD9">
        <w:rPr>
          <w:lang w:bidi="he-IL"/>
        </w:rPr>
        <w:t>have names that</w:t>
      </w:r>
      <w:r w:rsidR="00C74E63">
        <w:rPr>
          <w:lang w:bidi="he-IL"/>
        </w:rPr>
        <w:t xml:space="preserve"> are also na</w:t>
      </w:r>
      <w:r w:rsidR="00B7250F">
        <w:rPr>
          <w:lang w:bidi="he-IL"/>
        </w:rPr>
        <w:t>mes of places. The three</w:t>
      </w:r>
      <w:r w:rsidR="00D813F5">
        <w:rPr>
          <w:lang w:bidi="he-IL"/>
        </w:rPr>
        <w:t xml:space="preserve"> are </w:t>
      </w:r>
      <w:r w:rsidR="003D56BA">
        <w:rPr>
          <w:lang w:bidi="he-IL"/>
        </w:rPr>
        <w:t>“</w:t>
      </w:r>
      <w:r w:rsidR="00D813F5">
        <w:rPr>
          <w:lang w:bidi="he-IL"/>
        </w:rPr>
        <w:t>hol</w:t>
      </w:r>
      <w:r w:rsidR="00B7250F">
        <w:rPr>
          <w:lang w:bidi="he-IL"/>
        </w:rPr>
        <w:t>ders/</w:t>
      </w:r>
      <w:r w:rsidR="00C74E63">
        <w:rPr>
          <w:lang w:bidi="he-IL"/>
        </w:rPr>
        <w:t>lords of Abraham’s pact</w:t>
      </w:r>
      <w:r w:rsidR="003D56BA">
        <w:rPr>
          <w:lang w:bidi="he-IL"/>
        </w:rPr>
        <w:t>”</w:t>
      </w:r>
      <w:r w:rsidR="00C74E63">
        <w:rPr>
          <w:lang w:bidi="he-IL"/>
        </w:rPr>
        <w:t>: that is, Abraham has entered into a mutual alliance with th</w:t>
      </w:r>
      <w:r w:rsidR="00B7250F">
        <w:rPr>
          <w:lang w:bidi="he-IL"/>
        </w:rPr>
        <w:t xml:space="preserve">em which among other things would commit them </w:t>
      </w:r>
      <w:r w:rsidR="00C74E63">
        <w:rPr>
          <w:lang w:bidi="he-IL"/>
        </w:rPr>
        <w:t xml:space="preserve">not </w:t>
      </w:r>
      <w:r w:rsidR="00B7250F">
        <w:rPr>
          <w:lang w:bidi="he-IL"/>
        </w:rPr>
        <w:t>to attack each other and to watch</w:t>
      </w:r>
      <w:r w:rsidR="00C74E63">
        <w:rPr>
          <w:lang w:bidi="he-IL"/>
        </w:rPr>
        <w:t xml:space="preserve"> each other’s backs.</w:t>
      </w:r>
      <w:r w:rsidR="00D813F5">
        <w:rPr>
          <w:lang w:bidi="he-IL"/>
        </w:rPr>
        <w:t xml:space="preserve"> </w:t>
      </w:r>
      <w:r w:rsidR="00C74E63">
        <w:rPr>
          <w:lang w:bidi="he-IL"/>
        </w:rPr>
        <w:t>In this context, Abraham is called an Ibrite, a</w:t>
      </w:r>
      <w:r w:rsidR="00B66FD4">
        <w:rPr>
          <w:lang w:bidi="he-IL"/>
        </w:rPr>
        <w:t xml:space="preserve"> </w:t>
      </w:r>
      <w:r w:rsidR="00B7250F">
        <w:rPr>
          <w:lang w:bidi="he-IL"/>
        </w:rPr>
        <w:t>“</w:t>
      </w:r>
      <w:r w:rsidR="00B66FD4">
        <w:rPr>
          <w:lang w:bidi="he-IL"/>
        </w:rPr>
        <w:t>Hebrew.</w:t>
      </w:r>
      <w:r w:rsidR="00B7250F">
        <w:rPr>
          <w:lang w:bidi="he-IL"/>
        </w:rPr>
        <w:t>”</w:t>
      </w:r>
      <w:r w:rsidR="003C2339">
        <w:rPr>
          <w:lang w:bidi="he-IL"/>
        </w:rPr>
        <w:t xml:space="preserve"> LXX translates</w:t>
      </w:r>
      <w:r w:rsidR="00C74E63">
        <w:rPr>
          <w:lang w:bidi="he-IL"/>
        </w:rPr>
        <w:t xml:space="preserve"> the word</w:t>
      </w:r>
      <w:r w:rsidR="003C2339">
        <w:rPr>
          <w:lang w:bidi="he-IL"/>
        </w:rPr>
        <w:t xml:space="preserve"> </w:t>
      </w:r>
      <w:r w:rsidR="003D56BA">
        <w:rPr>
          <w:lang w:bidi="he-IL"/>
        </w:rPr>
        <w:t>“</w:t>
      </w:r>
      <w:r w:rsidR="00A07454">
        <w:rPr>
          <w:lang w:bidi="he-IL"/>
        </w:rPr>
        <w:t>emigrant</w:t>
      </w:r>
      <w:r w:rsidR="003D56BA">
        <w:rPr>
          <w:lang w:bidi="he-IL"/>
        </w:rPr>
        <w:t>”</w:t>
      </w:r>
      <w:r w:rsidR="00A07454">
        <w:rPr>
          <w:lang w:bidi="he-IL"/>
        </w:rPr>
        <w:t xml:space="preserve"> or </w:t>
      </w:r>
      <w:r w:rsidR="003D56BA">
        <w:rPr>
          <w:lang w:bidi="he-IL"/>
        </w:rPr>
        <w:t>“</w:t>
      </w:r>
      <w:r w:rsidR="003C2339" w:rsidRPr="003C2339">
        <w:rPr>
          <w:lang w:bidi="he-IL"/>
        </w:rPr>
        <w:t>transient</w:t>
      </w:r>
      <w:r w:rsidR="003C2339">
        <w:rPr>
          <w:lang w:bidi="he-IL"/>
        </w:rPr>
        <w:t>,</w:t>
      </w:r>
      <w:r w:rsidR="003D56BA">
        <w:rPr>
          <w:lang w:bidi="he-IL"/>
        </w:rPr>
        <w:t>”</w:t>
      </w:r>
      <w:r w:rsidR="00A07454">
        <w:rPr>
          <w:rStyle w:val="FootnoteReference"/>
          <w:lang w:bidi="he-IL"/>
        </w:rPr>
        <w:footnoteReference w:id="164"/>
      </w:r>
      <w:r w:rsidR="003C2339">
        <w:rPr>
          <w:lang w:bidi="he-IL"/>
        </w:rPr>
        <w:t xml:space="preserve"> </w:t>
      </w:r>
      <w:r w:rsidR="008D22E8">
        <w:rPr>
          <w:lang w:bidi="he-IL"/>
        </w:rPr>
        <w:t>which fits</w:t>
      </w:r>
      <w:r w:rsidR="00C74E63">
        <w:rPr>
          <w:lang w:bidi="he-IL"/>
        </w:rPr>
        <w:t xml:space="preserve"> it</w:t>
      </w:r>
      <w:r w:rsidR="008D22E8">
        <w:rPr>
          <w:lang w:bidi="he-IL"/>
        </w:rPr>
        <w:t>s similarity to the Akkadian term ḫabiru (with variants) denoting</w:t>
      </w:r>
      <w:r w:rsidR="008D22E8" w:rsidRPr="008D22E8">
        <w:rPr>
          <w:lang w:bidi="he-IL"/>
        </w:rPr>
        <w:t xml:space="preserve"> people who are outsiders in relation to the society in question</w:t>
      </w:r>
      <w:r w:rsidR="00200A7D">
        <w:rPr>
          <w:lang w:bidi="he-IL"/>
        </w:rPr>
        <w:t xml:space="preserve"> and of questionable social status</w:t>
      </w:r>
      <w:r w:rsidR="00092A1F">
        <w:rPr>
          <w:lang w:bidi="he-IL"/>
        </w:rPr>
        <w:t xml:space="preserve">; it’s a term like </w:t>
      </w:r>
      <w:r w:rsidR="003D56BA">
        <w:rPr>
          <w:lang w:bidi="he-IL"/>
        </w:rPr>
        <w:t>“</w:t>
      </w:r>
      <w:r w:rsidR="00092A1F">
        <w:rPr>
          <w:lang w:bidi="he-IL"/>
        </w:rPr>
        <w:t>gypsies</w:t>
      </w:r>
      <w:r w:rsidR="008D22E8">
        <w:rPr>
          <w:lang w:bidi="he-IL"/>
        </w:rPr>
        <w:t>.</w:t>
      </w:r>
      <w:r w:rsidR="003D56BA">
        <w:rPr>
          <w:lang w:bidi="he-IL"/>
        </w:rPr>
        <w:t>”</w:t>
      </w:r>
      <w:r w:rsidR="00200A7D">
        <w:rPr>
          <w:lang w:bidi="he-IL"/>
        </w:rPr>
        <w:t xml:space="preserve"> And within the First Testament it often has this connotation.</w:t>
      </w:r>
      <w:r w:rsidR="008D22E8">
        <w:rPr>
          <w:lang w:bidi="he-IL"/>
        </w:rPr>
        <w:t xml:space="preserve"> </w:t>
      </w:r>
      <w:r w:rsidR="00B74DA7">
        <w:rPr>
          <w:lang w:bidi="he-IL"/>
        </w:rPr>
        <w:t xml:space="preserve">But </w:t>
      </w:r>
      <w:r w:rsidR="00092A1F">
        <w:rPr>
          <w:lang w:bidi="he-IL"/>
        </w:rPr>
        <w:t>in this context,</w:t>
      </w:r>
      <w:r w:rsidR="00C74E63">
        <w:rPr>
          <w:lang w:bidi="he-IL"/>
        </w:rPr>
        <w:t xml:space="preserve"> </w:t>
      </w:r>
      <w:r w:rsidR="00092A1F">
        <w:rPr>
          <w:lang w:bidi="he-IL"/>
        </w:rPr>
        <w:t xml:space="preserve">Abraham’s being an Ibrite, </w:t>
      </w:r>
      <w:r w:rsidR="00092A1F" w:rsidRPr="00092A1F">
        <w:rPr>
          <w:lang w:bidi="he-IL"/>
        </w:rPr>
        <w:t>a descendant of Eber,</w:t>
      </w:r>
      <w:r w:rsidR="00727890">
        <w:rPr>
          <w:lang w:bidi="he-IL"/>
        </w:rPr>
        <w:t xml:space="preserve"> </w:t>
      </w:r>
      <w:r w:rsidR="00092A1F">
        <w:rPr>
          <w:lang w:bidi="he-IL"/>
        </w:rPr>
        <w:t>is set over against Mamre’s being an Amorite, a descendant of Ham</w:t>
      </w:r>
      <w:r w:rsidR="00B74DA7">
        <w:rPr>
          <w:lang w:bidi="he-IL"/>
        </w:rPr>
        <w:t xml:space="preserve"> </w:t>
      </w:r>
      <w:r w:rsidR="00092A1F">
        <w:rPr>
          <w:lang w:bidi="he-IL"/>
        </w:rPr>
        <w:t>(see Gen 10); so it is more likely an ethnic term.</w:t>
      </w:r>
      <w:r w:rsidR="00B74DA7">
        <w:rPr>
          <w:rStyle w:val="FootnoteReference"/>
          <w:lang w:bidi="he-IL"/>
        </w:rPr>
        <w:footnoteReference w:id="165"/>
      </w:r>
    </w:p>
    <w:p w14:paraId="6EBAE7BD" w14:textId="55D3CB87" w:rsidR="00C91743" w:rsidRDefault="00C91743" w:rsidP="00521D2F">
      <w:pPr>
        <w:pStyle w:val="ListParagraph"/>
        <w:ind w:left="0" w:firstLine="720"/>
        <w:rPr>
          <w:lang w:bidi="he-IL"/>
        </w:rPr>
      </w:pPr>
      <w:r w:rsidRPr="00C91743">
        <w:rPr>
          <w:b/>
          <w:lang w:bidi="he-IL"/>
        </w:rPr>
        <w:t>14:</w:t>
      </w:r>
      <w:r>
        <w:rPr>
          <w:b/>
          <w:lang w:bidi="he-IL"/>
        </w:rPr>
        <w:t xml:space="preserve">14-16. </w:t>
      </w:r>
      <w:proofErr w:type="gramStart"/>
      <w:r w:rsidR="00FB7868" w:rsidRPr="00FB7868">
        <w:rPr>
          <w:lang w:bidi="he-IL"/>
        </w:rPr>
        <w:t>Like</w:t>
      </w:r>
      <w:proofErr w:type="gramEnd"/>
      <w:r w:rsidR="00FB7868" w:rsidRPr="00FB7868">
        <w:rPr>
          <w:lang w:bidi="he-IL"/>
        </w:rPr>
        <w:t xml:space="preserve"> the account of the five kings’ defeat,</w:t>
      </w:r>
      <w:r w:rsidR="00FB7868">
        <w:rPr>
          <w:b/>
          <w:lang w:bidi="he-IL"/>
        </w:rPr>
        <w:t xml:space="preserve"> </w:t>
      </w:r>
      <w:r w:rsidR="00FB7868">
        <w:rPr>
          <w:lang w:bidi="he-IL"/>
        </w:rPr>
        <w:t>the account of Abraha</w:t>
      </w:r>
      <w:r w:rsidR="007F4B61">
        <w:rPr>
          <w:lang w:bidi="he-IL"/>
        </w:rPr>
        <w:t>m’s expedition is told briskly, leaving</w:t>
      </w:r>
      <w:r w:rsidR="0057420B">
        <w:rPr>
          <w:lang w:bidi="he-IL"/>
        </w:rPr>
        <w:t xml:space="preserve"> us to fill</w:t>
      </w:r>
      <w:r w:rsidR="00FB7868">
        <w:rPr>
          <w:lang w:bidi="he-IL"/>
        </w:rPr>
        <w:t xml:space="preserve"> in the dots. </w:t>
      </w:r>
      <w:r w:rsidR="009C4558">
        <w:rPr>
          <w:lang w:bidi="he-IL"/>
        </w:rPr>
        <w:t>It apparently doesn’</w:t>
      </w:r>
      <w:r>
        <w:rPr>
          <w:lang w:bidi="he-IL"/>
        </w:rPr>
        <w:t xml:space="preserve">t need saying that </w:t>
      </w:r>
      <w:r w:rsidR="00FB7868">
        <w:rPr>
          <w:lang w:bidi="he-IL"/>
        </w:rPr>
        <w:t xml:space="preserve">the </w:t>
      </w:r>
      <w:r>
        <w:rPr>
          <w:lang w:bidi="he-IL"/>
        </w:rPr>
        <w:t xml:space="preserve">people with whom Abraham has a pact will join </w:t>
      </w:r>
      <w:r w:rsidR="00FB7868">
        <w:rPr>
          <w:lang w:bidi="he-IL"/>
        </w:rPr>
        <w:t>him in the venture</w:t>
      </w:r>
      <w:r>
        <w:rPr>
          <w:lang w:bidi="he-IL"/>
        </w:rPr>
        <w:t>. The narr</w:t>
      </w:r>
      <w:r w:rsidR="00FB7868">
        <w:rPr>
          <w:lang w:bidi="he-IL"/>
        </w:rPr>
        <w:t xml:space="preserve">ative also reads as if we know </w:t>
      </w:r>
      <w:r>
        <w:rPr>
          <w:lang w:bidi="he-IL"/>
        </w:rPr>
        <w:t>tha</w:t>
      </w:r>
      <w:r w:rsidR="009F0E3A">
        <w:rPr>
          <w:lang w:bidi="he-IL"/>
        </w:rPr>
        <w:t xml:space="preserve">t Abraham’s company is </w:t>
      </w:r>
      <w:r>
        <w:rPr>
          <w:lang w:bidi="he-IL"/>
        </w:rPr>
        <w:t xml:space="preserve">much larger than we might have guessed even from the information that Abraham’s family and Lot’s family cannot </w:t>
      </w:r>
      <w:r w:rsidR="004A1D37">
        <w:rPr>
          <w:lang w:bidi="he-IL"/>
        </w:rPr>
        <w:t>all fit in the land around Beth E</w:t>
      </w:r>
      <w:r>
        <w:rPr>
          <w:lang w:bidi="he-IL"/>
        </w:rPr>
        <w:t>l</w:t>
      </w:r>
      <w:r w:rsidR="00FB7868">
        <w:rPr>
          <w:lang w:bidi="he-IL"/>
        </w:rPr>
        <w:t>; 318 implies a total clan in four figures</w:t>
      </w:r>
      <w:r w:rsidR="007F4B61">
        <w:rPr>
          <w:lang w:bidi="he-IL"/>
        </w:rPr>
        <w:t xml:space="preserve"> (b</w:t>
      </w:r>
      <w:r w:rsidR="00FB7868">
        <w:rPr>
          <w:lang w:bidi="he-IL"/>
        </w:rPr>
        <w:t>ut further significance in</w:t>
      </w:r>
      <w:r w:rsidR="00A94976">
        <w:rPr>
          <w:lang w:bidi="he-IL"/>
        </w:rPr>
        <w:t xml:space="preserve"> the number 318 may emerge at 15:2</w:t>
      </w:r>
      <w:r w:rsidR="007F4B61">
        <w:rPr>
          <w:lang w:bidi="he-IL"/>
        </w:rPr>
        <w:t>)</w:t>
      </w:r>
      <w:r w:rsidR="00A94976">
        <w:rPr>
          <w:lang w:bidi="he-IL"/>
        </w:rPr>
        <w:t xml:space="preserve">. </w:t>
      </w:r>
      <w:r w:rsidR="0008026A">
        <w:rPr>
          <w:lang w:bidi="he-IL"/>
        </w:rPr>
        <w:t xml:space="preserve">Abraham’s </w:t>
      </w:r>
      <w:r w:rsidR="009F0E3A">
        <w:rPr>
          <w:lang w:bidi="he-IL"/>
        </w:rPr>
        <w:t xml:space="preserve">company </w:t>
      </w:r>
      <w:r w:rsidR="00AA5028">
        <w:rPr>
          <w:lang w:bidi="he-IL"/>
        </w:rPr>
        <w:t>comprises men who were</w:t>
      </w:r>
      <w:r w:rsidR="00C03E8A">
        <w:rPr>
          <w:lang w:bidi="he-IL"/>
        </w:rPr>
        <w:t xml:space="preserve"> born</w:t>
      </w:r>
      <w:r w:rsidR="00FB7868">
        <w:rPr>
          <w:lang w:bidi="he-IL"/>
        </w:rPr>
        <w:t xml:space="preserve"> and raised</w:t>
      </w:r>
      <w:r w:rsidR="00AA5028">
        <w:rPr>
          <w:lang w:bidi="he-IL"/>
        </w:rPr>
        <w:t xml:space="preserve"> </w:t>
      </w:r>
      <w:r w:rsidR="00FB7868">
        <w:rPr>
          <w:lang w:bidi="he-IL"/>
        </w:rPr>
        <w:t>in his household as servants</w:t>
      </w:r>
      <w:r w:rsidR="00AA5028">
        <w:rPr>
          <w:lang w:bidi="he-IL"/>
        </w:rPr>
        <w:t>, who are therefore unquestionably loyal to him; they are not mercenaries or peopl</w:t>
      </w:r>
      <w:r w:rsidR="00FB7868">
        <w:rPr>
          <w:lang w:bidi="he-IL"/>
        </w:rPr>
        <w:t>e whom he</w:t>
      </w:r>
      <w:r w:rsidR="00572CD9">
        <w:rPr>
          <w:lang w:bidi="he-IL"/>
        </w:rPr>
        <w:t xml:space="preserve"> captured or bought</w:t>
      </w:r>
      <w:r w:rsidR="00AA5028">
        <w:rPr>
          <w:lang w:bidi="he-IL"/>
        </w:rPr>
        <w:t xml:space="preserve">. </w:t>
      </w:r>
      <w:r w:rsidR="009F0E3A">
        <w:rPr>
          <w:lang w:bidi="he-IL"/>
        </w:rPr>
        <w:t xml:space="preserve">They are people he trained or brought up: </w:t>
      </w:r>
      <w:r w:rsidR="003D56BA">
        <w:rPr>
          <w:lang w:bidi="he-IL"/>
        </w:rPr>
        <w:t>“</w:t>
      </w:r>
      <w:r w:rsidR="00AA5028">
        <w:rPr>
          <w:lang w:bidi="he-IL"/>
        </w:rPr>
        <w:t>Train a youth in connection with his way, and when he is old he will not depart from it</w:t>
      </w:r>
      <w:r w:rsidR="003D56BA">
        <w:rPr>
          <w:lang w:bidi="he-IL"/>
        </w:rPr>
        <w:t>”</w:t>
      </w:r>
      <w:r w:rsidR="00AA5028">
        <w:rPr>
          <w:lang w:bidi="he-IL"/>
        </w:rPr>
        <w:t xml:space="preserve"> (Prov 22:6).</w:t>
      </w:r>
      <w:r w:rsidR="007F4B61">
        <w:rPr>
          <w:lang w:bidi="he-IL"/>
        </w:rPr>
        <w:t xml:space="preserve"> After t</w:t>
      </w:r>
      <w:r w:rsidR="009F0E3A">
        <w:rPr>
          <w:lang w:bidi="he-IL"/>
        </w:rPr>
        <w:t>he four kings have made their triumphant departure from the Dead Sea area by goin</w:t>
      </w:r>
      <w:r w:rsidR="007F4B61">
        <w:rPr>
          <w:lang w:bidi="he-IL"/>
        </w:rPr>
        <w:t>g straight up the Jordan Valley,</w:t>
      </w:r>
      <w:r w:rsidR="009F0E3A">
        <w:rPr>
          <w:lang w:bidi="he-IL"/>
        </w:rPr>
        <w:t xml:space="preserve"> Abraham catches up with them at what will eventually be the northern border of Israel itself, the natural border between Canaan and Syria.</w:t>
      </w:r>
      <w:r w:rsidR="00655F0E">
        <w:rPr>
          <w:lang w:bidi="he-IL"/>
        </w:rPr>
        <w:t xml:space="preserve"> </w:t>
      </w:r>
      <w:r w:rsidR="0035006A">
        <w:rPr>
          <w:lang w:bidi="he-IL"/>
        </w:rPr>
        <w:t xml:space="preserve">Dan will be its name after the </w:t>
      </w:r>
      <w:r w:rsidR="002E7E98">
        <w:rPr>
          <w:lang w:bidi="he-IL"/>
        </w:rPr>
        <w:t>Danites</w:t>
      </w:r>
      <w:r w:rsidR="00572CD9">
        <w:rPr>
          <w:lang w:bidi="he-IL"/>
        </w:rPr>
        <w:t xml:space="preserve"> move</w:t>
      </w:r>
      <w:r w:rsidR="00655F0E">
        <w:rPr>
          <w:lang w:bidi="he-IL"/>
        </w:rPr>
        <w:t xml:space="preserve"> there in the Judges period.</w:t>
      </w:r>
      <w:r w:rsidR="0035006A">
        <w:rPr>
          <w:lang w:bidi="he-IL"/>
        </w:rPr>
        <w:t xml:space="preserve"> </w:t>
      </w:r>
      <w:r w:rsidR="002E7E98">
        <w:rPr>
          <w:lang w:bidi="he-IL"/>
        </w:rPr>
        <w:t xml:space="preserve">One does wonder </w:t>
      </w:r>
      <w:r w:rsidR="0035006A">
        <w:rPr>
          <w:lang w:bidi="he-IL"/>
        </w:rPr>
        <w:t xml:space="preserve">what </w:t>
      </w:r>
      <w:r w:rsidR="00572CD9">
        <w:rPr>
          <w:lang w:bidi="he-IL"/>
        </w:rPr>
        <w:t>the kings</w:t>
      </w:r>
      <w:r w:rsidR="002E7E98">
        <w:rPr>
          <w:lang w:bidi="he-IL"/>
        </w:rPr>
        <w:t xml:space="preserve"> are</w:t>
      </w:r>
      <w:r w:rsidR="0035006A">
        <w:rPr>
          <w:lang w:bidi="he-IL"/>
        </w:rPr>
        <w:t xml:space="preserve"> doing so far north if they are o</w:t>
      </w:r>
      <w:r w:rsidR="002E7E98">
        <w:rPr>
          <w:lang w:bidi="he-IL"/>
        </w:rPr>
        <w:t xml:space="preserve">n their way to Damascus, Babylonia, and Elam, though it would be less </w:t>
      </w:r>
      <w:r w:rsidR="007F4B61">
        <w:rPr>
          <w:lang w:bidi="he-IL"/>
        </w:rPr>
        <w:t xml:space="preserve">circuitous </w:t>
      </w:r>
      <w:r w:rsidR="002E7E98">
        <w:rPr>
          <w:lang w:bidi="he-IL"/>
        </w:rPr>
        <w:t>a route on the way to Turkey; perhaps they have other conquests in mind.</w:t>
      </w:r>
      <w:r w:rsidR="0035006A">
        <w:rPr>
          <w:rStyle w:val="FootnoteReference"/>
          <w:lang w:bidi="he-IL"/>
        </w:rPr>
        <w:footnoteReference w:id="166"/>
      </w:r>
    </w:p>
    <w:p w14:paraId="13593F5D" w14:textId="4BB54323" w:rsidR="009F0E3A" w:rsidRDefault="002E7E98" w:rsidP="00521D2F">
      <w:pPr>
        <w:pStyle w:val="ListParagraph"/>
        <w:ind w:left="0" w:firstLine="720"/>
        <w:rPr>
          <w:lang w:bidi="he-IL"/>
        </w:rPr>
      </w:pPr>
      <w:r>
        <w:rPr>
          <w:lang w:bidi="he-IL"/>
        </w:rPr>
        <w:t>Abraham</w:t>
      </w:r>
      <w:r w:rsidR="009F0E3A">
        <w:rPr>
          <w:lang w:bidi="he-IL"/>
        </w:rPr>
        <w:t xml:space="preserve"> and his makeshift army divide into several companies (v. 15), come upon the four kings by night with the advantage of surprise, and turn their orderly march homewards into a flight</w:t>
      </w:r>
      <w:r w:rsidR="007F4B61">
        <w:rPr>
          <w:lang w:bidi="he-IL"/>
        </w:rPr>
        <w:t>,</w:t>
      </w:r>
      <w:r w:rsidR="009F0E3A">
        <w:rPr>
          <w:lang w:bidi="he-IL"/>
        </w:rPr>
        <w:t xml:space="preserve"> for those who are lucky enough not to get struck down. </w:t>
      </w:r>
      <w:r w:rsidR="003D56BA">
        <w:rPr>
          <w:lang w:bidi="he-IL"/>
        </w:rPr>
        <w:t>“</w:t>
      </w:r>
      <w:r w:rsidR="00BB58E3">
        <w:rPr>
          <w:lang w:bidi="he-IL"/>
        </w:rPr>
        <w:t>The victors become the victims.</w:t>
      </w:r>
      <w:r w:rsidR="003D56BA">
        <w:rPr>
          <w:lang w:bidi="he-IL"/>
        </w:rPr>
        <w:t>”</w:t>
      </w:r>
      <w:r w:rsidR="00BB58E3">
        <w:rPr>
          <w:rStyle w:val="FootnoteReference"/>
          <w:lang w:bidi="he-IL"/>
        </w:rPr>
        <w:footnoteReference w:id="167"/>
      </w:r>
      <w:r w:rsidR="00572CD9">
        <w:rPr>
          <w:lang w:bidi="he-IL"/>
        </w:rPr>
        <w:t xml:space="preserve">Whereas </w:t>
      </w:r>
      <w:r>
        <w:rPr>
          <w:lang w:bidi="he-IL"/>
        </w:rPr>
        <w:lastRenderedPageBreak/>
        <w:t>Damascus would be</w:t>
      </w:r>
      <w:r w:rsidR="009F0E3A">
        <w:rPr>
          <w:lang w:bidi="he-IL"/>
        </w:rPr>
        <w:t xml:space="preserve"> on the way home </w:t>
      </w:r>
      <w:r w:rsidR="001D6CC6">
        <w:rPr>
          <w:lang w:bidi="he-IL"/>
        </w:rPr>
        <w:t xml:space="preserve">for them </w:t>
      </w:r>
      <w:r w:rsidR="009F0E3A">
        <w:rPr>
          <w:lang w:bidi="he-IL"/>
        </w:rPr>
        <w:t>(Abraham has presumably not been there since his journey summarized in Gen 12)</w:t>
      </w:r>
      <w:r w:rsidR="00572CD9">
        <w:rPr>
          <w:lang w:bidi="he-IL"/>
        </w:rPr>
        <w:t>,</w:t>
      </w:r>
      <w:r w:rsidR="001D6CC6">
        <w:rPr>
          <w:lang w:bidi="he-IL"/>
        </w:rPr>
        <w:t xml:space="preserve"> we don’t know how far beyond Damascus Hobah is.</w:t>
      </w:r>
    </w:p>
    <w:p w14:paraId="61E09672" w14:textId="77777777" w:rsidR="001D6CC6" w:rsidRDefault="001D6CC6" w:rsidP="00521D2F">
      <w:pPr>
        <w:pStyle w:val="ListParagraph"/>
        <w:ind w:left="0" w:firstLine="720"/>
        <w:rPr>
          <w:lang w:bidi="he-IL"/>
        </w:rPr>
      </w:pPr>
      <w:r>
        <w:rPr>
          <w:lang w:bidi="he-IL"/>
        </w:rPr>
        <w:t>So Abraham is able to take back Lot and his people (v. 16) and also to take back to the five city-st</w:t>
      </w:r>
      <w:r w:rsidR="00CE3CD5">
        <w:rPr>
          <w:lang w:bidi="he-IL"/>
        </w:rPr>
        <w:t xml:space="preserve">ates the property </w:t>
      </w:r>
      <w:r>
        <w:rPr>
          <w:lang w:bidi="he-IL"/>
        </w:rPr>
        <w:t>plundered from them and the people who had been captured, including the women whose future life as captives would hardly bear thinking about.</w:t>
      </w:r>
      <w:r w:rsidR="00790080">
        <w:rPr>
          <w:rStyle w:val="FootnoteReference"/>
          <w:lang w:bidi="he-IL"/>
        </w:rPr>
        <w:footnoteReference w:id="168"/>
      </w:r>
      <w:r>
        <w:rPr>
          <w:lang w:bidi="he-IL"/>
        </w:rPr>
        <w:t xml:space="preserve"> </w:t>
      </w:r>
    </w:p>
    <w:p w14:paraId="7FF86E13" w14:textId="77777777" w:rsidR="00F73316" w:rsidRDefault="001D6CC6" w:rsidP="00521D2F">
      <w:pPr>
        <w:pStyle w:val="ListParagraph"/>
        <w:ind w:left="0" w:firstLine="720"/>
        <w:rPr>
          <w:lang w:bidi="he-IL"/>
        </w:rPr>
      </w:pPr>
      <w:r>
        <w:rPr>
          <w:b/>
          <w:lang w:bidi="he-IL"/>
        </w:rPr>
        <w:t>14:17-20</w:t>
      </w:r>
      <w:r w:rsidR="002E7E98">
        <w:rPr>
          <w:lang w:bidi="he-IL"/>
        </w:rPr>
        <w:t>. Once again, t</w:t>
      </w:r>
      <w:r>
        <w:rPr>
          <w:lang w:bidi="he-IL"/>
        </w:rPr>
        <w:t>he story could end there, but it doesn’t.</w:t>
      </w:r>
      <w:r w:rsidR="009C4558">
        <w:rPr>
          <w:lang w:bidi="he-IL"/>
        </w:rPr>
        <w:t xml:space="preserve"> It might raise the question, so what happened to all that stuff? Did Abraham just keep it, the same way he kept his </w:t>
      </w:r>
      <w:r w:rsidR="009F6B15">
        <w:rPr>
          <w:lang w:bidi="he-IL"/>
        </w:rPr>
        <w:t>(</w:t>
      </w:r>
      <w:r w:rsidR="009C4558">
        <w:rPr>
          <w:lang w:bidi="he-IL"/>
        </w:rPr>
        <w:t>arguably ill-gotten</w:t>
      </w:r>
      <w:r w:rsidR="009F6B15">
        <w:rPr>
          <w:lang w:bidi="he-IL"/>
        </w:rPr>
        <w:t>)</w:t>
      </w:r>
      <w:r w:rsidR="009C4558">
        <w:rPr>
          <w:lang w:bidi="he-IL"/>
        </w:rPr>
        <w:t xml:space="preserve"> gains from Pharaoh? The king of Sodom </w:t>
      </w:r>
      <w:r w:rsidR="00E13DD3">
        <w:rPr>
          <w:lang w:bidi="he-IL"/>
        </w:rPr>
        <w:t>(the story is interested simp</w:t>
      </w:r>
      <w:r w:rsidR="00A94976">
        <w:rPr>
          <w:lang w:bidi="he-IL"/>
        </w:rPr>
        <w:t xml:space="preserve">ly in him because of the link with Lot) </w:t>
      </w:r>
      <w:r w:rsidR="009C4558">
        <w:rPr>
          <w:lang w:bidi="he-IL"/>
        </w:rPr>
        <w:t xml:space="preserve">might be asking himself that question. Was he asking it when he came out </w:t>
      </w:r>
      <w:r w:rsidR="00E13DD3">
        <w:rPr>
          <w:lang w:bidi="he-IL"/>
        </w:rPr>
        <w:t xml:space="preserve">and climbed the mountain ridge </w:t>
      </w:r>
      <w:r w:rsidR="009C4558">
        <w:rPr>
          <w:lang w:bidi="he-IL"/>
        </w:rPr>
        <w:t>to meet the returning victor?</w:t>
      </w:r>
      <w:r w:rsidR="00F83E92">
        <w:rPr>
          <w:lang w:bidi="he-IL"/>
        </w:rPr>
        <w:t xml:space="preserve"> The Shaveh Vale is mentioned only here in the First Testament, but the King’s Vale with which the narrator identifies </w:t>
      </w:r>
      <w:r w:rsidR="0057420B">
        <w:rPr>
          <w:lang w:bidi="he-IL"/>
        </w:rPr>
        <w:t xml:space="preserve">it </w:t>
      </w:r>
      <w:r w:rsidR="00F83E92">
        <w:rPr>
          <w:lang w:bidi="he-IL"/>
        </w:rPr>
        <w:t>appears in 2 Sam 18:18 as the location of Absalom’s Pillar, which was presumably near J</w:t>
      </w:r>
      <w:r w:rsidR="002E1F5A">
        <w:rPr>
          <w:lang w:bidi="he-IL"/>
        </w:rPr>
        <w:t xml:space="preserve">erusalem, and </w:t>
      </w:r>
      <w:r w:rsidR="002E1F5A" w:rsidRPr="002E1F5A">
        <w:rPr>
          <w:i/>
          <w:lang w:bidi="he-IL"/>
        </w:rPr>
        <w:t>GenAp</w:t>
      </w:r>
      <w:r w:rsidR="00F83E92">
        <w:rPr>
          <w:lang w:bidi="he-IL"/>
        </w:rPr>
        <w:t xml:space="preserve"> 22:14 </w:t>
      </w:r>
      <w:r w:rsidR="00F73316">
        <w:rPr>
          <w:lang w:bidi="he-IL"/>
        </w:rPr>
        <w:t xml:space="preserve">plausibly </w:t>
      </w:r>
      <w:r w:rsidR="00F83E92">
        <w:rPr>
          <w:lang w:bidi="he-IL"/>
        </w:rPr>
        <w:t xml:space="preserve">locates it at </w:t>
      </w:r>
      <w:r w:rsidR="00F73316">
        <w:rPr>
          <w:lang w:bidi="he-IL"/>
        </w:rPr>
        <w:t xml:space="preserve">Bet-hakkerem. </w:t>
      </w:r>
    </w:p>
    <w:p w14:paraId="78A3C6DC" w14:textId="77777777" w:rsidR="004F3B90" w:rsidRDefault="00E65526" w:rsidP="004F3B90">
      <w:pPr>
        <w:pStyle w:val="ListParagraph"/>
        <w:ind w:left="0" w:firstLine="720"/>
        <w:rPr>
          <w:lang w:bidi="he-IL"/>
        </w:rPr>
      </w:pPr>
      <w:r>
        <w:rPr>
          <w:lang w:bidi="he-IL"/>
        </w:rPr>
        <w:t>The appearance of the king of Shalem (v. 18) is then a surprise,</w:t>
      </w:r>
      <w:r>
        <w:rPr>
          <w:rStyle w:val="FootnoteReference"/>
          <w:lang w:bidi="he-IL"/>
        </w:rPr>
        <w:footnoteReference w:id="169"/>
      </w:r>
      <w:r w:rsidR="00CE3CD5">
        <w:rPr>
          <w:lang w:bidi="he-IL"/>
        </w:rPr>
        <w:t xml:space="preserve"> but</w:t>
      </w:r>
      <w:r>
        <w:rPr>
          <w:lang w:bidi="he-IL"/>
        </w:rPr>
        <w:t xml:space="preserve"> the location at least provides the geographical logic for it</w:t>
      </w:r>
      <w:r w:rsidR="00CE3CD5">
        <w:rPr>
          <w:lang w:bidi="he-IL"/>
        </w:rPr>
        <w:t>, if</w:t>
      </w:r>
      <w:r w:rsidR="00F73316">
        <w:rPr>
          <w:lang w:bidi="he-IL"/>
        </w:rPr>
        <w:t xml:space="preserve"> Shalem is a name for Jerusalem (</w:t>
      </w:r>
      <w:r w:rsidR="00F73316">
        <w:rPr>
          <w:i/>
          <w:lang w:bidi="he-IL"/>
        </w:rPr>
        <w:t>yᵉrûšālayim</w:t>
      </w:r>
      <w:r w:rsidR="0027165D">
        <w:rPr>
          <w:lang w:bidi="he-IL"/>
        </w:rPr>
        <w:t>) (cf. Ps 76:2). Admittedly,</w:t>
      </w:r>
      <w:r w:rsidR="00F73316">
        <w:rPr>
          <w:lang w:bidi="he-IL"/>
        </w:rPr>
        <w:t xml:space="preserve"> elsewhere </w:t>
      </w:r>
      <w:r w:rsidR="0057420B">
        <w:rPr>
          <w:lang w:bidi="he-IL"/>
        </w:rPr>
        <w:t xml:space="preserve">in the First Testament </w:t>
      </w:r>
      <w:r w:rsidR="00F73316">
        <w:rPr>
          <w:lang w:bidi="he-IL"/>
        </w:rPr>
        <w:t xml:space="preserve">Jerusalem is the home of the Yebusites </w:t>
      </w:r>
      <w:r w:rsidR="00CE3CD5">
        <w:rPr>
          <w:lang w:bidi="he-IL"/>
        </w:rPr>
        <w:t>(</w:t>
      </w:r>
      <w:r w:rsidR="0057420B">
        <w:rPr>
          <w:lang w:bidi="he-IL"/>
        </w:rPr>
        <w:t>until David captures it</w:t>
      </w:r>
      <w:r w:rsidR="00CE3CD5">
        <w:rPr>
          <w:lang w:bidi="he-IL"/>
        </w:rPr>
        <w:t>)</w:t>
      </w:r>
      <w:r w:rsidR="0057420B">
        <w:rPr>
          <w:lang w:bidi="he-IL"/>
        </w:rPr>
        <w:t xml:space="preserve">, </w:t>
      </w:r>
      <w:r w:rsidR="0027165D">
        <w:rPr>
          <w:lang w:bidi="he-IL"/>
        </w:rPr>
        <w:t>and its name is</w:t>
      </w:r>
      <w:r w:rsidR="00CE3CD5">
        <w:rPr>
          <w:lang w:bidi="he-IL"/>
        </w:rPr>
        <w:t xml:space="preserve"> Yebus (</w:t>
      </w:r>
      <w:r w:rsidR="0027165D">
        <w:rPr>
          <w:lang w:bidi="he-IL"/>
        </w:rPr>
        <w:t xml:space="preserve">2 Chron 3:1 also identifies </w:t>
      </w:r>
      <w:r w:rsidR="00CE3CD5">
        <w:rPr>
          <w:lang w:bidi="he-IL"/>
        </w:rPr>
        <w:t>Mori</w:t>
      </w:r>
      <w:r w:rsidR="00F73316">
        <w:rPr>
          <w:lang w:bidi="he-IL"/>
        </w:rPr>
        <w:t xml:space="preserve">ah in Gen </w:t>
      </w:r>
      <w:r w:rsidR="0027165D">
        <w:rPr>
          <w:lang w:bidi="he-IL"/>
        </w:rPr>
        <w:t xml:space="preserve">22 </w:t>
      </w:r>
      <w:r w:rsidR="00F73316">
        <w:rPr>
          <w:lang w:bidi="he-IL"/>
        </w:rPr>
        <w:t>with Jerusa</w:t>
      </w:r>
      <w:r w:rsidR="00E32308">
        <w:rPr>
          <w:lang w:bidi="he-IL"/>
        </w:rPr>
        <w:t>lem). The name Malki-ṣedeq means Faithfulness</w:t>
      </w:r>
      <w:r w:rsidR="00F73316">
        <w:rPr>
          <w:lang w:bidi="he-IL"/>
        </w:rPr>
        <w:t>-is- my-king</w:t>
      </w:r>
      <w:r w:rsidR="00B97399">
        <w:rPr>
          <w:lang w:bidi="he-IL"/>
        </w:rPr>
        <w:t xml:space="preserve"> or My-king-is-faithfulness, f</w:t>
      </w:r>
      <w:r w:rsidR="00E32308">
        <w:rPr>
          <w:lang w:bidi="he-IL"/>
        </w:rPr>
        <w:t xml:space="preserve">aithfulness being a name or attribute of the deity whom Melchizedek serves. </w:t>
      </w:r>
      <w:r w:rsidR="00B97399">
        <w:rPr>
          <w:lang w:bidi="he-IL"/>
        </w:rPr>
        <w:t>The name compares with that of Adonizedek (My-lord-is-fa</w:t>
      </w:r>
      <w:r w:rsidR="00C354E1">
        <w:rPr>
          <w:lang w:bidi="he-IL"/>
        </w:rPr>
        <w:t>i</w:t>
      </w:r>
      <w:r w:rsidR="00B97399">
        <w:rPr>
          <w:lang w:bidi="he-IL"/>
        </w:rPr>
        <w:t>thfulness) and of Zedekiah (Yah</w:t>
      </w:r>
      <w:r w:rsidR="00C354E1">
        <w:rPr>
          <w:lang w:bidi="he-IL"/>
        </w:rPr>
        <w:t xml:space="preserve">u-is-my-faithfulness). </w:t>
      </w:r>
      <w:r w:rsidR="00E13DD3">
        <w:rPr>
          <w:lang w:bidi="he-IL"/>
        </w:rPr>
        <w:t>Genesis goes on to call Melchizedek’s</w:t>
      </w:r>
      <w:r w:rsidR="00E32308">
        <w:rPr>
          <w:lang w:bidi="he-IL"/>
        </w:rPr>
        <w:t xml:space="preserve"> deity </w:t>
      </w:r>
      <w:r w:rsidR="003D56BA">
        <w:rPr>
          <w:lang w:bidi="he-IL"/>
        </w:rPr>
        <w:t>“</w:t>
      </w:r>
      <w:r w:rsidR="00E32308">
        <w:rPr>
          <w:lang w:bidi="he-IL"/>
        </w:rPr>
        <w:t>God On High</w:t>
      </w:r>
      <w:r w:rsidR="003D56BA">
        <w:rPr>
          <w:lang w:bidi="he-IL"/>
        </w:rPr>
        <w:t>”</w:t>
      </w:r>
      <w:r w:rsidR="00C354E1">
        <w:rPr>
          <w:lang w:bidi="he-IL"/>
        </w:rPr>
        <w:t xml:space="preserve"> (</w:t>
      </w:r>
      <w:r w:rsidR="00290765">
        <w:rPr>
          <w:i/>
          <w:lang w:bidi="he-IL"/>
        </w:rPr>
        <w:t>’ēl ‘</w:t>
      </w:r>
      <w:r w:rsidR="00C354E1">
        <w:rPr>
          <w:i/>
          <w:lang w:bidi="he-IL"/>
        </w:rPr>
        <w:t>elyôn</w:t>
      </w:r>
      <w:r w:rsidR="00CE3CD5">
        <w:rPr>
          <w:lang w:bidi="he-IL"/>
        </w:rPr>
        <w:t>),</w:t>
      </w:r>
      <w:r w:rsidR="00C354E1">
        <w:rPr>
          <w:lang w:bidi="he-IL"/>
        </w:rPr>
        <w:t xml:space="preserve"> implicitly a designation for Yahweh in Ps 78:35; </w:t>
      </w:r>
      <w:r w:rsidR="00CA04CE">
        <w:rPr>
          <w:lang w:bidi="he-IL"/>
        </w:rPr>
        <w:t xml:space="preserve">the simple </w:t>
      </w:r>
      <w:r w:rsidR="003D56BA">
        <w:rPr>
          <w:lang w:bidi="he-IL"/>
        </w:rPr>
        <w:t>“</w:t>
      </w:r>
      <w:r w:rsidR="00C354E1">
        <w:rPr>
          <w:lang w:bidi="he-IL"/>
        </w:rPr>
        <w:t>On High</w:t>
      </w:r>
      <w:r w:rsidR="003D56BA">
        <w:rPr>
          <w:lang w:bidi="he-IL"/>
        </w:rPr>
        <w:t>”</w:t>
      </w:r>
      <w:r w:rsidR="00CA04CE">
        <w:rPr>
          <w:lang w:bidi="he-IL"/>
        </w:rPr>
        <w:t xml:space="preserve"> </w:t>
      </w:r>
      <w:r w:rsidR="00C354E1">
        <w:rPr>
          <w:lang w:bidi="he-IL"/>
        </w:rPr>
        <w:t>is such a designation elsewhere (e.g., Ps 73:11)</w:t>
      </w:r>
      <w:r w:rsidR="00E32308">
        <w:rPr>
          <w:lang w:bidi="he-IL"/>
        </w:rPr>
        <w:t xml:space="preserve">. </w:t>
      </w:r>
      <w:r w:rsidR="00DD18D9">
        <w:rPr>
          <w:lang w:bidi="he-IL"/>
        </w:rPr>
        <w:t xml:space="preserve">But </w:t>
      </w:r>
      <w:r w:rsidR="00DD18D9" w:rsidRPr="00DD18D9">
        <w:rPr>
          <w:i/>
          <w:lang w:bidi="he-IL"/>
        </w:rPr>
        <w:t>’ēl</w:t>
      </w:r>
      <w:r w:rsidR="00DD18D9">
        <w:rPr>
          <w:lang w:bidi="he-IL"/>
        </w:rPr>
        <w:t xml:space="preserve"> is also the Canaanites’ designation for the supreme deity</w:t>
      </w:r>
      <w:r w:rsidR="00F20C2C">
        <w:rPr>
          <w:lang w:bidi="he-IL"/>
        </w:rPr>
        <w:t>,</w:t>
      </w:r>
      <w:r w:rsidR="00B139A6">
        <w:rPr>
          <w:lang w:bidi="he-IL"/>
        </w:rPr>
        <w:t xml:space="preserve"> and </w:t>
      </w:r>
      <w:r w:rsidR="003D56BA">
        <w:rPr>
          <w:lang w:bidi="he-IL"/>
        </w:rPr>
        <w:t>“</w:t>
      </w:r>
      <w:r w:rsidR="00B139A6" w:rsidRPr="00B139A6">
        <w:rPr>
          <w:lang w:bidi="he-IL"/>
        </w:rPr>
        <w:t xml:space="preserve">God </w:t>
      </w:r>
      <w:proofErr w:type="gramStart"/>
      <w:r w:rsidR="00B139A6" w:rsidRPr="00B139A6">
        <w:rPr>
          <w:lang w:bidi="he-IL"/>
        </w:rPr>
        <w:t>On</w:t>
      </w:r>
      <w:proofErr w:type="gramEnd"/>
      <w:r w:rsidR="00B139A6" w:rsidRPr="00B139A6">
        <w:rPr>
          <w:lang w:bidi="he-IL"/>
        </w:rPr>
        <w:t xml:space="preserve"> High</w:t>
      </w:r>
      <w:r w:rsidR="003D56BA">
        <w:rPr>
          <w:lang w:bidi="he-IL"/>
        </w:rPr>
        <w:t>”</w:t>
      </w:r>
      <w:r w:rsidR="00B139A6" w:rsidRPr="00B139A6">
        <w:rPr>
          <w:lang w:bidi="he-IL"/>
        </w:rPr>
        <w:t xml:space="preserve"> is a way of describing the most senior deity in the traditional religion of Canaan</w:t>
      </w:r>
      <w:r w:rsidR="00E13DD3">
        <w:rPr>
          <w:lang w:bidi="he-IL"/>
        </w:rPr>
        <w:t>.</w:t>
      </w:r>
      <w:r w:rsidR="00DD18D9">
        <w:rPr>
          <w:lang w:bidi="he-IL"/>
        </w:rPr>
        <w:t xml:space="preserve"> </w:t>
      </w:r>
      <w:r w:rsidR="00E32308">
        <w:rPr>
          <w:lang w:bidi="he-IL"/>
        </w:rPr>
        <w:t>Melchizedek was not only king but priest</w:t>
      </w:r>
      <w:r w:rsidR="00DD18D9">
        <w:rPr>
          <w:lang w:bidi="he-IL"/>
        </w:rPr>
        <w:t xml:space="preserve"> (as presu</w:t>
      </w:r>
      <w:r w:rsidR="00E13DD3">
        <w:rPr>
          <w:lang w:bidi="he-IL"/>
        </w:rPr>
        <w:t>mably was the king of Sodom, though</w:t>
      </w:r>
      <w:r w:rsidR="00F20C2C">
        <w:rPr>
          <w:lang w:bidi="he-IL"/>
        </w:rPr>
        <w:t xml:space="preserve"> he brings no </w:t>
      </w:r>
      <w:r w:rsidR="0027165D">
        <w:rPr>
          <w:lang w:bidi="he-IL"/>
        </w:rPr>
        <w:t xml:space="preserve">gifts or </w:t>
      </w:r>
      <w:r w:rsidR="00DD18D9">
        <w:rPr>
          <w:lang w:bidi="he-IL"/>
        </w:rPr>
        <w:t>greeting)</w:t>
      </w:r>
      <w:r w:rsidR="00E32308">
        <w:rPr>
          <w:lang w:bidi="he-IL"/>
        </w:rPr>
        <w:t xml:space="preserve">. Bread and </w:t>
      </w:r>
      <w:r w:rsidR="00E71B6E">
        <w:rPr>
          <w:lang w:bidi="he-IL"/>
        </w:rPr>
        <w:t>water would be welcome refreshment; bread and wine would make the event special</w:t>
      </w:r>
      <w:r w:rsidR="00E32308">
        <w:rPr>
          <w:lang w:bidi="he-IL"/>
        </w:rPr>
        <w:t>.</w:t>
      </w:r>
      <w:r w:rsidR="00E71B6E">
        <w:rPr>
          <w:rStyle w:val="FootnoteReference"/>
          <w:lang w:bidi="he-IL"/>
        </w:rPr>
        <w:footnoteReference w:id="170"/>
      </w:r>
    </w:p>
    <w:p w14:paraId="3E10DEC8" w14:textId="77777777" w:rsidR="005F24D2" w:rsidRDefault="004F3B90" w:rsidP="00521D2F">
      <w:pPr>
        <w:pStyle w:val="ListParagraph"/>
        <w:ind w:left="0" w:firstLine="720"/>
        <w:rPr>
          <w:lang w:bidi="he-IL"/>
        </w:rPr>
      </w:pPr>
      <w:r>
        <w:rPr>
          <w:lang w:bidi="he-IL"/>
        </w:rPr>
        <w:t>In his capacity as</w:t>
      </w:r>
      <w:r w:rsidR="00E32308">
        <w:rPr>
          <w:lang w:bidi="he-IL"/>
        </w:rPr>
        <w:t xml:space="preserve"> priest </w:t>
      </w:r>
      <w:r>
        <w:rPr>
          <w:lang w:bidi="he-IL"/>
        </w:rPr>
        <w:t xml:space="preserve">as well as king, </w:t>
      </w:r>
      <w:r w:rsidR="00E32308">
        <w:rPr>
          <w:lang w:bidi="he-IL"/>
        </w:rPr>
        <w:t xml:space="preserve">Melchizedek </w:t>
      </w:r>
      <w:r w:rsidR="003F62EB">
        <w:rPr>
          <w:lang w:bidi="he-IL"/>
        </w:rPr>
        <w:t>pronounces blessings (v. 19</w:t>
      </w:r>
      <w:r w:rsidR="00B139A6">
        <w:rPr>
          <w:lang w:bidi="he-IL"/>
        </w:rPr>
        <w:t>a</w:t>
      </w:r>
      <w:r w:rsidR="003F62EB">
        <w:rPr>
          <w:lang w:bidi="he-IL"/>
        </w:rPr>
        <w:t xml:space="preserve">). </w:t>
      </w:r>
      <w:r w:rsidRPr="004F3B90">
        <w:rPr>
          <w:lang w:bidi="he-IL"/>
        </w:rPr>
        <w:t>The First Testament generally suggests the principle of the separation of power in the world of worship and power in the world of economics and politics. There are kings or governors and there are priests, not to say prophets. Melchizedek is both king and priest, which is risky, but is working okay at that moment. The Davidic king inherits his position (Ps 110), which is risky and</w:t>
      </w:r>
      <w:r>
        <w:rPr>
          <w:lang w:bidi="he-IL"/>
        </w:rPr>
        <w:t xml:space="preserve"> sometimes does not work well. </w:t>
      </w:r>
      <w:r w:rsidR="0027165D">
        <w:rPr>
          <w:lang w:bidi="he-IL"/>
        </w:rPr>
        <w:t>Elsewhere i</w:t>
      </w:r>
      <w:r w:rsidR="005F24D2">
        <w:rPr>
          <w:lang w:bidi="he-IL"/>
        </w:rPr>
        <w:t xml:space="preserve">n Genesis, </w:t>
      </w:r>
      <w:r w:rsidR="00E13DD3">
        <w:rPr>
          <w:lang w:bidi="he-IL"/>
        </w:rPr>
        <w:t xml:space="preserve">pronouncing </w:t>
      </w:r>
      <w:r w:rsidR="005F24D2">
        <w:rPr>
          <w:lang w:bidi="he-IL"/>
        </w:rPr>
        <w:t>blessing</w:t>
      </w:r>
      <w:r w:rsidR="00E13DD3">
        <w:rPr>
          <w:lang w:bidi="he-IL"/>
        </w:rPr>
        <w:t>s</w:t>
      </w:r>
      <w:r w:rsidR="005F24D2">
        <w:rPr>
          <w:lang w:bidi="he-IL"/>
        </w:rPr>
        <w:t xml:space="preserve"> is the privilege and responsibility of the family and </w:t>
      </w:r>
      <w:r w:rsidR="00E13DD3">
        <w:rPr>
          <w:lang w:bidi="he-IL"/>
        </w:rPr>
        <w:t>in particular of the father of the</w:t>
      </w:r>
      <w:r w:rsidR="005F24D2">
        <w:rPr>
          <w:lang w:bidi="he-IL"/>
        </w:rPr>
        <w:t xml:space="preserve"> family</w:t>
      </w:r>
      <w:r w:rsidR="00E13DD3">
        <w:rPr>
          <w:lang w:bidi="he-IL"/>
        </w:rPr>
        <w:t xml:space="preserve"> (e.g., 24:60; 28:1; </w:t>
      </w:r>
      <w:r w:rsidR="00B139A6">
        <w:rPr>
          <w:lang w:bidi="he-IL"/>
        </w:rPr>
        <w:t xml:space="preserve">31:55 [32:1]; </w:t>
      </w:r>
      <w:r w:rsidR="00E13DD3">
        <w:rPr>
          <w:lang w:bidi="he-IL"/>
        </w:rPr>
        <w:t>49:28)</w:t>
      </w:r>
      <w:r w:rsidR="005F24D2">
        <w:rPr>
          <w:lang w:bidi="he-IL"/>
        </w:rPr>
        <w:t xml:space="preserve">; it is an aspect of the </w:t>
      </w:r>
      <w:r w:rsidR="00E13DD3">
        <w:rPr>
          <w:lang w:bidi="he-IL"/>
        </w:rPr>
        <w:t>quasi-</w:t>
      </w:r>
      <w:r w:rsidR="005F24D2">
        <w:rPr>
          <w:lang w:bidi="he-IL"/>
        </w:rPr>
        <w:t>priestly role of the father, who also leads the family in worship. Priestly blessing comes in when there are priests (Num 6:23-27)</w:t>
      </w:r>
      <w:r w:rsidR="0027165D">
        <w:rPr>
          <w:lang w:bidi="he-IL"/>
        </w:rPr>
        <w:t>. O</w:t>
      </w:r>
      <w:r w:rsidR="002437B5">
        <w:rPr>
          <w:lang w:bidi="he-IL"/>
        </w:rPr>
        <w:t>ther (settled</w:t>
      </w:r>
      <w:r w:rsidR="0027165D">
        <w:rPr>
          <w:lang w:bidi="he-IL"/>
        </w:rPr>
        <w:t>) peoples, however,</w:t>
      </w:r>
      <w:r w:rsidR="002437B5">
        <w:rPr>
          <w:lang w:bidi="he-IL"/>
        </w:rPr>
        <w:t xml:space="preserve"> already </w:t>
      </w:r>
      <w:r w:rsidR="0027165D">
        <w:rPr>
          <w:lang w:bidi="he-IL"/>
        </w:rPr>
        <w:t xml:space="preserve">have </w:t>
      </w:r>
      <w:r w:rsidR="002437B5">
        <w:rPr>
          <w:lang w:bidi="he-IL"/>
        </w:rPr>
        <w:t>priests</w:t>
      </w:r>
      <w:r w:rsidR="0027165D">
        <w:rPr>
          <w:lang w:bidi="he-IL"/>
        </w:rPr>
        <w:t xml:space="preserve"> who lead worship and bless people. They are </w:t>
      </w:r>
      <w:r w:rsidR="002437B5">
        <w:rPr>
          <w:lang w:bidi="he-IL"/>
        </w:rPr>
        <w:t>the channels th</w:t>
      </w:r>
      <w:r w:rsidR="00B139A6">
        <w:rPr>
          <w:lang w:bidi="he-IL"/>
        </w:rPr>
        <w:t>rough whom people reach out to G</w:t>
      </w:r>
      <w:r w:rsidR="002437B5">
        <w:rPr>
          <w:lang w:bidi="he-IL"/>
        </w:rPr>
        <w:t>od and God reaches out to people. They ensure that there is real contact and communication between people and God</w:t>
      </w:r>
      <w:r w:rsidR="00B139A6">
        <w:rPr>
          <w:lang w:bidi="he-IL"/>
        </w:rPr>
        <w:t xml:space="preserve"> and between God and people. T</w:t>
      </w:r>
      <w:r w:rsidR="002437B5">
        <w:rPr>
          <w:lang w:bidi="he-IL"/>
        </w:rPr>
        <w:t>hey also protect people from the inherently overwhelming aspect of contact with God</w:t>
      </w:r>
      <w:r w:rsidR="0027165D">
        <w:rPr>
          <w:lang w:bidi="he-IL"/>
        </w:rPr>
        <w:t>,</w:t>
      </w:r>
      <w:r w:rsidR="002437B5">
        <w:rPr>
          <w:lang w:bidi="he-IL"/>
        </w:rPr>
        <w:t xml:space="preserve"> and </w:t>
      </w:r>
      <w:r w:rsidR="0027165D">
        <w:rPr>
          <w:lang w:bidi="he-IL"/>
        </w:rPr>
        <w:t xml:space="preserve">from </w:t>
      </w:r>
      <w:r w:rsidR="002437B5">
        <w:rPr>
          <w:lang w:bidi="he-IL"/>
        </w:rPr>
        <w:t>the accidentally overwhelming aspect of that contact when there is something about you beyond your regular humanness that clashes too much with who God is.</w:t>
      </w:r>
    </w:p>
    <w:p w14:paraId="283F780C" w14:textId="77777777" w:rsidR="002437B5" w:rsidRDefault="002437B5" w:rsidP="00521D2F">
      <w:pPr>
        <w:pStyle w:val="ListParagraph"/>
        <w:ind w:left="0" w:firstLine="720"/>
        <w:rPr>
          <w:lang w:bidi="he-IL"/>
        </w:rPr>
      </w:pPr>
      <w:r>
        <w:rPr>
          <w:lang w:bidi="he-IL"/>
        </w:rPr>
        <w:lastRenderedPageBreak/>
        <w:t>Melchizedek blesses Abraham by praying that God may bless him</w:t>
      </w:r>
      <w:r w:rsidR="0027165D">
        <w:rPr>
          <w:lang w:bidi="he-IL"/>
        </w:rPr>
        <w:t xml:space="preserve"> </w:t>
      </w:r>
      <w:r w:rsidR="0027165D" w:rsidRPr="0027165D">
        <w:rPr>
          <w:lang w:bidi="he-IL"/>
        </w:rPr>
        <w:t>(v. 19b)</w:t>
      </w:r>
      <w:r>
        <w:rPr>
          <w:lang w:bidi="he-IL"/>
        </w:rPr>
        <w:t>, presumably because of the action he has u</w:t>
      </w:r>
      <w:r w:rsidR="0027165D">
        <w:rPr>
          <w:lang w:bidi="he-IL"/>
        </w:rPr>
        <w:t xml:space="preserve">ndertaken in rescuing the women </w:t>
      </w:r>
      <w:r>
        <w:rPr>
          <w:lang w:bidi="he-IL"/>
        </w:rPr>
        <w:t>and the rest of the company and the property of the five kings (who are also Melchizede</w:t>
      </w:r>
      <w:r w:rsidR="0027165D">
        <w:rPr>
          <w:lang w:bidi="he-IL"/>
        </w:rPr>
        <w:t>k’s allies?). H</w:t>
      </w:r>
      <w:r>
        <w:rPr>
          <w:lang w:bidi="he-IL"/>
        </w:rPr>
        <w:t>e blesses Abraham in the name of</w:t>
      </w:r>
      <w:r w:rsidR="00D71A50">
        <w:rPr>
          <w:lang w:bidi="he-IL"/>
        </w:rPr>
        <w:t xml:space="preserve"> God </w:t>
      </w:r>
      <w:proofErr w:type="gramStart"/>
      <w:r w:rsidR="00D71A50">
        <w:rPr>
          <w:lang w:bidi="he-IL"/>
        </w:rPr>
        <w:t>On</w:t>
      </w:r>
      <w:proofErr w:type="gramEnd"/>
      <w:r w:rsidR="00D71A50">
        <w:rPr>
          <w:lang w:bidi="he-IL"/>
        </w:rPr>
        <w:t xml:space="preserve"> High who is </w:t>
      </w:r>
      <w:r w:rsidR="003D56BA">
        <w:rPr>
          <w:lang w:bidi="he-IL"/>
        </w:rPr>
        <w:t>“</w:t>
      </w:r>
      <w:r w:rsidR="00D71A50">
        <w:rPr>
          <w:lang w:bidi="he-IL"/>
        </w:rPr>
        <w:t>generator</w:t>
      </w:r>
      <w:r w:rsidR="00B139A6">
        <w:rPr>
          <w:lang w:bidi="he-IL"/>
        </w:rPr>
        <w:t xml:space="preserve"> </w:t>
      </w:r>
      <w:r w:rsidR="00885203">
        <w:rPr>
          <w:lang w:bidi="he-IL"/>
        </w:rPr>
        <w:t>[</w:t>
      </w:r>
      <w:r w:rsidR="00885203" w:rsidRPr="00885203">
        <w:rPr>
          <w:i/>
          <w:lang w:bidi="he-IL"/>
        </w:rPr>
        <w:t>qōnēh</w:t>
      </w:r>
      <w:r w:rsidR="00885203">
        <w:rPr>
          <w:lang w:bidi="he-IL"/>
        </w:rPr>
        <w:t>]</w:t>
      </w:r>
      <w:r w:rsidR="00885203" w:rsidRPr="00885203">
        <w:rPr>
          <w:lang w:bidi="he-IL"/>
        </w:rPr>
        <w:t xml:space="preserve"> </w:t>
      </w:r>
      <w:r w:rsidR="00B139A6">
        <w:rPr>
          <w:lang w:bidi="he-IL"/>
        </w:rPr>
        <w:t xml:space="preserve">of heavens and </w:t>
      </w:r>
      <w:r w:rsidR="00D71A50">
        <w:rPr>
          <w:lang w:bidi="he-IL"/>
        </w:rPr>
        <w:t>earth</w:t>
      </w:r>
      <w:r w:rsidR="003D56BA">
        <w:rPr>
          <w:lang w:bidi="he-IL"/>
        </w:rPr>
        <w:t>”</w:t>
      </w:r>
      <w:r w:rsidR="00D71A50">
        <w:rPr>
          <w:lang w:bidi="he-IL"/>
        </w:rPr>
        <w:t>—a description that would go naturally with his being</w:t>
      </w:r>
      <w:r>
        <w:rPr>
          <w:lang w:bidi="he-IL"/>
        </w:rPr>
        <w:t xml:space="preserve"> </w:t>
      </w:r>
      <w:r w:rsidR="003D56BA">
        <w:rPr>
          <w:lang w:bidi="he-IL"/>
        </w:rPr>
        <w:t>“</w:t>
      </w:r>
      <w:r w:rsidR="00D71A50">
        <w:rPr>
          <w:lang w:bidi="he-IL"/>
        </w:rPr>
        <w:t>God On High</w:t>
      </w:r>
      <w:r w:rsidR="0063561E">
        <w:rPr>
          <w:lang w:bidi="he-IL"/>
        </w:rPr>
        <w:t>.</w:t>
      </w:r>
      <w:r w:rsidR="003D56BA">
        <w:rPr>
          <w:lang w:bidi="he-IL"/>
        </w:rPr>
        <w:t>”</w:t>
      </w:r>
      <w:r w:rsidR="00B74A2A">
        <w:rPr>
          <w:lang w:bidi="he-IL"/>
        </w:rPr>
        <w:t xml:space="preserve"> </w:t>
      </w:r>
      <w:r w:rsidR="00D71A50">
        <w:rPr>
          <w:lang w:bidi="he-IL"/>
        </w:rPr>
        <w:t xml:space="preserve">The usual First Testament expression is </w:t>
      </w:r>
      <w:r w:rsidR="003D56BA">
        <w:rPr>
          <w:lang w:bidi="he-IL"/>
        </w:rPr>
        <w:t>“</w:t>
      </w:r>
      <w:r w:rsidR="00D71A50">
        <w:rPr>
          <w:lang w:bidi="he-IL"/>
        </w:rPr>
        <w:t>m</w:t>
      </w:r>
      <w:r w:rsidR="00121529">
        <w:rPr>
          <w:lang w:bidi="he-IL"/>
        </w:rPr>
        <w:t>aker of heavens and earth</w:t>
      </w:r>
      <w:r w:rsidR="003D56BA">
        <w:rPr>
          <w:lang w:bidi="he-IL"/>
        </w:rPr>
        <w:t>”</w:t>
      </w:r>
      <w:r w:rsidR="00121529">
        <w:rPr>
          <w:lang w:bidi="he-IL"/>
        </w:rPr>
        <w:t xml:space="preserve"> (Ps 115:15; 121:2; 124:8; 134:3; 146:6).</w:t>
      </w:r>
      <w:r w:rsidR="00D71A50">
        <w:rPr>
          <w:lang w:bidi="he-IL"/>
        </w:rPr>
        <w:t xml:space="preserve"> </w:t>
      </w:r>
      <w:r w:rsidR="00885203">
        <w:rPr>
          <w:lang w:bidi="he-IL"/>
        </w:rPr>
        <w:t xml:space="preserve">In Hebrew </w:t>
      </w:r>
      <w:r w:rsidR="00885203">
        <w:rPr>
          <w:i/>
          <w:lang w:bidi="he-IL"/>
        </w:rPr>
        <w:t>qōnēh</w:t>
      </w:r>
      <w:r w:rsidR="00885203">
        <w:rPr>
          <w:lang w:bidi="he-IL"/>
        </w:rPr>
        <w:t xml:space="preserve"> would most often suggest acquirer or owner (e.g., Isa 1:3; 24:2; </w:t>
      </w:r>
      <w:r w:rsidR="00D71A50" w:rsidRPr="00D71A50">
        <w:rPr>
          <w:lang w:bidi="he-IL"/>
        </w:rPr>
        <w:t xml:space="preserve">Vg has </w:t>
      </w:r>
      <w:r w:rsidR="003D56BA">
        <w:rPr>
          <w:lang w:bidi="he-IL"/>
        </w:rPr>
        <w:t>“</w:t>
      </w:r>
      <w:r w:rsidR="00D71A50" w:rsidRPr="00D71A50">
        <w:rPr>
          <w:lang w:bidi="he-IL"/>
        </w:rPr>
        <w:t>owner</w:t>
      </w:r>
      <w:r w:rsidR="003D56BA">
        <w:rPr>
          <w:lang w:bidi="he-IL"/>
        </w:rPr>
        <w:t>”</w:t>
      </w:r>
      <w:r w:rsidR="00D71A50" w:rsidRPr="00D71A50">
        <w:rPr>
          <w:lang w:bidi="he-IL"/>
        </w:rPr>
        <w:t xml:space="preserve"> in v. 22). </w:t>
      </w:r>
      <w:r w:rsidR="00885203">
        <w:rPr>
          <w:lang w:bidi="he-IL"/>
        </w:rPr>
        <w:t>But among the Canaanites the word refers to God as the creator (LXX and</w:t>
      </w:r>
      <w:r w:rsidR="00D71A50" w:rsidRPr="00D71A50">
        <w:rPr>
          <w:lang w:bidi="he-IL"/>
        </w:rPr>
        <w:t xml:space="preserve"> Vg </w:t>
      </w:r>
      <w:r w:rsidR="00885203">
        <w:rPr>
          <w:lang w:bidi="he-IL"/>
        </w:rPr>
        <w:t xml:space="preserve">have </w:t>
      </w:r>
      <w:r w:rsidR="003D56BA">
        <w:rPr>
          <w:lang w:bidi="he-IL"/>
        </w:rPr>
        <w:t>“</w:t>
      </w:r>
      <w:r w:rsidR="00885203">
        <w:rPr>
          <w:lang w:bidi="he-IL"/>
        </w:rPr>
        <w:t>who created</w:t>
      </w:r>
      <w:r w:rsidR="003D56BA">
        <w:rPr>
          <w:lang w:bidi="he-IL"/>
        </w:rPr>
        <w:t>”</w:t>
      </w:r>
      <w:r w:rsidR="00885203">
        <w:rPr>
          <w:lang w:bidi="he-IL"/>
        </w:rPr>
        <w:t>).</w:t>
      </w:r>
      <w:r w:rsidR="00885203">
        <w:rPr>
          <w:rStyle w:val="FootnoteReference"/>
          <w:lang w:bidi="he-IL"/>
        </w:rPr>
        <w:footnoteReference w:id="171"/>
      </w:r>
    </w:p>
    <w:p w14:paraId="25ED3296" w14:textId="25FC9ECE" w:rsidR="00E25069" w:rsidRDefault="0063561E" w:rsidP="00E25069">
      <w:pPr>
        <w:pStyle w:val="ListParagraph"/>
        <w:ind w:left="0" w:firstLine="720"/>
        <w:rPr>
          <w:lang w:bidi="he-IL"/>
        </w:rPr>
      </w:pPr>
      <w:r>
        <w:rPr>
          <w:lang w:bidi="he-IL"/>
        </w:rPr>
        <w:t>Melchized</w:t>
      </w:r>
      <w:r w:rsidR="00E71B6E">
        <w:rPr>
          <w:lang w:bidi="he-IL"/>
        </w:rPr>
        <w:t>ek goes on (v. 20) to bless God</w:t>
      </w:r>
      <w:r>
        <w:rPr>
          <w:lang w:bidi="he-IL"/>
        </w:rPr>
        <w:t>. There was reason to bless Abraham—</w:t>
      </w:r>
      <w:r w:rsidR="00BD4B78">
        <w:rPr>
          <w:lang w:bidi="he-IL"/>
        </w:rPr>
        <w:t xml:space="preserve">he took the </w:t>
      </w:r>
      <w:r>
        <w:rPr>
          <w:lang w:bidi="he-IL"/>
        </w:rPr>
        <w:t>decisive action that re</w:t>
      </w:r>
      <w:r w:rsidR="00BD4B78">
        <w:rPr>
          <w:lang w:bidi="he-IL"/>
        </w:rPr>
        <w:t xml:space="preserve">scued the women and the company. There </w:t>
      </w:r>
      <w:r w:rsidR="005D159B">
        <w:rPr>
          <w:lang w:bidi="he-IL"/>
        </w:rPr>
        <w:t xml:space="preserve">was </w:t>
      </w:r>
      <w:r w:rsidR="00BD4B78">
        <w:rPr>
          <w:lang w:bidi="he-IL"/>
        </w:rPr>
        <w:t>also reason to bless God</w:t>
      </w:r>
      <w:r w:rsidR="009F6B15">
        <w:rPr>
          <w:lang w:bidi="he-IL"/>
        </w:rPr>
        <w:t xml:space="preserve">: </w:t>
      </w:r>
      <w:r w:rsidR="00BD4B78">
        <w:rPr>
          <w:lang w:bidi="he-IL"/>
        </w:rPr>
        <w:t xml:space="preserve">he gave Abraham the victory. </w:t>
      </w:r>
      <w:r w:rsidR="006E60FC">
        <w:rPr>
          <w:lang w:bidi="he-IL"/>
        </w:rPr>
        <w:t>He had “unshielded” Abraham’s victims—made it impossible for them to defend themselves; the rare verb</w:t>
      </w:r>
      <w:r w:rsidR="003D2E82">
        <w:rPr>
          <w:lang w:bidi="he-IL"/>
        </w:rPr>
        <w:t xml:space="preserve"> comes</w:t>
      </w:r>
      <w:r w:rsidR="0027165D">
        <w:rPr>
          <w:lang w:bidi="he-IL"/>
        </w:rPr>
        <w:t xml:space="preserve"> from the </w:t>
      </w:r>
      <w:r w:rsidR="005D159B">
        <w:rPr>
          <w:lang w:bidi="he-IL"/>
        </w:rPr>
        <w:t>common word for a shield (</w:t>
      </w:r>
      <w:r w:rsidR="005D159B">
        <w:rPr>
          <w:i/>
          <w:lang w:bidi="he-IL"/>
        </w:rPr>
        <w:t>māgēn</w:t>
      </w:r>
      <w:r w:rsidR="005D159B">
        <w:rPr>
          <w:lang w:bidi="he-IL"/>
        </w:rPr>
        <w:t>).</w:t>
      </w:r>
      <w:r w:rsidR="005D159B">
        <w:rPr>
          <w:i/>
          <w:lang w:bidi="he-IL"/>
        </w:rPr>
        <w:t xml:space="preserve"> </w:t>
      </w:r>
      <w:r w:rsidR="00510E52">
        <w:rPr>
          <w:lang w:bidi="he-IL"/>
        </w:rPr>
        <w:t xml:space="preserve">One might have expected the verb to mean </w:t>
      </w:r>
      <w:r w:rsidR="003D56BA">
        <w:rPr>
          <w:lang w:bidi="he-IL"/>
        </w:rPr>
        <w:t>“</w:t>
      </w:r>
      <w:r w:rsidR="00510E52">
        <w:rPr>
          <w:lang w:bidi="he-IL"/>
        </w:rPr>
        <w:t>shield</w:t>
      </w:r>
      <w:r w:rsidR="003D56BA">
        <w:rPr>
          <w:lang w:bidi="he-IL"/>
        </w:rPr>
        <w:t>”</w:t>
      </w:r>
      <w:r w:rsidR="00510E52">
        <w:rPr>
          <w:lang w:bidi="he-IL"/>
        </w:rPr>
        <w:t xml:space="preserve"> but</w:t>
      </w:r>
      <w:r w:rsidR="003D2E82">
        <w:rPr>
          <w:lang w:bidi="he-IL"/>
        </w:rPr>
        <w:t xml:space="preserve"> it</w:t>
      </w:r>
      <w:r w:rsidR="00727890">
        <w:rPr>
          <w:lang w:bidi="he-IL"/>
        </w:rPr>
        <w:t xml:space="preserve"> </w:t>
      </w:r>
      <w:r w:rsidR="003D2E82">
        <w:rPr>
          <w:lang w:bidi="he-IL"/>
        </w:rPr>
        <w:t>is closer to meaning</w:t>
      </w:r>
      <w:r w:rsidR="00510E52">
        <w:rPr>
          <w:lang w:bidi="he-IL"/>
        </w:rPr>
        <w:t xml:space="preserve"> </w:t>
      </w:r>
      <w:r w:rsidR="003D56BA">
        <w:rPr>
          <w:lang w:bidi="he-IL"/>
        </w:rPr>
        <w:t>“</w:t>
      </w:r>
      <w:r w:rsidR="00510E52">
        <w:rPr>
          <w:lang w:bidi="he-IL"/>
        </w:rPr>
        <w:t>unshield</w:t>
      </w:r>
      <w:r w:rsidR="003D56BA">
        <w:rPr>
          <w:lang w:bidi="he-IL"/>
        </w:rPr>
        <w:t>”</w:t>
      </w:r>
      <w:r w:rsidR="00510E52">
        <w:rPr>
          <w:lang w:bidi="he-IL"/>
        </w:rPr>
        <w:t xml:space="preserve"> here and in Hos 11:8 (the other occurrence is Prov 4:9).</w:t>
      </w:r>
      <w:r w:rsidR="003D2E82">
        <w:rPr>
          <w:lang w:bidi="he-IL"/>
        </w:rPr>
        <w:t xml:space="preserve"> The significance of </w:t>
      </w:r>
      <w:r w:rsidR="0027165D">
        <w:rPr>
          <w:lang w:bidi="he-IL"/>
        </w:rPr>
        <w:t>using this</w:t>
      </w:r>
      <w:r w:rsidR="003D2E82">
        <w:rPr>
          <w:lang w:bidi="he-IL"/>
        </w:rPr>
        <w:t xml:space="preserve"> word will become clearer in 15:2. </w:t>
      </w:r>
      <w:r w:rsidR="0027165D">
        <w:rPr>
          <w:lang w:bidi="he-IL"/>
        </w:rPr>
        <w:t>While t</w:t>
      </w:r>
      <w:r w:rsidR="003D2E82">
        <w:rPr>
          <w:lang w:bidi="he-IL"/>
        </w:rPr>
        <w:t>he story did not refer to God giving Abraham the victory</w:t>
      </w:r>
      <w:r w:rsidR="0027165D">
        <w:rPr>
          <w:lang w:bidi="he-IL"/>
        </w:rPr>
        <w:t xml:space="preserve">, </w:t>
      </w:r>
      <w:r w:rsidR="00885203">
        <w:rPr>
          <w:lang w:bidi="he-IL"/>
        </w:rPr>
        <w:t xml:space="preserve">Melchizedek knows where such victories come from. </w:t>
      </w:r>
      <w:r w:rsidR="00BD4B78">
        <w:rPr>
          <w:lang w:bidi="he-IL"/>
        </w:rPr>
        <w:t xml:space="preserve">Presumably it is Abraham who gives Melchizedek a tenth of everything—in other words, </w:t>
      </w:r>
      <w:r w:rsidR="003D2E82">
        <w:rPr>
          <w:lang w:bidi="he-IL"/>
        </w:rPr>
        <w:t xml:space="preserve">he </w:t>
      </w:r>
      <w:r w:rsidR="00885203">
        <w:rPr>
          <w:lang w:bidi="he-IL"/>
        </w:rPr>
        <w:t xml:space="preserve">gives him </w:t>
      </w:r>
      <w:r w:rsidR="00BD4B78">
        <w:rPr>
          <w:lang w:bidi="he-IL"/>
        </w:rPr>
        <w:t xml:space="preserve">a tithe (Hebrew has the one word </w:t>
      </w:r>
      <w:r w:rsidR="00BD4B78">
        <w:rPr>
          <w:i/>
          <w:lang w:bidi="he-IL"/>
        </w:rPr>
        <w:t>ma‘ăśēr</w:t>
      </w:r>
      <w:r w:rsidR="00885203">
        <w:rPr>
          <w:lang w:bidi="he-IL"/>
        </w:rPr>
        <w:t>, but</w:t>
      </w:r>
      <w:r w:rsidR="00BD4B78">
        <w:rPr>
          <w:lang w:bidi="he-IL"/>
        </w:rPr>
        <w:t xml:space="preserve"> English separated out the two meanings). </w:t>
      </w:r>
      <w:r w:rsidR="001564CC">
        <w:rPr>
          <w:lang w:bidi="he-IL"/>
        </w:rPr>
        <w:t>Although the notion of tithing is well-known</w:t>
      </w:r>
      <w:r w:rsidR="00885203">
        <w:rPr>
          <w:lang w:bidi="he-IL"/>
        </w:rPr>
        <w:t xml:space="preserve"> in the First Testament</w:t>
      </w:r>
      <w:r w:rsidR="001564CC">
        <w:rPr>
          <w:lang w:bidi="he-IL"/>
        </w:rPr>
        <w:t xml:space="preserve"> (e.g., 28:22; Deut 14:22; 26:12; Neh 10:37-</w:t>
      </w:r>
      <w:r w:rsidR="0027165D">
        <w:rPr>
          <w:lang w:bidi="he-IL"/>
        </w:rPr>
        <w:t>38 [38-39]), there is</w:t>
      </w:r>
      <w:r w:rsidR="001564CC">
        <w:rPr>
          <w:lang w:bidi="he-IL"/>
        </w:rPr>
        <w:t xml:space="preserve"> no exact parallel for this one-time tithe; Num 31:25-41 and 1 Sam 8:15, 17 are partial parallels.</w:t>
      </w:r>
      <w:r w:rsidR="001564CC">
        <w:rPr>
          <w:rStyle w:val="FootnoteReference"/>
          <w:lang w:bidi="he-IL"/>
        </w:rPr>
        <w:footnoteReference w:id="172"/>
      </w:r>
      <w:r w:rsidR="00957C17">
        <w:rPr>
          <w:lang w:bidi="he-IL"/>
        </w:rPr>
        <w:t xml:space="preserve"> By </w:t>
      </w:r>
      <w:r w:rsidR="003A6726">
        <w:rPr>
          <w:lang w:bidi="he-IL"/>
        </w:rPr>
        <w:t>giving one day a wee</w:t>
      </w:r>
      <w:r w:rsidR="00572CD9">
        <w:rPr>
          <w:lang w:bidi="he-IL"/>
        </w:rPr>
        <w:t>k to God and doing nothing on that day</w:t>
      </w:r>
      <w:r w:rsidR="003A6726">
        <w:rPr>
          <w:lang w:bidi="he-IL"/>
        </w:rPr>
        <w:t xml:space="preserve">, in recognition that the whole week is a gift from God, </w:t>
      </w:r>
      <w:r w:rsidR="00957C17">
        <w:rPr>
          <w:lang w:bidi="he-IL"/>
        </w:rPr>
        <w:t xml:space="preserve">one frees up the other six days; likewise by giving </w:t>
      </w:r>
      <w:r w:rsidR="003A6726">
        <w:rPr>
          <w:lang w:bidi="he-IL"/>
        </w:rPr>
        <w:t xml:space="preserve">one possession in ten to God and doing nothing with it, in recognition that everything is a gift from God, </w:t>
      </w:r>
      <w:r w:rsidR="00957C17">
        <w:rPr>
          <w:lang w:bidi="he-IL"/>
        </w:rPr>
        <w:t xml:space="preserve">one </w:t>
      </w:r>
      <w:r w:rsidR="003A6726">
        <w:rPr>
          <w:lang w:bidi="he-IL"/>
        </w:rPr>
        <w:t>frees up the other nine-tenths.</w:t>
      </w:r>
    </w:p>
    <w:p w14:paraId="17BA703F" w14:textId="2BD295FB" w:rsidR="00E25069" w:rsidRDefault="00E25069" w:rsidP="00E25069">
      <w:pPr>
        <w:pStyle w:val="ListParagraph"/>
        <w:ind w:left="0" w:firstLine="720"/>
        <w:rPr>
          <w:lang w:bidi="he-IL"/>
        </w:rPr>
      </w:pPr>
      <w:r>
        <w:rPr>
          <w:lang w:bidi="he-IL"/>
        </w:rPr>
        <w:t>In the Qumran scroll 11QMelchizedek (11Q13), Melchizedek has bec</w:t>
      </w:r>
      <w:r w:rsidR="00EF3202">
        <w:rPr>
          <w:lang w:bidi="he-IL"/>
        </w:rPr>
        <w:t>ome a supernatural being with</w:t>
      </w:r>
      <w:r>
        <w:rPr>
          <w:lang w:bidi="he-IL"/>
        </w:rPr>
        <w:t xml:space="preserve"> a role in the final judgment.</w:t>
      </w:r>
      <w:r w:rsidR="00B50078">
        <w:rPr>
          <w:rStyle w:val="FootnoteReference"/>
          <w:lang w:bidi="he-IL"/>
        </w:rPr>
        <w:footnoteReference w:id="173"/>
      </w:r>
      <w:r>
        <w:rPr>
          <w:lang w:bidi="he-IL"/>
        </w:rPr>
        <w:t xml:space="preserve"> Hebrews 5—7 sees Jesus as having inherited Melchizedek’s position as priest in a way that is quite logical if he is the heir of David and the Messiah. It wouldn’t be surprising if the readers of Hebrews knew ideas like the ones that appear in 11QMelchizedek (Heb 1 suggests they were interested in angels) and if Hebrews was offering them a preferable way of thinking about Melchizedek in relation to Jesus, but Hebrews contains no direct pointers to this possibility. It is more interested in the possibility that emerges from the Melchizedek story of establishing the Messiah’s (and thus Jesus’s) position as a priest even though he is not from clan of Levi. Indeed, being a priest like Melchizedek is better than being a Levitical priest (see esp. Heb 7)!</w:t>
      </w:r>
      <w:r w:rsidR="00727890">
        <w:rPr>
          <w:lang w:bidi="he-IL"/>
        </w:rPr>
        <w:t xml:space="preserve"> </w:t>
      </w:r>
      <w:r>
        <w:rPr>
          <w:lang w:bidi="he-IL"/>
        </w:rPr>
        <w:t>But in an odd way, the strangely isolated position and person of Melchizedek suggests links with the unique position and person of Jesus. So Hebrews says, “Let Gen 14 help you understand something of the significance of Jesus.”</w:t>
      </w:r>
      <w:r w:rsidR="00432220">
        <w:rPr>
          <w:rStyle w:val="FootnoteReference"/>
          <w:lang w:bidi="he-IL"/>
        </w:rPr>
        <w:footnoteReference w:id="174"/>
      </w:r>
      <w:r>
        <w:rPr>
          <w:lang w:bidi="he-IL"/>
        </w:rPr>
        <w:t xml:space="preserve"> </w:t>
      </w:r>
      <w:r w:rsidR="00EF3202">
        <w:rPr>
          <w:lang w:bidi="he-IL"/>
        </w:rPr>
        <w:t xml:space="preserve">Melchizedek does </w:t>
      </w:r>
      <w:r>
        <w:rPr>
          <w:lang w:bidi="he-IL"/>
        </w:rPr>
        <w:t>manage to combine power in politics and power in worship. He is the giver of blessing to people and to God. He brings not merely bread and water but bread and wine, not merely the staple that we need but something extra that we don’t need. Subsequent to New Testament times, Melchizedek’s bread and wine had to make Christians think of the Eucharist.</w:t>
      </w:r>
      <w:r>
        <w:rPr>
          <w:rStyle w:val="FootnoteReference"/>
          <w:lang w:bidi="he-IL"/>
        </w:rPr>
        <w:footnoteReference w:id="175"/>
      </w:r>
    </w:p>
    <w:p w14:paraId="6670ECDD" w14:textId="77777777" w:rsidR="003A6726" w:rsidRDefault="009F6B15" w:rsidP="00521D2F">
      <w:pPr>
        <w:pStyle w:val="ListParagraph"/>
        <w:ind w:left="0" w:firstLine="720"/>
        <w:rPr>
          <w:lang w:bidi="he-IL"/>
        </w:rPr>
      </w:pPr>
      <w:r>
        <w:rPr>
          <w:b/>
          <w:lang w:bidi="he-IL"/>
        </w:rPr>
        <w:t xml:space="preserve">14:21-24. </w:t>
      </w:r>
      <w:proofErr w:type="gramStart"/>
      <w:r w:rsidR="003A6726">
        <w:rPr>
          <w:lang w:bidi="he-IL"/>
        </w:rPr>
        <w:t>So</w:t>
      </w:r>
      <w:proofErr w:type="gramEnd"/>
      <w:r w:rsidR="003A6726">
        <w:rPr>
          <w:lang w:bidi="he-IL"/>
        </w:rPr>
        <w:t xml:space="preserve"> w</w:t>
      </w:r>
      <w:r>
        <w:rPr>
          <w:lang w:bidi="he-IL"/>
        </w:rPr>
        <w:t xml:space="preserve">hat’s to happen to the other nine-tenths? The king of Sodom has an answer </w:t>
      </w:r>
      <w:r w:rsidR="003A6726">
        <w:rPr>
          <w:lang w:bidi="he-IL"/>
        </w:rPr>
        <w:t>that expresses his gratitude.</w:t>
      </w:r>
    </w:p>
    <w:p w14:paraId="153BBB2C" w14:textId="7CF3EB33" w:rsidR="009F6B15" w:rsidRDefault="009F6B15" w:rsidP="00521D2F">
      <w:pPr>
        <w:pStyle w:val="ListParagraph"/>
        <w:ind w:left="0" w:firstLine="720"/>
        <w:rPr>
          <w:lang w:val="en-GB" w:bidi="he-IL"/>
        </w:rPr>
      </w:pPr>
      <w:r>
        <w:rPr>
          <w:lang w:bidi="he-IL"/>
        </w:rPr>
        <w:lastRenderedPageBreak/>
        <w:t>Abraham doesn’t like his answer</w:t>
      </w:r>
      <w:r w:rsidR="003A6726">
        <w:rPr>
          <w:lang w:bidi="he-IL"/>
        </w:rPr>
        <w:t xml:space="preserve"> (v. 22)</w:t>
      </w:r>
      <w:r w:rsidR="00007B8D">
        <w:rPr>
          <w:lang w:bidi="he-IL"/>
        </w:rPr>
        <w:t xml:space="preserve">. </w:t>
      </w:r>
      <w:r>
        <w:rPr>
          <w:lang w:bidi="he-IL"/>
        </w:rPr>
        <w:t>His reasoning is im</w:t>
      </w:r>
      <w:r w:rsidR="00957C17">
        <w:rPr>
          <w:lang w:bidi="he-IL"/>
        </w:rPr>
        <w:t>plicit in his preamble. When someone</w:t>
      </w:r>
      <w:r>
        <w:rPr>
          <w:lang w:bidi="he-IL"/>
        </w:rPr>
        <w:t xml:space="preserve"> say</w:t>
      </w:r>
      <w:r w:rsidR="00957C17">
        <w:rPr>
          <w:lang w:bidi="he-IL"/>
        </w:rPr>
        <w:t>s</w:t>
      </w:r>
      <w:r>
        <w:rPr>
          <w:lang w:bidi="he-IL"/>
        </w:rPr>
        <w:t xml:space="preserve"> something solemnly or </w:t>
      </w:r>
      <w:r w:rsidR="00957C17">
        <w:rPr>
          <w:lang w:bidi="he-IL"/>
        </w:rPr>
        <w:t xml:space="preserve">when </w:t>
      </w:r>
      <w:r>
        <w:rPr>
          <w:lang w:bidi="he-IL"/>
        </w:rPr>
        <w:t>swear</w:t>
      </w:r>
      <w:r w:rsidR="00957C17">
        <w:rPr>
          <w:lang w:bidi="he-IL"/>
        </w:rPr>
        <w:t>s that something is true, they</w:t>
      </w:r>
      <w:r>
        <w:rPr>
          <w:lang w:bidi="he-IL"/>
        </w:rPr>
        <w:t xml:space="preserve"> raise</w:t>
      </w:r>
      <w:r w:rsidR="00957C17">
        <w:rPr>
          <w:lang w:bidi="he-IL"/>
        </w:rPr>
        <w:t xml:space="preserve"> thei</w:t>
      </w:r>
      <w:r>
        <w:rPr>
          <w:lang w:bidi="he-IL"/>
        </w:rPr>
        <w:t>r ha</w:t>
      </w:r>
      <w:r w:rsidR="003A6726">
        <w:rPr>
          <w:lang w:bidi="he-IL"/>
        </w:rPr>
        <w:t>nd towards God, as</w:t>
      </w:r>
      <w:r w:rsidR="00957C17">
        <w:rPr>
          <w:lang w:bidi="he-IL"/>
        </w:rPr>
        <w:t xml:space="preserve"> they do when they</w:t>
      </w:r>
      <w:r>
        <w:rPr>
          <w:lang w:bidi="he-IL"/>
        </w:rPr>
        <w:t xml:space="preserve"> pray</w:t>
      </w:r>
      <w:r w:rsidR="00957C17">
        <w:rPr>
          <w:lang w:bidi="he-IL"/>
        </w:rPr>
        <w:t xml:space="preserve"> (e.g., Deut 32:40). They</w:t>
      </w:r>
      <w:r>
        <w:rPr>
          <w:lang w:bidi="he-IL"/>
        </w:rPr>
        <w:t xml:space="preserve"> are dra</w:t>
      </w:r>
      <w:r w:rsidR="00957C17">
        <w:rPr>
          <w:lang w:bidi="he-IL"/>
        </w:rPr>
        <w:t>wing God’s attention to what they</w:t>
      </w:r>
      <w:r>
        <w:rPr>
          <w:lang w:bidi="he-IL"/>
        </w:rPr>
        <w:t xml:space="preserve"> are saying and invi</w:t>
      </w:r>
      <w:r w:rsidR="00957C17">
        <w:rPr>
          <w:lang w:bidi="he-IL"/>
        </w:rPr>
        <w:t>ting God to take action if they are lying or if they don’t mean what they say or if they fail to do what they</w:t>
      </w:r>
      <w:r>
        <w:rPr>
          <w:lang w:bidi="he-IL"/>
        </w:rPr>
        <w:t xml:space="preserve"> say. </w:t>
      </w:r>
      <w:r w:rsidR="00900F0A">
        <w:rPr>
          <w:lang w:bidi="he-IL"/>
        </w:rPr>
        <w:t xml:space="preserve">And the God to whom Abraham thus appeals is </w:t>
      </w:r>
      <w:r w:rsidR="003A6726">
        <w:rPr>
          <w:lang w:val="en-GB" w:bidi="he-IL"/>
        </w:rPr>
        <w:t xml:space="preserve">God </w:t>
      </w:r>
      <w:proofErr w:type="gramStart"/>
      <w:r w:rsidR="003A6726">
        <w:rPr>
          <w:lang w:val="en-GB" w:bidi="he-IL"/>
        </w:rPr>
        <w:t>On</w:t>
      </w:r>
      <w:proofErr w:type="gramEnd"/>
      <w:r w:rsidR="003A6726">
        <w:rPr>
          <w:lang w:val="en-GB" w:bidi="he-IL"/>
        </w:rPr>
        <w:t xml:space="preserve"> High, generator of heavens and </w:t>
      </w:r>
      <w:r w:rsidR="00900F0A" w:rsidRPr="00900F0A">
        <w:rPr>
          <w:lang w:val="en-GB" w:bidi="he-IL"/>
        </w:rPr>
        <w:t>earth</w:t>
      </w:r>
      <w:r w:rsidR="00900F0A">
        <w:rPr>
          <w:lang w:val="en-GB" w:bidi="he-IL"/>
        </w:rPr>
        <w:t xml:space="preserve">, God as Melchizedek spoke of him. </w:t>
      </w:r>
      <w:r w:rsidR="00957C17">
        <w:rPr>
          <w:lang w:val="en-GB" w:bidi="he-IL"/>
        </w:rPr>
        <w:t>Here as elsewhere Genesis assumes the validity of the religion of other peoples.</w:t>
      </w:r>
      <w:r w:rsidR="00957C17">
        <w:rPr>
          <w:rStyle w:val="FootnoteReference"/>
          <w:lang w:val="en-GB" w:bidi="he-IL"/>
        </w:rPr>
        <w:footnoteReference w:id="176"/>
      </w:r>
      <w:r w:rsidR="00957C17">
        <w:rPr>
          <w:lang w:val="en-GB" w:bidi="he-IL"/>
        </w:rPr>
        <w:t xml:space="preserve"> Yet </w:t>
      </w:r>
      <w:r w:rsidR="00900F0A">
        <w:rPr>
          <w:lang w:val="en-GB" w:bidi="he-IL"/>
        </w:rPr>
        <w:t>Abraham prefaces that description of</w:t>
      </w:r>
      <w:r w:rsidR="00EF3202">
        <w:rPr>
          <w:lang w:val="en-GB" w:bidi="he-IL"/>
        </w:rPr>
        <w:t xml:space="preserve"> God with the name Yahweh. L</w:t>
      </w:r>
      <w:r w:rsidR="00900F0A">
        <w:rPr>
          <w:lang w:val="en-GB" w:bidi="he-IL"/>
        </w:rPr>
        <w:t>ike othe</w:t>
      </w:r>
      <w:r w:rsidR="00EF3202">
        <w:rPr>
          <w:lang w:val="en-GB" w:bidi="he-IL"/>
        </w:rPr>
        <w:t xml:space="preserve">r </w:t>
      </w:r>
      <w:r w:rsidR="00900F0A">
        <w:rPr>
          <w:lang w:val="en-GB" w:bidi="he-IL"/>
        </w:rPr>
        <w:t xml:space="preserve">references to Yahweh in Genesis, putting the name </w:t>
      </w:r>
      <w:r w:rsidR="003D56BA">
        <w:rPr>
          <w:lang w:val="en-GB" w:bidi="he-IL"/>
        </w:rPr>
        <w:t>“</w:t>
      </w:r>
      <w:r w:rsidR="00900F0A">
        <w:rPr>
          <w:lang w:val="en-GB" w:bidi="he-IL"/>
        </w:rPr>
        <w:t>Yahweh</w:t>
      </w:r>
      <w:r w:rsidR="003D56BA">
        <w:rPr>
          <w:lang w:val="en-GB" w:bidi="he-IL"/>
        </w:rPr>
        <w:t>”</w:t>
      </w:r>
      <w:r w:rsidR="00900F0A">
        <w:rPr>
          <w:lang w:val="en-GB" w:bidi="he-IL"/>
        </w:rPr>
        <w:t xml:space="preserve"> on Abraham’s lips is technically an anachronism. Yahweh had not yet invited his people to call him by that name. But it was indeed Yahweh who ha</w:t>
      </w:r>
      <w:r w:rsidR="00EF3202">
        <w:rPr>
          <w:lang w:val="en-GB" w:bidi="he-IL"/>
        </w:rPr>
        <w:t xml:space="preserve">d been acting in </w:t>
      </w:r>
      <w:r w:rsidR="00900F0A">
        <w:rPr>
          <w:lang w:val="en-GB" w:bidi="he-IL"/>
        </w:rPr>
        <w:t>enabling Abraham to rescue Lot, so the anachronism is a technicality. The affirmation of substance in the words put on Abraham’s lips is that</w:t>
      </w:r>
      <w:r w:rsidR="00EF3202">
        <w:rPr>
          <w:lang w:val="en-GB" w:bidi="he-IL"/>
        </w:rPr>
        <w:t>,</w:t>
      </w:r>
      <w:r w:rsidR="00900F0A">
        <w:rPr>
          <w:lang w:val="en-GB" w:bidi="he-IL"/>
        </w:rPr>
        <w:t xml:space="preserve"> </w:t>
      </w:r>
      <w:r w:rsidR="00EF3202">
        <w:rPr>
          <w:lang w:val="en-GB" w:bidi="he-IL"/>
        </w:rPr>
        <w:t xml:space="preserve">while </w:t>
      </w:r>
      <w:r w:rsidR="00900F0A">
        <w:rPr>
          <w:lang w:val="en-GB" w:bidi="he-IL"/>
        </w:rPr>
        <w:t xml:space="preserve">Abraham </w:t>
      </w:r>
      <w:r w:rsidR="00EF3202">
        <w:rPr>
          <w:lang w:val="en-GB" w:bidi="he-IL"/>
        </w:rPr>
        <w:t xml:space="preserve">could properly </w:t>
      </w:r>
      <w:r w:rsidR="00900F0A">
        <w:rPr>
          <w:lang w:val="en-GB" w:bidi="he-IL"/>
        </w:rPr>
        <w:t>recognize that Melchizede</w:t>
      </w:r>
      <w:r w:rsidR="003A6726">
        <w:rPr>
          <w:lang w:val="en-GB" w:bidi="he-IL"/>
        </w:rPr>
        <w:t xml:space="preserve">k serves the real God, </w:t>
      </w:r>
      <w:r w:rsidR="00900F0A">
        <w:rPr>
          <w:lang w:val="en-GB" w:bidi="he-IL"/>
        </w:rPr>
        <w:t>in order to have a fuller picture of the</w:t>
      </w:r>
      <w:r w:rsidR="00EF3202">
        <w:rPr>
          <w:lang w:val="en-GB" w:bidi="he-IL"/>
        </w:rPr>
        <w:t xml:space="preserve"> real God</w:t>
      </w:r>
      <w:r w:rsidR="003A6726">
        <w:rPr>
          <w:lang w:val="en-GB" w:bidi="he-IL"/>
        </w:rPr>
        <w:t xml:space="preserve"> one needs to see this</w:t>
      </w:r>
      <w:r w:rsidR="00900F0A">
        <w:rPr>
          <w:lang w:val="en-GB" w:bidi="he-IL"/>
        </w:rPr>
        <w:t xml:space="preserve"> God as </w:t>
      </w:r>
      <w:r w:rsidR="003A6726">
        <w:rPr>
          <w:lang w:val="en-GB" w:bidi="he-IL"/>
        </w:rPr>
        <w:t xml:space="preserve">the one </w:t>
      </w:r>
      <w:r w:rsidR="00900F0A">
        <w:rPr>
          <w:lang w:val="en-GB" w:bidi="he-IL"/>
        </w:rPr>
        <w:t>involved in the story of Abraham and his descendants who live their life in the context of God’s promise to them.</w:t>
      </w:r>
    </w:p>
    <w:p w14:paraId="176B7BB9" w14:textId="442A1631" w:rsidR="00900F0A" w:rsidRDefault="00900F0A" w:rsidP="00521D2F">
      <w:pPr>
        <w:pStyle w:val="ListParagraph"/>
        <w:ind w:left="0" w:firstLine="720"/>
        <w:rPr>
          <w:lang w:val="en-GB" w:bidi="he-IL"/>
        </w:rPr>
      </w:pPr>
      <w:r>
        <w:rPr>
          <w:lang w:val="en-GB" w:bidi="he-IL"/>
        </w:rPr>
        <w:t xml:space="preserve">The substance of Abraham’s solemn declaration </w:t>
      </w:r>
      <w:r w:rsidR="003A6726">
        <w:rPr>
          <w:lang w:val="en-GB" w:bidi="he-IL"/>
        </w:rPr>
        <w:t>to the king</w:t>
      </w:r>
      <w:r w:rsidR="005B205F">
        <w:rPr>
          <w:lang w:val="en-GB" w:bidi="he-IL"/>
        </w:rPr>
        <w:t xml:space="preserve"> (v</w:t>
      </w:r>
      <w:r w:rsidR="003A6726">
        <w:rPr>
          <w:lang w:val="en-GB" w:bidi="he-IL"/>
        </w:rPr>
        <w:t>. 23), is that he does</w:t>
      </w:r>
      <w:r>
        <w:rPr>
          <w:lang w:val="en-GB" w:bidi="he-IL"/>
        </w:rPr>
        <w:t xml:space="preserve">n’t want the plunder. </w:t>
      </w:r>
      <w:r w:rsidR="005B205F">
        <w:rPr>
          <w:lang w:val="en-GB" w:bidi="he-IL"/>
        </w:rPr>
        <w:t>Melchizedek’s blessing of God and Abraham’s giving Melchizedek a tithe have recognized tha</w:t>
      </w:r>
      <w:r w:rsidR="003A6726">
        <w:rPr>
          <w:lang w:val="en-GB" w:bidi="he-IL"/>
        </w:rPr>
        <w:t>t God was the one who made Abraham’s</w:t>
      </w:r>
      <w:r w:rsidR="005B205F">
        <w:rPr>
          <w:lang w:val="en-GB" w:bidi="he-IL"/>
        </w:rPr>
        <w:t xml:space="preserve"> vi</w:t>
      </w:r>
      <w:r w:rsidR="003A6726">
        <w:rPr>
          <w:lang w:val="en-GB" w:bidi="he-IL"/>
        </w:rPr>
        <w:t>ctory possible. A</w:t>
      </w:r>
      <w:r w:rsidR="005B205F">
        <w:rPr>
          <w:lang w:val="en-GB" w:bidi="he-IL"/>
        </w:rPr>
        <w:t>ccept</w:t>
      </w:r>
      <w:r w:rsidR="00007B8D">
        <w:rPr>
          <w:lang w:val="en-GB" w:bidi="he-IL"/>
        </w:rPr>
        <w:t xml:space="preserve">ing the plunder would </w:t>
      </w:r>
      <w:r w:rsidR="005B205F">
        <w:rPr>
          <w:lang w:val="en-GB" w:bidi="he-IL"/>
        </w:rPr>
        <w:t>let the king of Sodom be the one who made Abraham rich. Actually it is God who does so.</w:t>
      </w:r>
      <w:r w:rsidR="00041B5E">
        <w:rPr>
          <w:lang w:val="en-GB" w:bidi="he-IL"/>
        </w:rPr>
        <w:t xml:space="preserve"> </w:t>
      </w:r>
      <w:r w:rsidR="00F502C8">
        <w:rPr>
          <w:lang w:val="en-GB" w:bidi="he-IL"/>
        </w:rPr>
        <w:t>Abraham rejects zero-sum thinking.</w:t>
      </w:r>
      <w:r w:rsidR="00F502C8">
        <w:rPr>
          <w:rStyle w:val="FootnoteReference"/>
          <w:lang w:val="en-GB" w:bidi="he-IL"/>
        </w:rPr>
        <w:footnoteReference w:id="177"/>
      </w:r>
      <w:r w:rsidR="00F502C8">
        <w:rPr>
          <w:lang w:val="en-GB" w:bidi="he-IL"/>
        </w:rPr>
        <w:t xml:space="preserve"> </w:t>
      </w:r>
      <w:r w:rsidR="00041B5E">
        <w:rPr>
          <w:lang w:val="en-GB" w:bidi="he-IL"/>
        </w:rPr>
        <w:t>A</w:t>
      </w:r>
      <w:r w:rsidR="00957C17">
        <w:rPr>
          <w:lang w:val="en-GB" w:bidi="he-IL"/>
        </w:rPr>
        <w:t>nd we</w:t>
      </w:r>
      <w:r w:rsidR="00041B5E" w:rsidRPr="00041B5E">
        <w:rPr>
          <w:lang w:val="en-GB" w:bidi="he-IL"/>
        </w:rPr>
        <w:t xml:space="preserve"> </w:t>
      </w:r>
      <w:r w:rsidR="0057420B">
        <w:rPr>
          <w:lang w:val="en-GB" w:bidi="he-IL"/>
        </w:rPr>
        <w:t>know that there is reason to be wary</w:t>
      </w:r>
      <w:r w:rsidR="00041B5E" w:rsidRPr="00041B5E">
        <w:rPr>
          <w:lang w:val="en-GB" w:bidi="he-IL"/>
        </w:rPr>
        <w:t xml:space="preserve"> when you are eating with the king of a place like Sodom</w:t>
      </w:r>
      <w:r w:rsidR="00831DD3">
        <w:rPr>
          <w:lang w:val="en-GB" w:bidi="he-IL"/>
        </w:rPr>
        <w:t>, whose proposal provokes a more negative reaction than the one Abraham has to Pharaoh.</w:t>
      </w:r>
    </w:p>
    <w:p w14:paraId="1176334A" w14:textId="1D30D775" w:rsidR="005B205F" w:rsidRPr="009F6B15" w:rsidRDefault="00957C17" w:rsidP="00521D2F">
      <w:pPr>
        <w:pStyle w:val="ListParagraph"/>
        <w:ind w:left="0" w:firstLine="720"/>
        <w:rPr>
          <w:lang w:bidi="he-IL"/>
        </w:rPr>
      </w:pPr>
      <w:r>
        <w:rPr>
          <w:lang w:val="en-GB" w:bidi="he-IL"/>
        </w:rPr>
        <w:t>T</w:t>
      </w:r>
      <w:r w:rsidR="005B205F">
        <w:rPr>
          <w:lang w:val="en-GB" w:bidi="he-IL"/>
        </w:rPr>
        <w:t>here is that other reason for taking plunder (v. 24). Going on mili</w:t>
      </w:r>
      <w:r w:rsidR="000F67F4">
        <w:rPr>
          <w:lang w:val="en-GB" w:bidi="he-IL"/>
        </w:rPr>
        <w:t>tary expeditions is a costly</w:t>
      </w:r>
      <w:r w:rsidR="005B205F">
        <w:rPr>
          <w:lang w:val="en-GB" w:bidi="he-IL"/>
        </w:rPr>
        <w:t xml:space="preserve"> business, and the plunder offsets ex</w:t>
      </w:r>
      <w:r w:rsidR="000F67F4">
        <w:rPr>
          <w:lang w:val="en-GB" w:bidi="he-IL"/>
        </w:rPr>
        <w:t xml:space="preserve">penses. Abraham’s staff </w:t>
      </w:r>
      <w:r w:rsidR="005B205F">
        <w:rPr>
          <w:lang w:val="en-GB" w:bidi="he-IL"/>
        </w:rPr>
        <w:t>had to take their supplies, so they should put in their expense claims. And Abraham’s three allies (and no doubt their staff) should have their share.</w:t>
      </w:r>
    </w:p>
    <w:p w14:paraId="7E9A5181" w14:textId="77777777" w:rsidR="0035582E" w:rsidRDefault="004F3B90" w:rsidP="0035582E">
      <w:pPr>
        <w:pStyle w:val="Heading2"/>
        <w:rPr>
          <w:lang w:bidi="he-IL"/>
        </w:rPr>
      </w:pPr>
      <w:r>
        <w:rPr>
          <w:lang w:bidi="he-IL"/>
        </w:rPr>
        <w:t>Big Powers and</w:t>
      </w:r>
      <w:r w:rsidR="00B51952">
        <w:rPr>
          <w:lang w:bidi="he-IL"/>
        </w:rPr>
        <w:t xml:space="preserve"> </w:t>
      </w:r>
      <w:r w:rsidR="00E25069">
        <w:rPr>
          <w:lang w:bidi="he-IL"/>
        </w:rPr>
        <w:t>Little Powers</w:t>
      </w:r>
    </w:p>
    <w:p w14:paraId="0135C7D7" w14:textId="2BAD3B3E" w:rsidR="000F67F4" w:rsidRPr="000F67F4" w:rsidRDefault="002F478F" w:rsidP="000F67F4">
      <w:pPr>
        <w:rPr>
          <w:lang w:bidi="he-IL"/>
        </w:rPr>
      </w:pPr>
      <w:r>
        <w:rPr>
          <w:lang w:bidi="he-IL"/>
        </w:rPr>
        <w:t xml:space="preserve">How do the people of God relate to the world scene? </w:t>
      </w:r>
      <w:r w:rsidR="00C558DC">
        <w:rPr>
          <w:lang w:bidi="he-IL"/>
        </w:rPr>
        <w:t>They</w:t>
      </w:r>
      <w:r w:rsidR="00007B8D">
        <w:rPr>
          <w:lang w:bidi="he-IL"/>
        </w:rPr>
        <w:t xml:space="preserve"> should not forget that the life of the nations continues to develop within the broad context of God’s blessing, though they should also k</w:t>
      </w:r>
      <w:r w:rsidR="000F67F4">
        <w:rPr>
          <w:lang w:bidi="he-IL"/>
        </w:rPr>
        <w:t>eep in mind that big powers enjoy</w:t>
      </w:r>
      <w:r w:rsidR="00007B8D">
        <w:rPr>
          <w:lang w:bidi="he-IL"/>
        </w:rPr>
        <w:t xml:space="preserve"> being big powers and extending their empires</w:t>
      </w:r>
      <w:r w:rsidR="000F67F4">
        <w:rPr>
          <w:lang w:bidi="he-IL"/>
        </w:rPr>
        <w:t>,</w:t>
      </w:r>
      <w:r w:rsidR="00007B8D">
        <w:rPr>
          <w:lang w:bidi="he-IL"/>
        </w:rPr>
        <w:t xml:space="preserve"> because they like power and because they can </w:t>
      </w:r>
      <w:r w:rsidR="000F67F4">
        <w:rPr>
          <w:lang w:bidi="he-IL"/>
        </w:rPr>
        <w:t>thus enrich themselves</w:t>
      </w:r>
      <w:r w:rsidR="00007B8D">
        <w:rPr>
          <w:lang w:bidi="he-IL"/>
        </w:rPr>
        <w:t xml:space="preserve">. Conversely, little powers don’t much like being under the control of big powers, because it tends to cost them in taxes and because they also like being in control of their own destiny. But they </w:t>
      </w:r>
      <w:r w:rsidR="00C558DC">
        <w:rPr>
          <w:lang w:bidi="he-IL"/>
        </w:rPr>
        <w:t>may need to choose their moment</w:t>
      </w:r>
      <w:r w:rsidR="00007B8D">
        <w:rPr>
          <w:lang w:bidi="he-IL"/>
        </w:rPr>
        <w:t xml:space="preserve"> to ass</w:t>
      </w:r>
      <w:r w:rsidR="00664AF2">
        <w:rPr>
          <w:lang w:bidi="he-IL"/>
        </w:rPr>
        <w:t>e</w:t>
      </w:r>
      <w:r w:rsidR="00007B8D">
        <w:rPr>
          <w:lang w:bidi="he-IL"/>
        </w:rPr>
        <w:t>rt their independence.</w:t>
      </w:r>
      <w:r w:rsidR="000F67F4" w:rsidRPr="000F67F4">
        <w:rPr>
          <w:lang w:bidi="he-IL"/>
        </w:rPr>
        <w:t xml:space="preserve"> In the context of the history of Ephraim and Judah it could suggest the moral that the underlings of an empire need to think twice before rebelling against the empire.</w:t>
      </w:r>
    </w:p>
    <w:p w14:paraId="07402DE5" w14:textId="5E2B7DC9" w:rsidR="00B97399" w:rsidRPr="00E25069" w:rsidRDefault="00664AF2" w:rsidP="00E25069">
      <w:pPr>
        <w:rPr>
          <w:lang w:bidi="he-IL"/>
        </w:rPr>
      </w:pPr>
      <w:r>
        <w:rPr>
          <w:lang w:bidi="he-IL"/>
        </w:rPr>
        <w:t xml:space="preserve">The people of God sometimes find themselves caught up in the assertive actions of big powers and the resistance of little powers. </w:t>
      </w:r>
      <w:r w:rsidR="002F478F" w:rsidRPr="002F478F">
        <w:rPr>
          <w:lang w:bidi="he-IL"/>
        </w:rPr>
        <w:t xml:space="preserve">Does Abraham </w:t>
      </w:r>
      <w:r w:rsidR="002F478F">
        <w:rPr>
          <w:lang w:bidi="he-IL"/>
        </w:rPr>
        <w:t xml:space="preserve">then </w:t>
      </w:r>
      <w:r w:rsidR="00C558DC">
        <w:rPr>
          <w:lang w:bidi="he-IL"/>
        </w:rPr>
        <w:t>set an example?</w:t>
      </w:r>
      <w:r w:rsidR="000F67F4" w:rsidRPr="000F67F4">
        <w:rPr>
          <w:vertAlign w:val="superscript"/>
          <w:lang w:bidi="he-IL"/>
        </w:rPr>
        <w:footnoteReference w:id="178"/>
      </w:r>
      <w:r w:rsidR="00C558DC">
        <w:rPr>
          <w:lang w:bidi="he-IL"/>
        </w:rPr>
        <w:t xml:space="preserve"> </w:t>
      </w:r>
      <w:r w:rsidR="002F478F" w:rsidRPr="002F478F">
        <w:rPr>
          <w:lang w:bidi="he-IL"/>
        </w:rPr>
        <w:t>One might compare him with Moses when he strikes down an Egyptian who is beating an Israelite.</w:t>
      </w:r>
      <w:r w:rsidR="002F478F" w:rsidRPr="002F478F">
        <w:rPr>
          <w:vertAlign w:val="superscript"/>
          <w:lang w:bidi="he-IL"/>
        </w:rPr>
        <w:footnoteReference w:id="179"/>
      </w:r>
      <w:r w:rsidR="002F478F">
        <w:rPr>
          <w:lang w:bidi="he-IL"/>
        </w:rPr>
        <w:t xml:space="preserve"> But the people of God or other entities</w:t>
      </w:r>
      <w:r>
        <w:rPr>
          <w:lang w:bidi="he-IL"/>
        </w:rPr>
        <w:t xml:space="preserve"> then need no</w:t>
      </w:r>
      <w:r w:rsidR="00C558DC">
        <w:rPr>
          <w:lang w:bidi="he-IL"/>
        </w:rPr>
        <w:t>t merely to choose their moment</w:t>
      </w:r>
      <w:r>
        <w:rPr>
          <w:lang w:bidi="he-IL"/>
        </w:rPr>
        <w:t xml:space="preserve"> wisely but to take into account the obligations placed upon them by their relationships within the people of God as a whole. Making war is more likely to be </w:t>
      </w:r>
      <w:r w:rsidR="001F67ED">
        <w:rPr>
          <w:lang w:bidi="he-IL"/>
        </w:rPr>
        <w:t>the morally right course if</w:t>
      </w:r>
      <w:r>
        <w:rPr>
          <w:lang w:bidi="he-IL"/>
        </w:rPr>
        <w:t xml:space="preserve"> we are acting</w:t>
      </w:r>
      <w:r w:rsidR="002F478F">
        <w:rPr>
          <w:lang w:bidi="he-IL"/>
        </w:rPr>
        <w:t xml:space="preserve"> in faithfulness to the people o</w:t>
      </w:r>
      <w:r>
        <w:rPr>
          <w:lang w:bidi="he-IL"/>
        </w:rPr>
        <w:t>f God</w:t>
      </w:r>
      <w:r w:rsidR="002F478F">
        <w:rPr>
          <w:lang w:bidi="he-IL"/>
        </w:rPr>
        <w:t xml:space="preserve"> or to other people who are the victims of wrongful treatment. </w:t>
      </w:r>
      <w:r w:rsidR="002922A0">
        <w:rPr>
          <w:lang w:bidi="he-IL"/>
        </w:rPr>
        <w:t xml:space="preserve">And we may not refuse to act just because it was their own </w:t>
      </w:r>
      <w:r w:rsidR="002922A0">
        <w:rPr>
          <w:lang w:bidi="he-IL"/>
        </w:rPr>
        <w:lastRenderedPageBreak/>
        <w:t>fault that the victims got into a mess.</w:t>
      </w:r>
      <w:r w:rsidR="00E25069">
        <w:rPr>
          <w:lang w:bidi="he-IL"/>
        </w:rPr>
        <w:t xml:space="preserve"> On the other hand, if we succeed, </w:t>
      </w:r>
      <w:r w:rsidR="00E25069" w:rsidRPr="00E25069">
        <w:rPr>
          <w:lang w:bidi="he-IL"/>
        </w:rPr>
        <w:t>l</w:t>
      </w:r>
      <w:r w:rsidR="00B97399" w:rsidRPr="00E25069">
        <w:rPr>
          <w:lang w:bidi="he-IL"/>
        </w:rPr>
        <w:t>iberators do not enrich themselves through their explo</w:t>
      </w:r>
      <w:r w:rsidR="00334C3E" w:rsidRPr="00E25069">
        <w:rPr>
          <w:lang w:bidi="he-IL"/>
        </w:rPr>
        <w:t xml:space="preserve">its, especially at the expense </w:t>
      </w:r>
      <w:r w:rsidR="002F478F" w:rsidRPr="00E25069">
        <w:rPr>
          <w:lang w:bidi="he-IL"/>
        </w:rPr>
        <w:t xml:space="preserve">of those they liberate. </w:t>
      </w:r>
      <w:r w:rsidR="00B97399" w:rsidRPr="00E25069">
        <w:rPr>
          <w:lang w:bidi="he-IL"/>
        </w:rPr>
        <w:t>Abraham anticipates the stance of Gideon.</w:t>
      </w:r>
      <w:r w:rsidR="00B97399" w:rsidRPr="00E25069">
        <w:rPr>
          <w:vertAlign w:val="superscript"/>
          <w:lang w:bidi="he-IL"/>
        </w:rPr>
        <w:footnoteReference w:id="180"/>
      </w:r>
      <w:r w:rsidR="000F67F4">
        <w:rPr>
          <w:lang w:bidi="he-IL"/>
        </w:rPr>
        <w:t xml:space="preserve"> D</w:t>
      </w:r>
      <w:r w:rsidR="002F478F" w:rsidRPr="00E25069">
        <w:rPr>
          <w:lang w:bidi="he-IL"/>
        </w:rPr>
        <w:t>eclining the plunder from the expedition suggests he is prepared to be in the world but he will not be sucked into being of it.</w:t>
      </w:r>
    </w:p>
    <w:p w14:paraId="442D52CE" w14:textId="17B1CD34" w:rsidR="002F478F" w:rsidRDefault="00BD4B78" w:rsidP="00E25069">
      <w:pPr>
        <w:rPr>
          <w:lang w:bidi="he-IL"/>
        </w:rPr>
      </w:pPr>
      <w:r>
        <w:rPr>
          <w:lang w:bidi="he-IL"/>
        </w:rPr>
        <w:t xml:space="preserve">Successfully doing the right thing </w:t>
      </w:r>
      <w:r w:rsidR="00C558DC">
        <w:rPr>
          <w:lang w:bidi="he-IL"/>
        </w:rPr>
        <w:t xml:space="preserve">in a political or military context </w:t>
      </w:r>
      <w:r>
        <w:rPr>
          <w:lang w:bidi="he-IL"/>
        </w:rPr>
        <w:t xml:space="preserve">may require </w:t>
      </w:r>
      <w:r w:rsidR="00C558DC">
        <w:rPr>
          <w:lang w:bidi="he-IL"/>
        </w:rPr>
        <w:t xml:space="preserve">both our commitment and </w:t>
      </w:r>
      <w:r>
        <w:rPr>
          <w:lang w:bidi="he-IL"/>
        </w:rPr>
        <w:t>God’s involvement.</w:t>
      </w:r>
      <w:r w:rsidR="000F67F4">
        <w:rPr>
          <w:lang w:bidi="he-IL"/>
        </w:rPr>
        <w:t xml:space="preserve"> Gen 14</w:t>
      </w:r>
      <w:r w:rsidR="002F478F">
        <w:rPr>
          <w:lang w:bidi="he-IL"/>
        </w:rPr>
        <w:t xml:space="preserve"> itself does not refer to God’s involvement. The rescue comes about because Abraham acts. But </w:t>
      </w:r>
      <w:r w:rsidR="003D56BA">
        <w:rPr>
          <w:lang w:bidi="he-IL"/>
        </w:rPr>
        <w:t>“</w:t>
      </w:r>
      <w:r w:rsidR="002F478F">
        <w:rPr>
          <w:lang w:bidi="he-IL"/>
        </w:rPr>
        <w:t>Melchizedek confesses their God as both creator and redeemer… in a way that Abraham had not…. Melchizedek is represented as Abraham’s teacher regarding the activity of their common deity.</w:t>
      </w:r>
      <w:r w:rsidR="003D56BA">
        <w:rPr>
          <w:lang w:bidi="he-IL"/>
        </w:rPr>
        <w:t>”</w:t>
      </w:r>
      <w:r w:rsidR="002F478F">
        <w:rPr>
          <w:rStyle w:val="FootnoteReference"/>
          <w:lang w:bidi="he-IL"/>
        </w:rPr>
        <w:footnoteReference w:id="181"/>
      </w:r>
      <w:r w:rsidR="002F478F">
        <w:rPr>
          <w:lang w:bidi="he-IL"/>
        </w:rPr>
        <w:t xml:space="preserve"> Whereas Lot the insider becomes an outsider, Melchizedek the outsider speaks like an insider. While insiders can become a threat or a problem, outsiders can become a blessing.</w:t>
      </w:r>
      <w:r w:rsidR="002F478F">
        <w:rPr>
          <w:rStyle w:val="FootnoteReference"/>
          <w:lang w:bidi="he-IL"/>
        </w:rPr>
        <w:footnoteReference w:id="182"/>
      </w:r>
      <w:r w:rsidR="00B51952">
        <w:rPr>
          <w:lang w:bidi="he-IL"/>
        </w:rPr>
        <w:t xml:space="preserve"> Melchizedek recognizes that God</w:t>
      </w:r>
      <w:r w:rsidR="002F478F">
        <w:rPr>
          <w:lang w:bidi="he-IL"/>
        </w:rPr>
        <w:t xml:space="preserve"> is both </w:t>
      </w:r>
      <w:r w:rsidR="003D56BA">
        <w:rPr>
          <w:lang w:bidi="he-IL"/>
        </w:rPr>
        <w:t>“</w:t>
      </w:r>
      <w:r w:rsidR="002F478F">
        <w:rPr>
          <w:lang w:bidi="he-IL"/>
        </w:rPr>
        <w:t>generator of heavens and earth</w:t>
      </w:r>
      <w:r w:rsidR="003D56BA">
        <w:rPr>
          <w:lang w:bidi="he-IL"/>
        </w:rPr>
        <w:t>”</w:t>
      </w:r>
      <w:r w:rsidR="002F478F">
        <w:rPr>
          <w:lang w:bidi="he-IL"/>
        </w:rPr>
        <w:t xml:space="preserve"> and one who </w:t>
      </w:r>
      <w:r w:rsidR="003D56BA">
        <w:rPr>
          <w:lang w:bidi="he-IL"/>
        </w:rPr>
        <w:t>“</w:t>
      </w:r>
      <w:r w:rsidR="002F478F">
        <w:rPr>
          <w:lang w:bidi="he-IL"/>
        </w:rPr>
        <w:t>has delivered your attackers into your hand.</w:t>
      </w:r>
      <w:r w:rsidR="003D56BA">
        <w:rPr>
          <w:lang w:bidi="he-IL"/>
        </w:rPr>
        <w:t>”</w:t>
      </w:r>
      <w:r w:rsidR="002F478F">
        <w:rPr>
          <w:lang w:bidi="he-IL"/>
        </w:rPr>
        <w:t xml:space="preserve"> LXX, Vg have </w:t>
      </w:r>
      <w:r w:rsidR="003D56BA">
        <w:rPr>
          <w:lang w:bidi="he-IL"/>
        </w:rPr>
        <w:t>“</w:t>
      </w:r>
      <w:r w:rsidR="002F478F">
        <w:rPr>
          <w:lang w:bidi="he-IL"/>
        </w:rPr>
        <w:t>who created heavens and earth,</w:t>
      </w:r>
      <w:r w:rsidR="003D56BA">
        <w:rPr>
          <w:lang w:bidi="he-IL"/>
        </w:rPr>
        <w:t>”</w:t>
      </w:r>
      <w:r w:rsidR="002F478F">
        <w:rPr>
          <w:lang w:bidi="he-IL"/>
        </w:rPr>
        <w:t xml:space="preserve"> but Melchizedek’s formula uses a participle, which is more open to pointing to God’s ongoing activity. The five psalm references to Yahweh’s being maker of heavens and earth</w:t>
      </w:r>
      <w:r w:rsidR="004F3B90">
        <w:rPr>
          <w:lang w:bidi="he-IL"/>
        </w:rPr>
        <w:t>, noted above,</w:t>
      </w:r>
      <w:r w:rsidR="002F478F">
        <w:rPr>
          <w:lang w:bidi="he-IL"/>
        </w:rPr>
        <w:t xml:space="preserve"> have</w:t>
      </w:r>
      <w:r w:rsidR="004F3B90">
        <w:rPr>
          <w:lang w:bidi="he-IL"/>
        </w:rPr>
        <w:t xml:space="preserve"> parallel implications. They</w:t>
      </w:r>
      <w:r w:rsidR="00C558DC">
        <w:rPr>
          <w:lang w:bidi="he-IL"/>
        </w:rPr>
        <w:t xml:space="preserve"> </w:t>
      </w:r>
      <w:r w:rsidR="002F478F">
        <w:rPr>
          <w:lang w:bidi="he-IL"/>
        </w:rPr>
        <w:t>associate Yahweh’s being maker of heavens and earth either with Yahweh blessing us or with Yahweh helping us.</w:t>
      </w:r>
      <w:r w:rsidR="002F478F">
        <w:rPr>
          <w:rStyle w:val="FootnoteReference"/>
          <w:lang w:bidi="he-IL"/>
        </w:rPr>
        <w:footnoteReference w:id="183"/>
      </w:r>
      <w:r w:rsidR="000F67F4">
        <w:rPr>
          <w:lang w:bidi="he-IL"/>
        </w:rPr>
        <w:t xml:space="preserve"> </w:t>
      </w:r>
      <w:r w:rsidR="002F478F">
        <w:rPr>
          <w:lang w:bidi="he-IL"/>
        </w:rPr>
        <w:t>Genesis and the Psalms see God’s activity as creator as not relating only to the past; it has implications in the present.</w:t>
      </w:r>
    </w:p>
    <w:p w14:paraId="19CE790D" w14:textId="77777777" w:rsidR="00B51952" w:rsidRDefault="00B51952" w:rsidP="00E25069">
      <w:pPr>
        <w:rPr>
          <w:lang w:bidi="he-IL"/>
        </w:rPr>
      </w:pPr>
    </w:p>
    <w:p w14:paraId="2106992D" w14:textId="77777777" w:rsidR="002922A0" w:rsidRDefault="002922A0">
      <w:pPr>
        <w:spacing w:after="200" w:line="276" w:lineRule="auto"/>
        <w:ind w:firstLine="0"/>
        <w:rPr>
          <w:rFonts w:ascii="Calibri" w:eastAsia="Times New Roman" w:hAnsi="Calibri" w:cs="Times New Roman"/>
          <w:szCs w:val="20"/>
          <w:lang w:bidi="he-IL"/>
        </w:rPr>
      </w:pPr>
      <w:r>
        <w:rPr>
          <w:lang w:bidi="he-IL"/>
        </w:rPr>
        <w:br w:type="page"/>
      </w:r>
    </w:p>
    <w:p w14:paraId="152F28B2" w14:textId="77777777" w:rsidR="002922A0" w:rsidRDefault="001D73B1" w:rsidP="002922A0">
      <w:pPr>
        <w:pStyle w:val="Heading1"/>
        <w:rPr>
          <w:lang w:bidi="he-IL"/>
        </w:rPr>
      </w:pPr>
      <w:r>
        <w:rPr>
          <w:lang w:bidi="he-IL"/>
        </w:rPr>
        <w:lastRenderedPageBreak/>
        <w:t>Genesis 15:1-20—</w:t>
      </w:r>
      <w:r w:rsidR="003D56BA">
        <w:rPr>
          <w:lang w:bidi="he-IL"/>
        </w:rPr>
        <w:t>”</w:t>
      </w:r>
      <w:r>
        <w:rPr>
          <w:lang w:bidi="he-IL"/>
        </w:rPr>
        <w:t>But Lord Yahweh…</w:t>
      </w:r>
      <w:r w:rsidR="003D56BA">
        <w:rPr>
          <w:lang w:bidi="he-IL"/>
        </w:rPr>
        <w:t>”</w:t>
      </w:r>
    </w:p>
    <w:p w14:paraId="4D38E3DE" w14:textId="77777777" w:rsidR="002922A0" w:rsidRDefault="002922A0" w:rsidP="002922A0">
      <w:pPr>
        <w:pStyle w:val="ListParagraph"/>
        <w:ind w:left="720" w:firstLine="0"/>
        <w:rPr>
          <w:lang w:bidi="he-IL"/>
        </w:rPr>
      </w:pPr>
    </w:p>
    <w:p w14:paraId="1A8AA620" w14:textId="77777777" w:rsidR="00141055" w:rsidRPr="00DA695A" w:rsidRDefault="00141055" w:rsidP="00141055">
      <w:pPr>
        <w:pStyle w:val="Heading2"/>
        <w:rPr>
          <w:lang w:bidi="he-IL"/>
        </w:rPr>
      </w:pPr>
      <w:r>
        <w:rPr>
          <w:lang w:bidi="he-IL"/>
        </w:rPr>
        <w:t>Overview</w:t>
      </w:r>
    </w:p>
    <w:p w14:paraId="5413D15F" w14:textId="628B5C78" w:rsidR="002969F7" w:rsidRDefault="00A3460A" w:rsidP="00CE6BA2">
      <w:pPr>
        <w:pStyle w:val="ListParagraph"/>
        <w:ind w:left="0" w:firstLine="720"/>
        <w:rPr>
          <w:lang w:bidi="he-IL"/>
        </w:rPr>
      </w:pPr>
      <w:r>
        <w:rPr>
          <w:lang w:bidi="he-IL"/>
        </w:rPr>
        <w:t xml:space="preserve">Whereas the main focus in Gen 12—14 has been the land that Abraham’s offspring will possess, </w:t>
      </w:r>
      <w:r w:rsidR="00E07B42">
        <w:rPr>
          <w:lang w:bidi="he-IL"/>
        </w:rPr>
        <w:t>Gen 15—22</w:t>
      </w:r>
      <w:r w:rsidR="002969F7">
        <w:rPr>
          <w:lang w:bidi="he-IL"/>
        </w:rPr>
        <w:t xml:space="preserve"> </w:t>
      </w:r>
      <w:r w:rsidR="00303072">
        <w:rPr>
          <w:lang w:bidi="he-IL"/>
        </w:rPr>
        <w:t xml:space="preserve">will focus more </w:t>
      </w:r>
      <w:r w:rsidR="002969F7">
        <w:rPr>
          <w:lang w:bidi="he-IL"/>
        </w:rPr>
        <w:t>on</w:t>
      </w:r>
      <w:r>
        <w:rPr>
          <w:lang w:bidi="he-IL"/>
        </w:rPr>
        <w:t xml:space="preserve"> the offspring themselves</w:t>
      </w:r>
      <w:r w:rsidR="00D0225B">
        <w:rPr>
          <w:lang w:bidi="he-IL"/>
        </w:rPr>
        <w:t xml:space="preserve">. </w:t>
      </w:r>
      <w:r w:rsidR="002969F7">
        <w:rPr>
          <w:lang w:bidi="he-IL"/>
        </w:rPr>
        <w:t>G</w:t>
      </w:r>
      <w:r w:rsidR="00E07B42">
        <w:rPr>
          <w:lang w:bidi="he-IL"/>
        </w:rPr>
        <w:t>en 15 marks the shift</w:t>
      </w:r>
      <w:r w:rsidR="00D0225B">
        <w:rPr>
          <w:lang w:bidi="he-IL"/>
        </w:rPr>
        <w:t xml:space="preserve">; </w:t>
      </w:r>
      <w:r w:rsidR="003D56BA">
        <w:rPr>
          <w:lang w:bidi="he-IL"/>
        </w:rPr>
        <w:t>“</w:t>
      </w:r>
      <w:r w:rsidR="00D0225B">
        <w:rPr>
          <w:lang w:bidi="he-IL"/>
        </w:rPr>
        <w:t>o</w:t>
      </w:r>
      <w:r w:rsidR="00D0225B" w:rsidRPr="00D0225B">
        <w:rPr>
          <w:lang w:bidi="he-IL"/>
        </w:rPr>
        <w:t>ffspring</w:t>
      </w:r>
      <w:r w:rsidR="003D56BA">
        <w:rPr>
          <w:lang w:bidi="he-IL"/>
        </w:rPr>
        <w:t>”</w:t>
      </w:r>
      <w:r w:rsidR="00D0225B" w:rsidRPr="00D0225B">
        <w:rPr>
          <w:lang w:bidi="he-IL"/>
        </w:rPr>
        <w:t xml:space="preserve"> </w:t>
      </w:r>
      <w:r w:rsidR="00D0225B">
        <w:rPr>
          <w:lang w:bidi="he-IL"/>
        </w:rPr>
        <w:t xml:space="preserve">is </w:t>
      </w:r>
      <w:r w:rsidR="00E07B42">
        <w:rPr>
          <w:lang w:bidi="he-IL"/>
        </w:rPr>
        <w:t>a key word</w:t>
      </w:r>
      <w:r w:rsidR="00D0225B" w:rsidRPr="00D0225B">
        <w:rPr>
          <w:lang w:bidi="he-IL"/>
        </w:rPr>
        <w:t xml:space="preserve"> (see vv. 3, 5, 13, 18).</w:t>
      </w:r>
      <w:r w:rsidR="00D0225B" w:rsidRPr="00D0225B">
        <w:rPr>
          <w:vertAlign w:val="superscript"/>
          <w:lang w:bidi="he-IL"/>
        </w:rPr>
        <w:footnoteReference w:id="184"/>
      </w:r>
      <w:r w:rsidR="00D0225B" w:rsidRPr="00D0225B">
        <w:rPr>
          <w:lang w:bidi="he-IL"/>
        </w:rPr>
        <w:t xml:space="preserve"> </w:t>
      </w:r>
      <w:r w:rsidR="00E07B42">
        <w:rPr>
          <w:lang w:bidi="he-IL"/>
        </w:rPr>
        <w:t>Vv. 1-6</w:t>
      </w:r>
      <w:r w:rsidR="002969F7">
        <w:rPr>
          <w:lang w:bidi="he-IL"/>
        </w:rPr>
        <w:t xml:space="preserve"> begin</w:t>
      </w:r>
      <w:r w:rsidR="004A22A2">
        <w:rPr>
          <w:lang w:bidi="he-IL"/>
        </w:rPr>
        <w:t>s</w:t>
      </w:r>
      <w:r w:rsidR="002969F7">
        <w:rPr>
          <w:lang w:bidi="he-IL"/>
        </w:rPr>
        <w:t xml:space="preserve"> from the possessions that Yahweh promises Abraham; Abraham’s concern is who he will pass them onto. </w:t>
      </w:r>
      <w:r w:rsidR="00E07B42">
        <w:rPr>
          <w:lang w:bidi="he-IL"/>
        </w:rPr>
        <w:t>Yahweh affirm</w:t>
      </w:r>
      <w:r w:rsidR="003134D0">
        <w:rPr>
          <w:lang w:bidi="he-IL"/>
        </w:rPr>
        <w:t>s t</w:t>
      </w:r>
      <w:r w:rsidR="00E07B42">
        <w:rPr>
          <w:lang w:bidi="he-IL"/>
        </w:rPr>
        <w:t>hat he will have offspring, and</w:t>
      </w:r>
      <w:r w:rsidR="00062543">
        <w:rPr>
          <w:lang w:bidi="he-IL"/>
        </w:rPr>
        <w:t xml:space="preserve"> </w:t>
      </w:r>
      <w:r w:rsidR="003134D0">
        <w:rPr>
          <w:lang w:bidi="he-IL"/>
        </w:rPr>
        <w:t xml:space="preserve">Abraham responds with a commitment of trust. </w:t>
      </w:r>
      <w:r w:rsidR="002969F7">
        <w:rPr>
          <w:lang w:bidi="he-IL"/>
        </w:rPr>
        <w:t>Vv. 7-21 reassert</w:t>
      </w:r>
      <w:r w:rsidR="004A22A2">
        <w:rPr>
          <w:lang w:bidi="he-IL"/>
        </w:rPr>
        <w:t>s</w:t>
      </w:r>
      <w:r w:rsidR="00E07B42">
        <w:rPr>
          <w:lang w:bidi="he-IL"/>
        </w:rPr>
        <w:t xml:space="preserve"> Yahweh’s promise of the land and ends with </w:t>
      </w:r>
      <w:r w:rsidR="003134D0">
        <w:rPr>
          <w:lang w:bidi="he-IL"/>
        </w:rPr>
        <w:t>his demonstration of commitment</w:t>
      </w:r>
      <w:r w:rsidR="00303072">
        <w:rPr>
          <w:lang w:bidi="he-IL"/>
        </w:rPr>
        <w:t xml:space="preserve"> which includes his actual conveying of the gift of the land to Abraham’s non-existent offspring</w:t>
      </w:r>
      <w:r w:rsidR="003134D0">
        <w:rPr>
          <w:lang w:bidi="he-IL"/>
        </w:rPr>
        <w:t>.</w:t>
      </w:r>
      <w:r w:rsidR="002D5B0D">
        <w:rPr>
          <w:lang w:bidi="he-IL"/>
        </w:rPr>
        <w:t xml:space="preserve"> In both connections, </w:t>
      </w:r>
      <w:r w:rsidR="00AF3A31">
        <w:rPr>
          <w:lang w:bidi="he-IL"/>
        </w:rPr>
        <w:t xml:space="preserve">Gen </w:t>
      </w:r>
      <w:r w:rsidR="00C558DC">
        <w:rPr>
          <w:lang w:bidi="he-IL"/>
        </w:rPr>
        <w:t xml:space="preserve">15 </w:t>
      </w:r>
      <w:r w:rsidR="00AF3A31">
        <w:rPr>
          <w:lang w:bidi="he-IL"/>
        </w:rPr>
        <w:t>“</w:t>
      </w:r>
      <w:r w:rsidR="002D5B0D">
        <w:rPr>
          <w:lang w:bidi="he-IL"/>
        </w:rPr>
        <w:t>is most centrally concerned with delay.</w:t>
      </w:r>
      <w:r w:rsidR="003D56BA">
        <w:rPr>
          <w:lang w:bidi="he-IL"/>
        </w:rPr>
        <w:t>”</w:t>
      </w:r>
      <w:r w:rsidR="002D5B0D">
        <w:rPr>
          <w:rStyle w:val="FootnoteReference"/>
          <w:lang w:bidi="he-IL"/>
        </w:rPr>
        <w:footnoteReference w:id="185"/>
      </w:r>
    </w:p>
    <w:p w14:paraId="175408C0" w14:textId="77777777" w:rsidR="00A10CC9" w:rsidRPr="00495304" w:rsidRDefault="00A10CC9" w:rsidP="00A10CC9">
      <w:pPr>
        <w:pStyle w:val="Heading2"/>
        <w:rPr>
          <w:vertAlign w:val="superscript"/>
          <w:lang w:bidi="he-IL"/>
        </w:rPr>
      </w:pPr>
      <w:r w:rsidRPr="00DA695A">
        <w:rPr>
          <w:lang w:bidi="he-IL"/>
        </w:rPr>
        <w:t>Translation</w:t>
      </w:r>
    </w:p>
    <w:p w14:paraId="0DE05C0F" w14:textId="77777777" w:rsidR="004F472B" w:rsidRDefault="00A10CC9" w:rsidP="00A10CC9">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w:t>
      </w:r>
      <w:r>
        <w:rPr>
          <w:rFonts w:ascii="Calibri" w:eastAsia="Times New Roman" w:hAnsi="Calibri" w:cs="Times New Roman"/>
          <w:szCs w:val="18"/>
          <w:lang w:val="en-GB" w:bidi="he-IL"/>
        </w:rPr>
        <w:t>Su</w:t>
      </w:r>
      <w:r w:rsidRPr="00A10CC9">
        <w:rPr>
          <w:rFonts w:ascii="Calibri" w:eastAsia="Times New Roman" w:hAnsi="Calibri" w:cs="Times New Roman"/>
          <w:szCs w:val="18"/>
          <w:lang w:val="en-GB" w:bidi="he-IL"/>
        </w:rPr>
        <w:t>bsequently, Yahweh’s w</w:t>
      </w:r>
      <w:r w:rsidR="004F472B">
        <w:rPr>
          <w:rFonts w:ascii="Calibri" w:eastAsia="Times New Roman" w:hAnsi="Calibri" w:cs="Times New Roman"/>
          <w:szCs w:val="18"/>
          <w:lang w:val="en-GB" w:bidi="he-IL"/>
        </w:rPr>
        <w:t>ord came</w:t>
      </w:r>
      <w:r w:rsidR="00A87659">
        <w:rPr>
          <w:rStyle w:val="FootnoteReference"/>
          <w:rFonts w:ascii="Calibri" w:eastAsia="Times New Roman" w:hAnsi="Calibri" w:cs="Times New Roman"/>
          <w:szCs w:val="18"/>
          <w:lang w:val="en-GB" w:bidi="he-IL"/>
        </w:rPr>
        <w:footnoteReference w:id="186"/>
      </w:r>
      <w:r w:rsidR="004F472B">
        <w:rPr>
          <w:rFonts w:ascii="Calibri" w:eastAsia="Times New Roman" w:hAnsi="Calibri" w:cs="Times New Roman"/>
          <w:szCs w:val="18"/>
          <w:lang w:val="en-GB" w:bidi="he-IL"/>
        </w:rPr>
        <w:t xml:space="preserve"> to </w:t>
      </w:r>
      <w:r w:rsidR="00BF4EE8">
        <w:rPr>
          <w:rFonts w:ascii="Calibri" w:eastAsia="Times New Roman" w:hAnsi="Calibri" w:cs="Times New Roman"/>
          <w:szCs w:val="18"/>
          <w:lang w:val="en-GB" w:bidi="he-IL"/>
        </w:rPr>
        <w:t>Abram</w:t>
      </w:r>
      <w:r w:rsidR="004F472B">
        <w:rPr>
          <w:rFonts w:ascii="Calibri" w:eastAsia="Times New Roman" w:hAnsi="Calibri" w:cs="Times New Roman"/>
          <w:szCs w:val="18"/>
          <w:lang w:val="en-GB" w:bidi="he-IL"/>
        </w:rPr>
        <w:t xml:space="preserve"> in a vision: </w:t>
      </w:r>
    </w:p>
    <w:p w14:paraId="733868AA" w14:textId="77777777" w:rsidR="004F472B" w:rsidRDefault="004F472B" w:rsidP="00A10CC9">
      <w:pPr>
        <w:rPr>
          <w:rFonts w:ascii="Calibri" w:eastAsia="Times New Roman" w:hAnsi="Calibri" w:cs="Times New Roman"/>
          <w:szCs w:val="18"/>
          <w:lang w:val="en-GB" w:bidi="he-IL"/>
        </w:rPr>
      </w:pPr>
    </w:p>
    <w:p w14:paraId="56142AF5" w14:textId="77777777" w:rsidR="004F472B" w:rsidRDefault="00A10CC9" w:rsidP="00A10CC9">
      <w:pPr>
        <w:rPr>
          <w:rFonts w:ascii="Calibri" w:eastAsia="Times New Roman" w:hAnsi="Calibri" w:cs="Times New Roman"/>
          <w:szCs w:val="18"/>
          <w:lang w:val="en-GB" w:bidi="he-IL"/>
        </w:rPr>
      </w:pPr>
      <w:r w:rsidRPr="00A10CC9">
        <w:rPr>
          <w:rFonts w:ascii="Calibri" w:eastAsia="Times New Roman" w:hAnsi="Calibri" w:cs="Times New Roman"/>
          <w:szCs w:val="18"/>
          <w:lang w:val="en-GB" w:bidi="he-IL"/>
        </w:rPr>
        <w:t xml:space="preserve">Don’t be afraid, </w:t>
      </w:r>
      <w:r w:rsidR="00BF4EE8">
        <w:rPr>
          <w:rFonts w:ascii="Calibri" w:eastAsia="Times New Roman" w:hAnsi="Calibri" w:cs="Times New Roman"/>
          <w:szCs w:val="18"/>
          <w:lang w:val="en-GB" w:bidi="he-IL"/>
        </w:rPr>
        <w:t>Abram</w:t>
      </w:r>
      <w:r w:rsidRPr="00A10CC9">
        <w:rPr>
          <w:rFonts w:ascii="Calibri" w:eastAsia="Times New Roman" w:hAnsi="Calibri" w:cs="Times New Roman"/>
          <w:szCs w:val="18"/>
          <w:lang w:val="en-GB" w:bidi="he-IL"/>
        </w:rPr>
        <w:t xml:space="preserve">. </w:t>
      </w:r>
    </w:p>
    <w:p w14:paraId="5EC0D3BE" w14:textId="69D425A3" w:rsidR="004F472B" w:rsidRDefault="004F472B" w:rsidP="00A10CC9">
      <w:pPr>
        <w:rPr>
          <w:rFonts w:ascii="Calibri" w:eastAsia="Times New Roman" w:hAnsi="Calibri" w:cs="Times New Roman"/>
          <w:szCs w:val="18"/>
          <w:lang w:val="en-GB" w:bidi="he-IL"/>
        </w:rPr>
      </w:pPr>
      <w:r>
        <w:rPr>
          <w:rFonts w:ascii="Calibri" w:eastAsia="Times New Roman" w:hAnsi="Calibri" w:cs="Times New Roman"/>
          <w:szCs w:val="18"/>
          <w:lang w:val="en-GB" w:bidi="he-IL"/>
        </w:rPr>
        <w:tab/>
      </w:r>
      <w:r w:rsidR="006E60FC">
        <w:rPr>
          <w:rFonts w:ascii="Calibri" w:eastAsia="Times New Roman" w:hAnsi="Calibri" w:cs="Times New Roman"/>
          <w:szCs w:val="18"/>
          <w:lang w:val="en-GB" w:bidi="he-IL"/>
        </w:rPr>
        <w:t>I will be your shield</w:t>
      </w:r>
      <w:r w:rsidR="00A10CC9" w:rsidRPr="00A10CC9">
        <w:rPr>
          <w:rFonts w:ascii="Calibri" w:eastAsia="Times New Roman" w:hAnsi="Calibri" w:cs="Times New Roman"/>
          <w:szCs w:val="18"/>
          <w:lang w:val="en-GB" w:bidi="he-IL"/>
        </w:rPr>
        <w:t xml:space="preserve">, </w:t>
      </w:r>
    </w:p>
    <w:p w14:paraId="2687F897" w14:textId="77777777" w:rsidR="004F472B" w:rsidRDefault="004F472B" w:rsidP="00A10CC9">
      <w:pPr>
        <w:rPr>
          <w:rFonts w:ascii="Calibri" w:eastAsia="Times New Roman" w:hAnsi="Calibri" w:cs="Times New Roman"/>
          <w:szCs w:val="18"/>
          <w:lang w:val="en-GB" w:bidi="he-IL"/>
        </w:rPr>
      </w:pPr>
      <w:r>
        <w:rPr>
          <w:rFonts w:ascii="Calibri" w:eastAsia="Times New Roman" w:hAnsi="Calibri" w:cs="Times New Roman"/>
          <w:szCs w:val="18"/>
          <w:lang w:val="en-GB" w:bidi="he-IL"/>
        </w:rPr>
        <w:tab/>
      </w:r>
      <w:proofErr w:type="gramStart"/>
      <w:r w:rsidR="00A10CC9" w:rsidRPr="00A10CC9">
        <w:rPr>
          <w:rFonts w:ascii="Calibri" w:eastAsia="Times New Roman" w:hAnsi="Calibri" w:cs="Times New Roman"/>
          <w:szCs w:val="18"/>
          <w:lang w:val="en-GB" w:bidi="he-IL"/>
        </w:rPr>
        <w:t>and</w:t>
      </w:r>
      <w:proofErr w:type="gramEnd"/>
      <w:r w:rsidR="00A10CC9" w:rsidRPr="00A10CC9">
        <w:rPr>
          <w:rFonts w:ascii="Calibri" w:eastAsia="Times New Roman" w:hAnsi="Calibri" w:cs="Times New Roman"/>
          <w:szCs w:val="18"/>
          <w:lang w:val="en-GB" w:bidi="he-IL"/>
        </w:rPr>
        <w:t xml:space="preserve"> your wages will be very </w:t>
      </w:r>
      <w:r w:rsidR="00A10CC9">
        <w:rPr>
          <w:rFonts w:ascii="Calibri" w:eastAsia="Times New Roman" w:hAnsi="Calibri" w:cs="Times New Roman"/>
          <w:szCs w:val="18"/>
          <w:lang w:val="en-GB" w:bidi="he-IL"/>
        </w:rPr>
        <w:t>big</w:t>
      </w:r>
      <w:r w:rsidR="00A10CC9" w:rsidRPr="00A10CC9">
        <w:rPr>
          <w:rFonts w:ascii="Calibri" w:eastAsia="Times New Roman" w:hAnsi="Calibri" w:cs="Times New Roman"/>
          <w:szCs w:val="18"/>
          <w:lang w:val="en-GB" w:bidi="he-IL"/>
        </w:rPr>
        <w:t>.</w:t>
      </w:r>
      <w:r w:rsidR="003836AF">
        <w:rPr>
          <w:rStyle w:val="FootnoteReference"/>
          <w:rFonts w:ascii="Calibri" w:eastAsia="Times New Roman" w:hAnsi="Calibri" w:cs="Times New Roman"/>
          <w:szCs w:val="18"/>
          <w:lang w:val="en-GB" w:bidi="he-IL"/>
        </w:rPr>
        <w:footnoteReference w:id="187"/>
      </w:r>
      <w:r w:rsidR="00A10CC9">
        <w:rPr>
          <w:rFonts w:ascii="Calibri" w:eastAsia="Times New Roman" w:hAnsi="Calibri" w:cs="Times New Roman"/>
          <w:szCs w:val="18"/>
          <w:lang w:val="en-GB" w:bidi="he-IL"/>
        </w:rPr>
        <w:t xml:space="preserve"> </w:t>
      </w:r>
    </w:p>
    <w:p w14:paraId="49588728" w14:textId="77777777" w:rsidR="004F472B" w:rsidRDefault="004F472B" w:rsidP="00A10CC9">
      <w:pPr>
        <w:rPr>
          <w:rFonts w:ascii="Calibri" w:eastAsia="Times New Roman" w:hAnsi="Calibri" w:cs="Times New Roman"/>
          <w:szCs w:val="18"/>
          <w:lang w:val="en-GB" w:bidi="he-IL"/>
        </w:rPr>
      </w:pPr>
    </w:p>
    <w:p w14:paraId="3C50E9DA" w14:textId="4F05AC90" w:rsidR="000D3205" w:rsidRDefault="009B2234" w:rsidP="009B2234">
      <w:pPr>
        <w:ind w:firstLine="0"/>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B</w:t>
      </w:r>
      <w:r>
        <w:rPr>
          <w:rFonts w:ascii="Calibri" w:eastAsia="Times New Roman" w:hAnsi="Calibri" w:cs="Times New Roman"/>
          <w:szCs w:val="18"/>
          <w:lang w:val="en-GB" w:bidi="he-IL"/>
        </w:rPr>
        <w:t>But A</w:t>
      </w:r>
      <w:r w:rsidR="00BF4EE8">
        <w:rPr>
          <w:rFonts w:ascii="Calibri" w:eastAsia="Times New Roman" w:hAnsi="Calibri" w:cs="Times New Roman"/>
          <w:szCs w:val="18"/>
          <w:lang w:val="en-GB" w:bidi="he-IL"/>
        </w:rPr>
        <w:t>bram</w:t>
      </w:r>
      <w:r w:rsidR="00A10CC9" w:rsidRPr="00A10CC9">
        <w:rPr>
          <w:rFonts w:ascii="Calibri" w:eastAsia="Times New Roman" w:hAnsi="Calibri" w:cs="Times New Roman"/>
          <w:szCs w:val="18"/>
          <w:lang w:val="en-GB" w:bidi="he-IL"/>
        </w:rPr>
        <w:t xml:space="preserve"> said,</w:t>
      </w:r>
      <w:r w:rsidR="00A10CC9">
        <w:rPr>
          <w:rFonts w:ascii="Calibri" w:eastAsia="Times New Roman" w:hAnsi="Calibri" w:cs="Times New Roman"/>
          <w:szCs w:val="18"/>
          <w:lang w:val="en-GB" w:bidi="he-IL"/>
        </w:rPr>
        <w:t xml:space="preserve"> </w:t>
      </w:r>
      <w:r w:rsidR="003D56BA">
        <w:rPr>
          <w:rFonts w:ascii="Calibri" w:eastAsia="Times New Roman" w:hAnsi="Calibri" w:cs="Times New Roman"/>
          <w:szCs w:val="18"/>
          <w:lang w:val="en-GB" w:bidi="he-IL"/>
        </w:rPr>
        <w:t>“</w:t>
      </w:r>
      <w:r w:rsidR="00A10CC9" w:rsidRPr="00A10CC9">
        <w:rPr>
          <w:rFonts w:ascii="Calibri" w:eastAsia="Times New Roman" w:hAnsi="Calibri" w:cs="Times New Roman"/>
          <w:szCs w:val="18"/>
          <w:lang w:val="en-GB" w:bidi="he-IL"/>
        </w:rPr>
        <w:t>Lord</w:t>
      </w:r>
      <w:r w:rsidR="00762CED">
        <w:rPr>
          <w:rStyle w:val="FootnoteReference"/>
          <w:rFonts w:ascii="Calibri" w:eastAsia="Times New Roman" w:hAnsi="Calibri" w:cs="Times New Roman"/>
          <w:szCs w:val="18"/>
          <w:lang w:val="en-GB" w:bidi="he-IL"/>
        </w:rPr>
        <w:footnoteReference w:id="188"/>
      </w:r>
      <w:r w:rsidR="00A10CC9" w:rsidRPr="00A10CC9">
        <w:rPr>
          <w:rFonts w:ascii="Calibri" w:eastAsia="Times New Roman" w:hAnsi="Calibri" w:cs="Times New Roman"/>
          <w:szCs w:val="18"/>
          <w:lang w:val="en-GB" w:bidi="he-IL"/>
        </w:rPr>
        <w:t xml:space="preserve"> Yahweh, what will yo</w:t>
      </w:r>
      <w:r w:rsidR="00455D75">
        <w:rPr>
          <w:rFonts w:ascii="Calibri" w:eastAsia="Times New Roman" w:hAnsi="Calibri" w:cs="Times New Roman"/>
          <w:szCs w:val="18"/>
          <w:lang w:val="en-GB" w:bidi="he-IL"/>
        </w:rPr>
        <w:t>u give me, when I’m going to depart</w:t>
      </w:r>
      <w:r w:rsidR="00A10CC9" w:rsidRPr="00A10CC9">
        <w:rPr>
          <w:rFonts w:ascii="Calibri" w:eastAsia="Times New Roman" w:hAnsi="Calibri" w:cs="Times New Roman"/>
          <w:szCs w:val="18"/>
          <w:lang w:val="en-GB" w:bidi="he-IL"/>
        </w:rPr>
        <w:t xml:space="preserve"> childless, and the heir</w:t>
      </w:r>
      <w:r w:rsidR="00F943E7">
        <w:rPr>
          <w:rStyle w:val="FootnoteReference"/>
          <w:rFonts w:ascii="Calibri" w:eastAsia="Times New Roman" w:hAnsi="Calibri" w:cs="Times New Roman"/>
          <w:szCs w:val="18"/>
          <w:lang w:val="en-GB" w:bidi="he-IL"/>
        </w:rPr>
        <w:footnoteReference w:id="189"/>
      </w:r>
      <w:r w:rsidR="00A10CC9" w:rsidRPr="00A10CC9">
        <w:rPr>
          <w:rFonts w:ascii="Calibri" w:eastAsia="Times New Roman" w:hAnsi="Calibri" w:cs="Times New Roman"/>
          <w:szCs w:val="18"/>
          <w:lang w:val="en-GB" w:bidi="he-IL"/>
        </w:rPr>
        <w:t xml:space="preserve"> to my hou</w:t>
      </w:r>
      <w:r w:rsidR="002615AB">
        <w:rPr>
          <w:rFonts w:ascii="Calibri" w:eastAsia="Times New Roman" w:hAnsi="Calibri" w:cs="Times New Roman"/>
          <w:szCs w:val="18"/>
          <w:lang w:val="en-GB" w:bidi="he-IL"/>
        </w:rPr>
        <w:t>sehold is Dammešeq</w:t>
      </w:r>
      <w:r w:rsidR="0067741C">
        <w:rPr>
          <w:rFonts w:ascii="Calibri" w:eastAsia="Times New Roman" w:hAnsi="Calibri" w:cs="Times New Roman"/>
          <w:szCs w:val="18"/>
          <w:lang w:val="en-GB" w:bidi="he-IL"/>
        </w:rPr>
        <w:t>, Eli‘</w:t>
      </w:r>
      <w:r w:rsidR="00A10CC9" w:rsidRPr="00A10CC9">
        <w:rPr>
          <w:rFonts w:ascii="Calibri" w:eastAsia="Times New Roman" w:hAnsi="Calibri" w:cs="Times New Roman"/>
          <w:szCs w:val="18"/>
          <w:lang w:val="en-GB" w:bidi="he-IL"/>
        </w:rPr>
        <w:t>ezer</w:t>
      </w:r>
      <w:r w:rsidR="00A10CC9">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A10CC9" w:rsidRPr="00A10CC9">
        <w:rPr>
          <w:rFonts w:ascii="Calibri" w:eastAsia="Times New Roman" w:hAnsi="Calibri" w:cs="Times New Roman"/>
          <w:szCs w:val="18"/>
          <w:lang w:val="en-GB" w:bidi="he-IL"/>
        </w:rPr>
        <w:t xml:space="preserve"> </w:t>
      </w:r>
      <w:r w:rsidR="00A10CC9">
        <w:rPr>
          <w:rFonts w:ascii="Calibri" w:eastAsia="Times New Roman" w:hAnsi="Calibri" w:cs="Times New Roman"/>
          <w:szCs w:val="18"/>
          <w:vertAlign w:val="superscript"/>
          <w:lang w:val="en-GB" w:bidi="he-IL"/>
        </w:rPr>
        <w:t>3</w:t>
      </w:r>
      <w:r w:rsidR="00A10CC9" w:rsidRPr="00A10CC9">
        <w:rPr>
          <w:rFonts w:ascii="Calibri" w:eastAsia="Times New Roman" w:hAnsi="Calibri" w:cs="Times New Roman"/>
          <w:szCs w:val="18"/>
          <w:lang w:val="en-GB" w:bidi="he-IL"/>
        </w:rPr>
        <w:t xml:space="preserve">So </w:t>
      </w:r>
      <w:r w:rsidR="00BF4EE8">
        <w:rPr>
          <w:rFonts w:ascii="Calibri" w:eastAsia="Times New Roman" w:hAnsi="Calibri" w:cs="Times New Roman"/>
          <w:szCs w:val="18"/>
          <w:lang w:val="en-GB" w:bidi="he-IL"/>
        </w:rPr>
        <w:t>Abram</w:t>
      </w:r>
      <w:r w:rsidR="00A10CC9" w:rsidRPr="00A10CC9">
        <w:rPr>
          <w:rFonts w:ascii="Calibri" w:eastAsia="Times New Roman" w:hAnsi="Calibri" w:cs="Times New Roman"/>
          <w:szCs w:val="18"/>
          <w:lang w:val="en-GB" w:bidi="he-IL"/>
        </w:rPr>
        <w:t xml:space="preserve"> said,</w:t>
      </w:r>
      <w:r w:rsidR="00A10CC9">
        <w:rPr>
          <w:rFonts w:ascii="Calibri" w:eastAsia="Times New Roman" w:hAnsi="Calibri" w:cs="Times New Roman"/>
          <w:szCs w:val="18"/>
          <w:lang w:val="en-GB" w:bidi="he-IL"/>
        </w:rPr>
        <w:t xml:space="preserve"> </w:t>
      </w:r>
      <w:r w:rsidR="003D56BA">
        <w:rPr>
          <w:rFonts w:ascii="Calibri" w:eastAsia="Times New Roman" w:hAnsi="Calibri" w:cs="Times New Roman"/>
          <w:szCs w:val="18"/>
          <w:lang w:val="en-GB" w:bidi="he-IL"/>
        </w:rPr>
        <w:t>“</w:t>
      </w:r>
      <w:r w:rsidR="00CC29B6">
        <w:rPr>
          <w:rFonts w:ascii="Calibri" w:eastAsia="Times New Roman" w:hAnsi="Calibri" w:cs="Times New Roman"/>
          <w:szCs w:val="18"/>
          <w:lang w:val="en-GB" w:bidi="he-IL"/>
        </w:rPr>
        <w:t>Th</w:t>
      </w:r>
      <w:r w:rsidR="00A10CC9" w:rsidRPr="00A10CC9">
        <w:rPr>
          <w:rFonts w:ascii="Calibri" w:eastAsia="Times New Roman" w:hAnsi="Calibri" w:cs="Times New Roman"/>
          <w:szCs w:val="18"/>
          <w:lang w:val="en-GB" w:bidi="he-IL"/>
        </w:rPr>
        <w:t>ere, y</w:t>
      </w:r>
      <w:r w:rsidR="00D87472">
        <w:rPr>
          <w:rFonts w:ascii="Calibri" w:eastAsia="Times New Roman" w:hAnsi="Calibri" w:cs="Times New Roman"/>
          <w:szCs w:val="18"/>
          <w:lang w:val="en-GB" w:bidi="he-IL"/>
        </w:rPr>
        <w:t>ou haven’t given me offspring. And th</w:t>
      </w:r>
      <w:r w:rsidR="001412BD">
        <w:rPr>
          <w:rFonts w:ascii="Calibri" w:eastAsia="Times New Roman" w:hAnsi="Calibri" w:cs="Times New Roman"/>
          <w:szCs w:val="18"/>
          <w:lang w:val="en-GB" w:bidi="he-IL"/>
        </w:rPr>
        <w:t>ere, someone from</w:t>
      </w:r>
      <w:r w:rsidR="00A10CC9" w:rsidRPr="00A10CC9">
        <w:rPr>
          <w:rFonts w:ascii="Calibri" w:eastAsia="Times New Roman" w:hAnsi="Calibri" w:cs="Times New Roman"/>
          <w:szCs w:val="18"/>
          <w:lang w:val="en-GB" w:bidi="he-IL"/>
        </w:rPr>
        <w:t xml:space="preserve"> my househol</w:t>
      </w:r>
      <w:r w:rsidR="00991A7E">
        <w:rPr>
          <w:rFonts w:ascii="Calibri" w:eastAsia="Times New Roman" w:hAnsi="Calibri" w:cs="Times New Roman"/>
          <w:szCs w:val="18"/>
          <w:lang w:val="en-GB" w:bidi="he-IL"/>
        </w:rPr>
        <w:t>d will come into possession from</w:t>
      </w:r>
      <w:r w:rsidR="00A10CC9" w:rsidRPr="00A10CC9">
        <w:rPr>
          <w:rFonts w:ascii="Calibri" w:eastAsia="Times New Roman" w:hAnsi="Calibri" w:cs="Times New Roman"/>
          <w:szCs w:val="18"/>
          <w:lang w:val="en-GB" w:bidi="he-IL"/>
        </w:rPr>
        <w:t xml:space="preserve"> me.</w:t>
      </w:r>
      <w:r w:rsidR="003D56BA">
        <w:rPr>
          <w:rFonts w:ascii="Calibri" w:eastAsia="Times New Roman" w:hAnsi="Calibri" w:cs="Times New Roman"/>
          <w:szCs w:val="18"/>
          <w:lang w:val="en-GB" w:bidi="he-IL"/>
        </w:rPr>
        <w:t>”</w:t>
      </w:r>
      <w:r w:rsidR="00991A7E">
        <w:rPr>
          <w:rStyle w:val="FootnoteReference"/>
          <w:rFonts w:ascii="Calibri" w:eastAsia="Times New Roman" w:hAnsi="Calibri" w:cs="Times New Roman"/>
          <w:szCs w:val="18"/>
          <w:lang w:val="en-GB" w:bidi="he-IL"/>
        </w:rPr>
        <w:footnoteReference w:id="190"/>
      </w:r>
      <w:r w:rsidR="00A10CC9">
        <w:rPr>
          <w:rFonts w:ascii="Calibri" w:eastAsia="Times New Roman" w:hAnsi="Calibri" w:cs="Times New Roman"/>
          <w:szCs w:val="18"/>
          <w:lang w:val="en-GB" w:bidi="he-IL"/>
        </w:rPr>
        <w:t xml:space="preserve"> </w:t>
      </w:r>
      <w:r w:rsidR="00A10CC9">
        <w:rPr>
          <w:rFonts w:ascii="Calibri" w:eastAsia="Times New Roman" w:hAnsi="Calibri" w:cs="Times New Roman"/>
          <w:szCs w:val="18"/>
          <w:vertAlign w:val="superscript"/>
          <w:lang w:val="en-GB" w:bidi="he-IL"/>
        </w:rPr>
        <w:t>4</w:t>
      </w:r>
      <w:r w:rsidR="00A10CC9" w:rsidRPr="00A10CC9">
        <w:rPr>
          <w:rFonts w:ascii="Calibri" w:eastAsia="Times New Roman" w:hAnsi="Calibri" w:cs="Times New Roman"/>
          <w:szCs w:val="18"/>
          <w:lang w:val="en-GB" w:bidi="he-IL"/>
        </w:rPr>
        <w:t xml:space="preserve">But </w:t>
      </w:r>
      <w:r w:rsidR="002615AB">
        <w:rPr>
          <w:rFonts w:ascii="Calibri" w:eastAsia="Times New Roman" w:hAnsi="Calibri" w:cs="Times New Roman"/>
          <w:szCs w:val="18"/>
          <w:lang w:val="en-GB" w:bidi="he-IL"/>
        </w:rPr>
        <w:t>t</w:t>
      </w:r>
      <w:r w:rsidR="00A10CC9" w:rsidRPr="00A10CC9">
        <w:rPr>
          <w:rFonts w:ascii="Calibri" w:eastAsia="Times New Roman" w:hAnsi="Calibri" w:cs="Times New Roman"/>
          <w:szCs w:val="18"/>
          <w:lang w:val="en-GB" w:bidi="he-IL"/>
        </w:rPr>
        <w:t>here, Y</w:t>
      </w:r>
      <w:r w:rsidR="00A10CC9">
        <w:rPr>
          <w:rFonts w:ascii="Calibri" w:eastAsia="Times New Roman" w:hAnsi="Calibri" w:cs="Times New Roman"/>
          <w:szCs w:val="18"/>
          <w:lang w:val="en-GB" w:bidi="he-IL"/>
        </w:rPr>
        <w:t xml:space="preserve">ahweh’s word came to him: </w:t>
      </w:r>
      <w:r w:rsidR="003D56BA">
        <w:rPr>
          <w:rFonts w:ascii="Calibri" w:eastAsia="Times New Roman" w:hAnsi="Calibri" w:cs="Times New Roman"/>
          <w:szCs w:val="18"/>
          <w:lang w:val="en-GB" w:bidi="he-IL"/>
        </w:rPr>
        <w:t>“</w:t>
      </w:r>
      <w:r w:rsidR="00991A7E">
        <w:rPr>
          <w:rFonts w:ascii="Calibri" w:eastAsia="Times New Roman" w:hAnsi="Calibri" w:cs="Times New Roman"/>
          <w:szCs w:val="18"/>
          <w:lang w:val="en-GB" w:bidi="he-IL"/>
        </w:rPr>
        <w:t>This man won’t c</w:t>
      </w:r>
      <w:r w:rsidR="00A10CC9" w:rsidRPr="00A10CC9">
        <w:rPr>
          <w:rFonts w:ascii="Calibri" w:eastAsia="Times New Roman" w:hAnsi="Calibri" w:cs="Times New Roman"/>
          <w:szCs w:val="18"/>
          <w:lang w:val="en-GB" w:bidi="he-IL"/>
        </w:rPr>
        <w:t xml:space="preserve">ome into possession from you. No, only someone who comes from </w:t>
      </w:r>
      <w:r w:rsidR="001412BD">
        <w:rPr>
          <w:rFonts w:ascii="Calibri" w:eastAsia="Times New Roman" w:hAnsi="Calibri" w:cs="Times New Roman"/>
          <w:szCs w:val="18"/>
          <w:lang w:val="en-GB" w:bidi="he-IL"/>
        </w:rPr>
        <w:t>your insides</w:t>
      </w:r>
      <w:r w:rsidR="00A10CC9" w:rsidRPr="00A10CC9">
        <w:rPr>
          <w:rFonts w:ascii="Calibri" w:eastAsia="Times New Roman" w:hAnsi="Calibri" w:cs="Times New Roman"/>
          <w:szCs w:val="18"/>
          <w:lang w:val="en-GB" w:bidi="he-IL"/>
        </w:rPr>
        <w:t xml:space="preserve"> – he’ll come into possession from you.</w:t>
      </w:r>
      <w:r w:rsidR="003D56BA">
        <w:rPr>
          <w:rFonts w:ascii="Calibri" w:eastAsia="Times New Roman" w:hAnsi="Calibri" w:cs="Times New Roman"/>
          <w:szCs w:val="18"/>
          <w:lang w:val="en-GB" w:bidi="he-IL"/>
        </w:rPr>
        <w:t>”</w:t>
      </w:r>
      <w:r w:rsidR="00A10CC9">
        <w:rPr>
          <w:rFonts w:ascii="Calibri" w:eastAsia="Times New Roman" w:hAnsi="Calibri" w:cs="Times New Roman"/>
          <w:szCs w:val="18"/>
          <w:lang w:val="en-GB" w:bidi="he-IL"/>
        </w:rPr>
        <w:t xml:space="preserve"> </w:t>
      </w:r>
      <w:r w:rsidR="00A10CC9">
        <w:rPr>
          <w:rFonts w:ascii="Calibri" w:eastAsia="Times New Roman" w:hAnsi="Calibri" w:cs="Times New Roman"/>
          <w:szCs w:val="18"/>
          <w:vertAlign w:val="superscript"/>
          <w:lang w:val="en-GB" w:bidi="he-IL"/>
        </w:rPr>
        <w:t>5</w:t>
      </w:r>
      <w:r w:rsidR="00A10CC9" w:rsidRPr="00A10CC9">
        <w:rPr>
          <w:rFonts w:ascii="Calibri" w:eastAsia="Times New Roman" w:hAnsi="Calibri" w:cs="Times New Roman"/>
          <w:szCs w:val="18"/>
          <w:lang w:val="en-GB" w:bidi="he-IL"/>
        </w:rPr>
        <w:t>He took him outside and said,</w:t>
      </w:r>
      <w:r w:rsidR="00A10CC9">
        <w:rPr>
          <w:rFonts w:ascii="Calibri" w:eastAsia="Times New Roman" w:hAnsi="Calibri" w:cs="Times New Roman"/>
          <w:szCs w:val="18"/>
          <w:lang w:val="en-GB" w:bidi="he-IL"/>
        </w:rPr>
        <w:t xml:space="preserve"> </w:t>
      </w:r>
      <w:r w:rsidR="003D56BA">
        <w:rPr>
          <w:rFonts w:ascii="Calibri" w:eastAsia="Times New Roman" w:hAnsi="Calibri" w:cs="Times New Roman"/>
          <w:szCs w:val="18"/>
          <w:lang w:val="en-GB" w:bidi="he-IL"/>
        </w:rPr>
        <w:t>“</w:t>
      </w:r>
      <w:r w:rsidR="00DB4C7C">
        <w:rPr>
          <w:rFonts w:ascii="Calibri" w:eastAsia="Times New Roman" w:hAnsi="Calibri" w:cs="Times New Roman"/>
          <w:szCs w:val="18"/>
          <w:lang w:val="en-GB" w:bidi="he-IL"/>
        </w:rPr>
        <w:t>Look at the heavens, please</w:t>
      </w:r>
      <w:r w:rsidR="00A10CC9" w:rsidRPr="00A10CC9">
        <w:rPr>
          <w:rFonts w:ascii="Calibri" w:eastAsia="Times New Roman" w:hAnsi="Calibri" w:cs="Times New Roman"/>
          <w:szCs w:val="18"/>
          <w:lang w:val="en-GB" w:bidi="he-IL"/>
        </w:rPr>
        <w:t>, and count t</w:t>
      </w:r>
      <w:r w:rsidR="00A10CC9">
        <w:rPr>
          <w:rFonts w:ascii="Calibri" w:eastAsia="Times New Roman" w:hAnsi="Calibri" w:cs="Times New Roman"/>
          <w:szCs w:val="18"/>
          <w:lang w:val="en-GB" w:bidi="he-IL"/>
        </w:rPr>
        <w:t>he stars, if you can count them</w:t>
      </w:r>
      <w:r w:rsidR="00A10CC9" w:rsidRPr="00A10CC9">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A10CC9" w:rsidRPr="00A10CC9">
        <w:rPr>
          <w:rFonts w:ascii="Calibri" w:eastAsia="Times New Roman" w:hAnsi="Calibri" w:cs="Times New Roman"/>
          <w:szCs w:val="18"/>
          <w:lang w:val="en-GB" w:bidi="he-IL"/>
        </w:rPr>
        <w:t xml:space="preserve"> He said to him,</w:t>
      </w:r>
      <w:r w:rsidR="00A10CC9">
        <w:rPr>
          <w:rFonts w:ascii="Calibri" w:eastAsia="Times New Roman" w:hAnsi="Calibri" w:cs="Times New Roman"/>
          <w:szCs w:val="18"/>
          <w:lang w:val="en-GB" w:bidi="he-IL"/>
        </w:rPr>
        <w:t xml:space="preserve"> </w:t>
      </w:r>
      <w:r w:rsidR="003D56BA">
        <w:rPr>
          <w:rFonts w:ascii="Calibri" w:eastAsia="Times New Roman" w:hAnsi="Calibri" w:cs="Times New Roman"/>
          <w:szCs w:val="18"/>
          <w:lang w:val="en-GB" w:bidi="he-IL"/>
        </w:rPr>
        <w:t>“</w:t>
      </w:r>
      <w:r w:rsidR="00A10CC9" w:rsidRPr="00A10CC9">
        <w:rPr>
          <w:rFonts w:ascii="Calibri" w:eastAsia="Times New Roman" w:hAnsi="Calibri" w:cs="Times New Roman"/>
          <w:szCs w:val="18"/>
          <w:lang w:val="en-GB" w:bidi="he-IL"/>
        </w:rPr>
        <w:t>That’s what your offspring will be like.</w:t>
      </w:r>
      <w:r w:rsidR="003D56BA">
        <w:rPr>
          <w:rFonts w:ascii="Calibri" w:eastAsia="Times New Roman" w:hAnsi="Calibri" w:cs="Times New Roman"/>
          <w:szCs w:val="18"/>
          <w:lang w:val="en-GB" w:bidi="he-IL"/>
        </w:rPr>
        <w:t>”</w:t>
      </w:r>
      <w:r w:rsidR="00A10CC9" w:rsidRPr="00A10CC9">
        <w:rPr>
          <w:rFonts w:ascii="Calibri" w:eastAsia="Times New Roman" w:hAnsi="Calibri" w:cs="Times New Roman"/>
          <w:szCs w:val="18"/>
          <w:lang w:val="en-GB" w:bidi="he-IL"/>
        </w:rPr>
        <w:t xml:space="preserve"> </w:t>
      </w:r>
      <w:r w:rsidR="00A10CC9">
        <w:rPr>
          <w:rFonts w:ascii="Calibri" w:eastAsia="Times New Roman" w:hAnsi="Calibri" w:cs="Times New Roman"/>
          <w:szCs w:val="18"/>
          <w:vertAlign w:val="superscript"/>
          <w:lang w:val="en-GB" w:bidi="he-IL"/>
        </w:rPr>
        <w:t>6</w:t>
      </w:r>
      <w:r w:rsidR="00FB72AE">
        <w:rPr>
          <w:rFonts w:ascii="Calibri" w:eastAsia="Times New Roman" w:hAnsi="Calibri" w:cs="Times New Roman"/>
          <w:szCs w:val="18"/>
          <w:lang w:val="en-GB" w:bidi="he-IL"/>
        </w:rPr>
        <w:t>And i</w:t>
      </w:r>
      <w:r w:rsidR="00CE6BA2">
        <w:rPr>
          <w:rFonts w:ascii="Calibri" w:eastAsia="Times New Roman" w:hAnsi="Calibri" w:cs="Times New Roman"/>
          <w:szCs w:val="18"/>
          <w:lang w:val="en-GB" w:bidi="he-IL"/>
        </w:rPr>
        <w:t>n that</w:t>
      </w:r>
      <w:r w:rsidR="00A10CC9" w:rsidRPr="00A10CC9">
        <w:rPr>
          <w:rFonts w:ascii="Calibri" w:eastAsia="Times New Roman" w:hAnsi="Calibri" w:cs="Times New Roman"/>
          <w:szCs w:val="18"/>
          <w:lang w:val="en-GB" w:bidi="he-IL"/>
        </w:rPr>
        <w:t xml:space="preserve"> he trusted in Yahweh,</w:t>
      </w:r>
      <w:r w:rsidR="00E320FD">
        <w:rPr>
          <w:rStyle w:val="FootnoteReference"/>
          <w:rFonts w:ascii="Calibri" w:eastAsia="Times New Roman" w:hAnsi="Calibri" w:cs="Times New Roman"/>
          <w:szCs w:val="18"/>
          <w:lang w:val="en-GB" w:bidi="he-IL"/>
        </w:rPr>
        <w:footnoteReference w:id="191"/>
      </w:r>
      <w:r w:rsidR="00A10CC9" w:rsidRPr="00A10CC9">
        <w:rPr>
          <w:rFonts w:ascii="Calibri" w:eastAsia="Times New Roman" w:hAnsi="Calibri" w:cs="Times New Roman"/>
          <w:szCs w:val="18"/>
          <w:lang w:val="en-GB" w:bidi="he-IL"/>
        </w:rPr>
        <w:t xml:space="preserve"> he deemed it</w:t>
      </w:r>
      <w:r w:rsidR="000D3205">
        <w:rPr>
          <w:rStyle w:val="FootnoteReference"/>
          <w:rFonts w:ascii="Calibri" w:eastAsia="Times New Roman" w:hAnsi="Calibri" w:cs="Times New Roman"/>
          <w:szCs w:val="18"/>
          <w:lang w:val="en-GB" w:bidi="he-IL"/>
        </w:rPr>
        <w:footnoteReference w:id="192"/>
      </w:r>
      <w:r w:rsidR="00A10CC9" w:rsidRPr="00A10CC9">
        <w:rPr>
          <w:rFonts w:ascii="Calibri" w:eastAsia="Times New Roman" w:hAnsi="Calibri" w:cs="Times New Roman"/>
          <w:szCs w:val="18"/>
          <w:lang w:val="en-GB" w:bidi="he-IL"/>
        </w:rPr>
        <w:t xml:space="preserve"> as faithfulness on his part</w:t>
      </w:r>
      <w:r w:rsidR="00A10CC9">
        <w:rPr>
          <w:rFonts w:ascii="Calibri" w:eastAsia="Times New Roman" w:hAnsi="Calibri" w:cs="Times New Roman"/>
          <w:szCs w:val="18"/>
          <w:lang w:val="en-GB" w:bidi="he-IL"/>
        </w:rPr>
        <w:t xml:space="preserve">. </w:t>
      </w:r>
    </w:p>
    <w:p w14:paraId="0777A594" w14:textId="77777777" w:rsidR="006E60FC" w:rsidRDefault="00A10CC9" w:rsidP="006E60FC">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lastRenderedPageBreak/>
        <w:t>7</w:t>
      </w:r>
      <w:r w:rsidRPr="00A10CC9">
        <w:rPr>
          <w:rFonts w:ascii="Calibri" w:eastAsia="Times New Roman" w:hAnsi="Calibri" w:cs="Times New Roman"/>
          <w:szCs w:val="18"/>
          <w:lang w:val="en-GB" w:bidi="he-IL"/>
        </w:rPr>
        <w:t>He said to him,</w:t>
      </w:r>
      <w:r>
        <w:rPr>
          <w:rFonts w:ascii="Calibri" w:eastAsia="Times New Roman" w:hAnsi="Calibri" w:cs="Times New Roman"/>
          <w:szCs w:val="18"/>
          <w:lang w:val="en-GB" w:bidi="he-IL"/>
        </w:rPr>
        <w:t xml:space="preserve"> </w:t>
      </w:r>
      <w:r w:rsidR="003D56BA">
        <w:rPr>
          <w:rFonts w:ascii="Calibri" w:eastAsia="Times New Roman" w:hAnsi="Calibri" w:cs="Times New Roman"/>
          <w:szCs w:val="18"/>
          <w:lang w:val="en-GB" w:bidi="he-IL"/>
        </w:rPr>
        <w:t>“</w:t>
      </w:r>
      <w:r w:rsidR="005B0DE2">
        <w:rPr>
          <w:rFonts w:ascii="Calibri" w:eastAsia="Times New Roman" w:hAnsi="Calibri" w:cs="Times New Roman"/>
          <w:szCs w:val="18"/>
          <w:lang w:val="en-GB" w:bidi="he-IL"/>
        </w:rPr>
        <w:t>I am Yahweh who</w:t>
      </w:r>
      <w:r w:rsidR="00431792">
        <w:rPr>
          <w:rStyle w:val="FootnoteReference"/>
          <w:rFonts w:ascii="Calibri" w:eastAsia="Times New Roman" w:hAnsi="Calibri" w:cs="Times New Roman"/>
          <w:szCs w:val="18"/>
          <w:lang w:val="en-GB" w:bidi="he-IL"/>
        </w:rPr>
        <w:footnoteReference w:id="193"/>
      </w:r>
      <w:r w:rsidR="005B0DE2">
        <w:rPr>
          <w:rFonts w:ascii="Calibri" w:eastAsia="Times New Roman" w:hAnsi="Calibri" w:cs="Times New Roman"/>
          <w:szCs w:val="18"/>
          <w:lang w:val="en-GB" w:bidi="he-IL"/>
        </w:rPr>
        <w:t xml:space="preserve"> go</w:t>
      </w:r>
      <w:r w:rsidRPr="00A10CC9">
        <w:rPr>
          <w:rFonts w:ascii="Calibri" w:eastAsia="Times New Roman" w:hAnsi="Calibri" w:cs="Times New Roman"/>
          <w:szCs w:val="18"/>
          <w:lang w:val="en-GB" w:bidi="he-IL"/>
        </w:rPr>
        <w:t>t you out from Ur of the</w:t>
      </w:r>
      <w:r w:rsidR="0067741C">
        <w:rPr>
          <w:rFonts w:ascii="Calibri" w:eastAsia="Times New Roman" w:hAnsi="Calibri" w:cs="Times New Roman"/>
          <w:szCs w:val="18"/>
          <w:lang w:bidi="he-IL"/>
        </w:rPr>
        <w:t xml:space="preserve"> Ka</w:t>
      </w:r>
      <w:r w:rsidR="0067741C">
        <w:rPr>
          <w:rFonts w:ascii="Calibri" w:eastAsia="Times New Roman" w:hAnsi="Calibri" w:cs="Calibri"/>
          <w:szCs w:val="18"/>
          <w:lang w:bidi="he-IL"/>
        </w:rPr>
        <w:t>ś</w:t>
      </w:r>
      <w:r w:rsidRPr="00A60477">
        <w:rPr>
          <w:rFonts w:ascii="Calibri" w:eastAsia="Times New Roman" w:hAnsi="Calibri" w:cs="Times New Roman"/>
          <w:szCs w:val="18"/>
          <w:lang w:bidi="he-IL"/>
        </w:rPr>
        <w:t>dites</w:t>
      </w:r>
      <w:r w:rsidRPr="00A10CC9">
        <w:rPr>
          <w:rFonts w:ascii="Calibri" w:eastAsia="Times New Roman" w:hAnsi="Calibri" w:cs="Times New Roman"/>
          <w:szCs w:val="18"/>
          <w:lang w:val="en-GB" w:bidi="he-IL"/>
        </w:rPr>
        <w:t xml:space="preserve"> to give you this country as a possession.</w:t>
      </w:r>
      <w:r w:rsidR="003D56BA">
        <w:rPr>
          <w:rFonts w:ascii="Calibri" w:eastAsia="Times New Roman" w:hAnsi="Calibri" w:cs="Times New Roman"/>
          <w:szCs w:val="18"/>
          <w:lang w:val="en-GB" w:bidi="he-IL"/>
        </w:rPr>
        <w:t>”</w:t>
      </w:r>
      <w:r w:rsidRPr="00A10CC9">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8</w:t>
      </w:r>
      <w:r w:rsidRPr="00A10CC9">
        <w:rPr>
          <w:rFonts w:ascii="Calibri" w:eastAsia="Times New Roman" w:hAnsi="Calibri" w:cs="Times New Roman"/>
          <w:szCs w:val="18"/>
          <w:lang w:val="en-GB" w:bidi="he-IL"/>
        </w:rPr>
        <w:t>But he said,</w:t>
      </w:r>
      <w:r>
        <w:rPr>
          <w:rFonts w:ascii="Calibri" w:eastAsia="Times New Roman" w:hAnsi="Calibri" w:cs="Times New Roman"/>
          <w:szCs w:val="18"/>
          <w:lang w:val="en-GB" w:bidi="he-IL"/>
        </w:rPr>
        <w:t xml:space="preserve"> </w:t>
      </w:r>
      <w:r w:rsidR="003D56BA">
        <w:rPr>
          <w:rFonts w:ascii="Calibri" w:eastAsia="Times New Roman" w:hAnsi="Calibri" w:cs="Times New Roman"/>
          <w:szCs w:val="18"/>
          <w:lang w:val="en-GB" w:bidi="he-IL"/>
        </w:rPr>
        <w:t>“</w:t>
      </w:r>
      <w:r w:rsidRPr="00A10CC9">
        <w:rPr>
          <w:rFonts w:ascii="Calibri" w:eastAsia="Times New Roman" w:hAnsi="Calibri" w:cs="Times New Roman"/>
          <w:szCs w:val="18"/>
          <w:lang w:val="en-GB" w:bidi="he-IL"/>
        </w:rPr>
        <w:t xml:space="preserve">Lord Yahweh, </w:t>
      </w:r>
      <w:r w:rsidR="00463FDB">
        <w:rPr>
          <w:rFonts w:ascii="Calibri" w:eastAsia="Times New Roman" w:hAnsi="Calibri" w:cs="Times New Roman"/>
          <w:szCs w:val="18"/>
          <w:lang w:val="en-GB" w:bidi="he-IL"/>
        </w:rPr>
        <w:t>how ma</w:t>
      </w:r>
      <w:r w:rsidR="00DB4C7C">
        <w:rPr>
          <w:rFonts w:ascii="Calibri" w:eastAsia="Times New Roman" w:hAnsi="Calibri" w:cs="Times New Roman"/>
          <w:szCs w:val="18"/>
          <w:lang w:val="en-GB" w:bidi="he-IL"/>
        </w:rPr>
        <w:t xml:space="preserve">y I know that I </w:t>
      </w:r>
      <w:r w:rsidR="003C4463">
        <w:rPr>
          <w:rFonts w:ascii="Calibri" w:eastAsia="Times New Roman" w:hAnsi="Calibri" w:cs="Times New Roman"/>
          <w:szCs w:val="18"/>
          <w:lang w:val="en-GB" w:bidi="he-IL"/>
        </w:rPr>
        <w:t>will</w:t>
      </w:r>
      <w:r w:rsidR="00DB4C7C">
        <w:rPr>
          <w:rFonts w:ascii="Calibri" w:eastAsia="Times New Roman" w:hAnsi="Calibri" w:cs="Times New Roman"/>
          <w:szCs w:val="18"/>
          <w:lang w:val="en-GB" w:bidi="he-IL"/>
        </w:rPr>
        <w:t xml:space="preserve"> come into</w:t>
      </w:r>
      <w:r w:rsidRPr="00A10CC9">
        <w:rPr>
          <w:rFonts w:ascii="Calibri" w:eastAsia="Times New Roman" w:hAnsi="Calibri" w:cs="Times New Roman"/>
          <w:szCs w:val="18"/>
          <w:lang w:val="en-GB" w:bidi="he-IL"/>
        </w:rPr>
        <w:t xml:space="preserve"> possession of it</w:t>
      </w:r>
      <w:r>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AF3A31">
        <w:rPr>
          <w:rFonts w:ascii="Calibri" w:eastAsia="Times New Roman" w:hAnsi="Calibri" w:cs="Times New Roman"/>
          <w:szCs w:val="18"/>
          <w:lang w:val="en-GB" w:bidi="he-IL"/>
        </w:rPr>
        <w:t xml:space="preserve"> </w:t>
      </w:r>
      <w:r w:rsidR="00AF3A31">
        <w:rPr>
          <w:rFonts w:ascii="Calibri" w:eastAsia="Times New Roman" w:hAnsi="Calibri" w:cs="Times New Roman"/>
          <w:szCs w:val="18"/>
          <w:vertAlign w:val="superscript"/>
          <w:lang w:val="en-GB" w:bidi="he-IL"/>
        </w:rPr>
        <w:t>9</w:t>
      </w:r>
      <w:r w:rsidRPr="00A10CC9">
        <w:rPr>
          <w:rFonts w:ascii="Calibri" w:eastAsia="Times New Roman" w:hAnsi="Calibri" w:cs="Times New Roman"/>
          <w:szCs w:val="18"/>
          <w:lang w:val="en-GB" w:bidi="he-IL"/>
        </w:rPr>
        <w:t>He said to him,</w:t>
      </w:r>
      <w:r>
        <w:rPr>
          <w:rFonts w:ascii="Calibri" w:eastAsia="Times New Roman" w:hAnsi="Calibri" w:cs="Times New Roman"/>
          <w:szCs w:val="18"/>
          <w:lang w:val="en-GB" w:bidi="he-IL"/>
        </w:rPr>
        <w:t xml:space="preserve"> </w:t>
      </w:r>
      <w:r w:rsidR="003D56BA">
        <w:rPr>
          <w:rFonts w:ascii="Calibri" w:eastAsia="Times New Roman" w:hAnsi="Calibri" w:cs="Times New Roman"/>
          <w:szCs w:val="18"/>
          <w:lang w:val="en-GB" w:bidi="he-IL"/>
        </w:rPr>
        <w:t>“</w:t>
      </w:r>
      <w:r w:rsidR="00C70964">
        <w:rPr>
          <w:rFonts w:ascii="Calibri" w:eastAsia="Times New Roman" w:hAnsi="Calibri" w:cs="Times New Roman"/>
          <w:szCs w:val="18"/>
          <w:lang w:val="en-GB" w:bidi="he-IL"/>
        </w:rPr>
        <w:t>Get me a three-</w:t>
      </w:r>
      <w:r w:rsidRPr="00A10CC9">
        <w:rPr>
          <w:rFonts w:ascii="Calibri" w:eastAsia="Times New Roman" w:hAnsi="Calibri" w:cs="Times New Roman"/>
          <w:szCs w:val="18"/>
          <w:lang w:val="en-GB" w:bidi="he-IL"/>
        </w:rPr>
        <w:t>yea</w:t>
      </w:r>
      <w:r w:rsidR="00C70964">
        <w:rPr>
          <w:rFonts w:ascii="Calibri" w:eastAsia="Times New Roman" w:hAnsi="Calibri" w:cs="Times New Roman"/>
          <w:szCs w:val="18"/>
          <w:lang w:val="en-GB" w:bidi="he-IL"/>
        </w:rPr>
        <w:t xml:space="preserve">r-old </w:t>
      </w:r>
      <w:r w:rsidR="00C70964">
        <w:rPr>
          <w:rFonts w:ascii="Calibri" w:eastAsia="Times New Roman" w:hAnsi="Calibri" w:cs="Times New Roman"/>
          <w:szCs w:val="18"/>
          <w:lang w:bidi="he-IL"/>
        </w:rPr>
        <w:t>heifer</w:t>
      </w:r>
      <w:r w:rsidRPr="00A10CC9">
        <w:rPr>
          <w:rFonts w:ascii="Calibri" w:eastAsia="Times New Roman" w:hAnsi="Calibri" w:cs="Times New Roman"/>
          <w:szCs w:val="18"/>
          <w:lang w:val="en-GB" w:bidi="he-IL"/>
        </w:rPr>
        <w:t>,</w:t>
      </w:r>
      <w:r w:rsidR="00AC608B">
        <w:rPr>
          <w:rStyle w:val="FootnoteReference"/>
          <w:rFonts w:ascii="Calibri" w:eastAsia="Times New Roman" w:hAnsi="Calibri" w:cs="Times New Roman"/>
          <w:szCs w:val="18"/>
          <w:lang w:val="en-GB" w:bidi="he-IL"/>
        </w:rPr>
        <w:footnoteReference w:id="194"/>
      </w:r>
      <w:r w:rsidRPr="00A10CC9">
        <w:rPr>
          <w:rFonts w:ascii="Calibri" w:eastAsia="Times New Roman" w:hAnsi="Calibri" w:cs="Times New Roman"/>
          <w:szCs w:val="18"/>
          <w:lang w:val="en-GB" w:bidi="he-IL"/>
        </w:rPr>
        <w:t xml:space="preserve"> a </w:t>
      </w:r>
      <w:r w:rsidR="00C70964" w:rsidRPr="00C70964">
        <w:rPr>
          <w:rFonts w:ascii="Calibri" w:eastAsia="Times New Roman" w:hAnsi="Calibri" w:cs="Times New Roman"/>
          <w:szCs w:val="18"/>
          <w:lang w:val="en-GB" w:bidi="he-IL"/>
        </w:rPr>
        <w:t xml:space="preserve">three-year-old </w:t>
      </w:r>
      <w:r w:rsidR="00C70964">
        <w:rPr>
          <w:rFonts w:ascii="Calibri" w:eastAsia="Times New Roman" w:hAnsi="Calibri" w:cs="Times New Roman"/>
          <w:szCs w:val="18"/>
          <w:lang w:val="en-GB" w:bidi="he-IL"/>
        </w:rPr>
        <w:t>goat</w:t>
      </w:r>
      <w:r w:rsidRPr="00A10CC9">
        <w:rPr>
          <w:rFonts w:ascii="Calibri" w:eastAsia="Times New Roman" w:hAnsi="Calibri" w:cs="Times New Roman"/>
          <w:szCs w:val="18"/>
          <w:lang w:val="en-GB" w:bidi="he-IL"/>
        </w:rPr>
        <w:t xml:space="preserve">, a </w:t>
      </w:r>
      <w:r w:rsidR="00C70964" w:rsidRPr="00C70964">
        <w:rPr>
          <w:rFonts w:ascii="Calibri" w:eastAsia="Times New Roman" w:hAnsi="Calibri" w:cs="Times New Roman"/>
          <w:szCs w:val="18"/>
          <w:lang w:val="en-GB" w:bidi="he-IL"/>
        </w:rPr>
        <w:t xml:space="preserve">three-year-old </w:t>
      </w:r>
      <w:r w:rsidR="00C70964">
        <w:rPr>
          <w:rFonts w:ascii="Calibri" w:eastAsia="Times New Roman" w:hAnsi="Calibri" w:cs="Times New Roman"/>
          <w:szCs w:val="18"/>
          <w:lang w:val="en-GB" w:bidi="he-IL"/>
        </w:rPr>
        <w:t>ram</w:t>
      </w:r>
      <w:r w:rsidRPr="00A10CC9">
        <w:rPr>
          <w:rFonts w:ascii="Calibri" w:eastAsia="Times New Roman" w:hAnsi="Calibri" w:cs="Times New Roman"/>
          <w:szCs w:val="18"/>
          <w:lang w:val="en-GB" w:bidi="he-IL"/>
        </w:rPr>
        <w:t>, a pigeon, and a baby bird.</w:t>
      </w:r>
      <w:r w:rsidR="003D56BA">
        <w:rPr>
          <w:rFonts w:ascii="Calibri" w:eastAsia="Times New Roman" w:hAnsi="Calibri" w:cs="Times New Roman"/>
          <w:szCs w:val="18"/>
          <w:lang w:val="en-GB" w:bidi="he-IL"/>
        </w:rPr>
        <w:t>”</w:t>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10</w:t>
      </w:r>
      <w:r w:rsidRPr="00A10CC9">
        <w:rPr>
          <w:rFonts w:ascii="Calibri" w:eastAsia="Times New Roman" w:hAnsi="Calibri" w:cs="Times New Roman"/>
          <w:szCs w:val="18"/>
          <w:lang w:val="en-GB" w:bidi="he-IL"/>
        </w:rPr>
        <w:t>He got him all these, cut them in half, and pu</w:t>
      </w:r>
      <w:r>
        <w:rPr>
          <w:rFonts w:ascii="Calibri" w:eastAsia="Times New Roman" w:hAnsi="Calibri" w:cs="Times New Roman"/>
          <w:szCs w:val="18"/>
          <w:lang w:val="en-GB" w:bidi="he-IL"/>
        </w:rPr>
        <w:t>t one half opposite its</w:t>
      </w:r>
      <w:r w:rsidRPr="00A60477">
        <w:rPr>
          <w:rFonts w:ascii="Calibri" w:eastAsia="Times New Roman" w:hAnsi="Calibri" w:cs="Times New Roman"/>
          <w:szCs w:val="18"/>
          <w:lang w:bidi="he-IL"/>
        </w:rPr>
        <w:t xml:space="preserve"> neighbor</w:t>
      </w:r>
      <w:r w:rsidRPr="00A10CC9">
        <w:rPr>
          <w:rFonts w:ascii="Calibri" w:eastAsia="Times New Roman" w:hAnsi="Calibri" w:cs="Times New Roman"/>
          <w:szCs w:val="18"/>
          <w:lang w:val="en-GB" w:bidi="he-IL"/>
        </w:rPr>
        <w:t xml:space="preserve">, but </w:t>
      </w:r>
      <w:r w:rsidR="00C70964">
        <w:rPr>
          <w:rFonts w:ascii="Calibri" w:eastAsia="Times New Roman" w:hAnsi="Calibri" w:cs="Times New Roman"/>
          <w:szCs w:val="18"/>
          <w:lang w:val="en-GB" w:bidi="he-IL"/>
        </w:rPr>
        <w:t xml:space="preserve">he </w:t>
      </w:r>
      <w:r w:rsidRPr="00A10CC9">
        <w:rPr>
          <w:rFonts w:ascii="Calibri" w:eastAsia="Times New Roman" w:hAnsi="Calibri" w:cs="Times New Roman"/>
          <w:szCs w:val="18"/>
          <w:lang w:val="en-GB" w:bidi="he-IL"/>
        </w:rPr>
        <w:t>didn’</w:t>
      </w:r>
      <w:r w:rsidR="00810D1F">
        <w:rPr>
          <w:rFonts w:ascii="Calibri" w:eastAsia="Times New Roman" w:hAnsi="Calibri" w:cs="Times New Roman"/>
          <w:szCs w:val="18"/>
          <w:lang w:val="en-GB" w:bidi="he-IL"/>
        </w:rPr>
        <w:t>t cut the bird</w:t>
      </w:r>
      <w:r>
        <w:rPr>
          <w:rFonts w:ascii="Calibri" w:eastAsia="Times New Roman" w:hAnsi="Calibri" w:cs="Times New Roman"/>
          <w:szCs w:val="18"/>
          <w:lang w:val="en-GB" w:bidi="he-IL"/>
        </w:rPr>
        <w:t xml:space="preserve"> in half. </w:t>
      </w:r>
      <w:r>
        <w:rPr>
          <w:rFonts w:ascii="Calibri" w:eastAsia="Times New Roman" w:hAnsi="Calibri" w:cs="Times New Roman"/>
          <w:szCs w:val="18"/>
          <w:vertAlign w:val="superscript"/>
          <w:lang w:val="en-GB" w:bidi="he-IL"/>
        </w:rPr>
        <w:t>11</w:t>
      </w:r>
      <w:r w:rsidR="003A5AA6">
        <w:rPr>
          <w:rFonts w:ascii="Calibri" w:eastAsia="Times New Roman" w:hAnsi="Calibri" w:cs="Times New Roman"/>
          <w:szCs w:val="18"/>
          <w:lang w:val="en-GB" w:bidi="he-IL"/>
        </w:rPr>
        <w:t>The screecher</w:t>
      </w:r>
      <w:r w:rsidRPr="00A10CC9">
        <w:rPr>
          <w:rFonts w:ascii="Calibri" w:eastAsia="Times New Roman" w:hAnsi="Calibri" w:cs="Times New Roman"/>
          <w:szCs w:val="18"/>
          <w:lang w:val="en-GB" w:bidi="he-IL"/>
        </w:rPr>
        <w:t xml:space="preserve"> came down on the carcasses, but </w:t>
      </w:r>
      <w:r w:rsidR="00BF4EE8">
        <w:rPr>
          <w:rFonts w:ascii="Calibri" w:eastAsia="Times New Roman" w:hAnsi="Calibri" w:cs="Times New Roman"/>
          <w:szCs w:val="18"/>
          <w:lang w:val="en-GB" w:bidi="he-IL"/>
        </w:rPr>
        <w:t>Abram</w:t>
      </w:r>
      <w:r w:rsidRPr="00A10CC9">
        <w:rPr>
          <w:rFonts w:ascii="Calibri" w:eastAsia="Times New Roman" w:hAnsi="Calibri" w:cs="Times New Roman"/>
          <w:szCs w:val="18"/>
          <w:lang w:val="en-GB" w:bidi="he-IL"/>
        </w:rPr>
        <w:t xml:space="preserve"> drove</w:t>
      </w:r>
      <w:r>
        <w:rPr>
          <w:rFonts w:ascii="Calibri" w:eastAsia="Times New Roman" w:hAnsi="Calibri" w:cs="Times New Roman"/>
          <w:szCs w:val="18"/>
          <w:lang w:val="en-GB" w:bidi="he-IL"/>
        </w:rPr>
        <w:t xml:space="preserve"> them away. </w:t>
      </w:r>
      <w:r>
        <w:rPr>
          <w:rFonts w:ascii="Calibri" w:eastAsia="Times New Roman" w:hAnsi="Calibri" w:cs="Times New Roman"/>
          <w:szCs w:val="18"/>
          <w:vertAlign w:val="superscript"/>
          <w:lang w:val="en-GB" w:bidi="he-IL"/>
        </w:rPr>
        <w:t>12</w:t>
      </w:r>
      <w:r w:rsidRPr="00A10CC9">
        <w:rPr>
          <w:rFonts w:ascii="Calibri" w:eastAsia="Times New Roman" w:hAnsi="Calibri" w:cs="Times New Roman"/>
          <w:szCs w:val="18"/>
          <w:lang w:val="en-GB" w:bidi="he-IL"/>
        </w:rPr>
        <w:t xml:space="preserve">As the sun was about to go, a coma fell on </w:t>
      </w:r>
      <w:r w:rsidR="00BF4EE8">
        <w:rPr>
          <w:rFonts w:ascii="Calibri" w:eastAsia="Times New Roman" w:hAnsi="Calibri" w:cs="Times New Roman"/>
          <w:szCs w:val="18"/>
          <w:lang w:val="en-GB" w:bidi="he-IL"/>
        </w:rPr>
        <w:t>Abram</w:t>
      </w:r>
      <w:r w:rsidRPr="00A10CC9">
        <w:rPr>
          <w:rFonts w:ascii="Calibri" w:eastAsia="Times New Roman" w:hAnsi="Calibri" w:cs="Times New Roman"/>
          <w:szCs w:val="18"/>
          <w:lang w:val="en-GB" w:bidi="he-IL"/>
        </w:rPr>
        <w:t xml:space="preserve">, and there, a great dark dread was falling on him. </w:t>
      </w:r>
    </w:p>
    <w:p w14:paraId="298E3C34" w14:textId="6B932823" w:rsidR="00A735EA" w:rsidRDefault="00A10CC9" w:rsidP="006E60FC">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13</w:t>
      </w:r>
      <w:r w:rsidRPr="00A10CC9">
        <w:rPr>
          <w:rFonts w:ascii="Calibri" w:eastAsia="Times New Roman" w:hAnsi="Calibri" w:cs="Times New Roman"/>
          <w:szCs w:val="18"/>
          <w:lang w:val="en-GB" w:bidi="he-IL"/>
        </w:rPr>
        <w:t xml:space="preserve">He said to </w:t>
      </w:r>
      <w:r w:rsidR="00BF4EE8">
        <w:rPr>
          <w:rFonts w:ascii="Calibri" w:eastAsia="Times New Roman" w:hAnsi="Calibri" w:cs="Times New Roman"/>
          <w:szCs w:val="18"/>
          <w:lang w:val="en-GB" w:bidi="he-IL"/>
        </w:rPr>
        <w:t>Abram</w:t>
      </w:r>
      <w:r w:rsidRPr="00A10CC9">
        <w:rPr>
          <w:rFonts w:ascii="Calibri" w:eastAsia="Times New Roman" w:hAnsi="Calibri" w:cs="Times New Roman"/>
          <w:szCs w:val="18"/>
          <w:lang w:val="en-GB" w:bidi="he-IL"/>
        </w:rPr>
        <w:t>,</w:t>
      </w:r>
      <w:r>
        <w:rPr>
          <w:rFonts w:ascii="Calibri" w:eastAsia="Times New Roman" w:hAnsi="Calibri" w:cs="Times New Roman"/>
          <w:szCs w:val="18"/>
          <w:lang w:val="en-GB" w:bidi="he-IL"/>
        </w:rPr>
        <w:t xml:space="preserve"> </w:t>
      </w:r>
      <w:r w:rsidR="003D56BA">
        <w:rPr>
          <w:rFonts w:ascii="Calibri" w:eastAsia="Times New Roman" w:hAnsi="Calibri" w:cs="Times New Roman"/>
          <w:szCs w:val="18"/>
          <w:lang w:val="en-GB" w:bidi="he-IL"/>
        </w:rPr>
        <w:t>“</w:t>
      </w:r>
      <w:r w:rsidRPr="00A10CC9">
        <w:rPr>
          <w:rFonts w:ascii="Calibri" w:eastAsia="Times New Roman" w:hAnsi="Calibri" w:cs="Times New Roman"/>
          <w:szCs w:val="18"/>
          <w:lang w:val="en-GB" w:bidi="he-IL"/>
        </w:rPr>
        <w:t>You can know for sure</w:t>
      </w:r>
      <w:r w:rsidR="004115A7">
        <w:rPr>
          <w:rStyle w:val="FootnoteReference"/>
          <w:rFonts w:ascii="Calibri" w:eastAsia="Times New Roman" w:hAnsi="Calibri" w:cs="Times New Roman"/>
          <w:szCs w:val="18"/>
          <w:lang w:val="en-GB" w:bidi="he-IL"/>
        </w:rPr>
        <w:footnoteReference w:id="195"/>
      </w:r>
      <w:r w:rsidRPr="00A10CC9">
        <w:rPr>
          <w:rFonts w:ascii="Calibri" w:eastAsia="Times New Roman" w:hAnsi="Calibri" w:cs="Times New Roman"/>
          <w:szCs w:val="18"/>
          <w:lang w:val="en-GB" w:bidi="he-IL"/>
        </w:rPr>
        <w:t xml:space="preserve"> that </w:t>
      </w:r>
      <w:r w:rsidR="00C92C33">
        <w:rPr>
          <w:rFonts w:ascii="Calibri" w:eastAsia="Times New Roman" w:hAnsi="Calibri" w:cs="Times New Roman"/>
          <w:szCs w:val="18"/>
          <w:lang w:val="en-GB" w:bidi="he-IL"/>
        </w:rPr>
        <w:t>your offspring will be resident</w:t>
      </w:r>
      <w:r w:rsidRPr="00A10CC9">
        <w:rPr>
          <w:rFonts w:ascii="Calibri" w:eastAsia="Times New Roman" w:hAnsi="Calibri" w:cs="Times New Roman"/>
          <w:szCs w:val="18"/>
          <w:lang w:val="en-GB" w:bidi="he-IL"/>
        </w:rPr>
        <w:t xml:space="preserve"> </w:t>
      </w:r>
      <w:r w:rsidR="00B94B49">
        <w:rPr>
          <w:rFonts w:ascii="Calibri" w:eastAsia="Times New Roman" w:hAnsi="Calibri" w:cs="Times New Roman"/>
          <w:szCs w:val="18"/>
          <w:lang w:val="en-GB" w:bidi="he-IL"/>
        </w:rPr>
        <w:t xml:space="preserve">aliens </w:t>
      </w:r>
      <w:r w:rsidRPr="00A10CC9">
        <w:rPr>
          <w:rFonts w:ascii="Calibri" w:eastAsia="Times New Roman" w:hAnsi="Calibri" w:cs="Times New Roman"/>
          <w:szCs w:val="18"/>
          <w:lang w:val="en-GB" w:bidi="he-IL"/>
        </w:rPr>
        <w:t>in a country n</w:t>
      </w:r>
      <w:r w:rsidR="00F3641B">
        <w:rPr>
          <w:rFonts w:ascii="Calibri" w:eastAsia="Times New Roman" w:hAnsi="Calibri" w:cs="Times New Roman"/>
          <w:szCs w:val="18"/>
          <w:lang w:val="en-GB" w:bidi="he-IL"/>
        </w:rPr>
        <w:t>ot theirs, and they will serve them</w:t>
      </w:r>
      <w:r w:rsidRPr="00A10CC9">
        <w:rPr>
          <w:rFonts w:ascii="Calibri" w:eastAsia="Times New Roman" w:hAnsi="Calibri" w:cs="Times New Roman"/>
          <w:szCs w:val="18"/>
          <w:lang w:val="en-GB" w:bidi="he-IL"/>
        </w:rPr>
        <w:t xml:space="preserve"> and they will humble them</w:t>
      </w:r>
      <w:r w:rsidR="00F3641B">
        <w:rPr>
          <w:rFonts w:ascii="Calibri" w:eastAsia="Times New Roman" w:hAnsi="Calibri" w:cs="Times New Roman"/>
          <w:szCs w:val="18"/>
          <w:lang w:val="en-GB" w:bidi="he-IL"/>
        </w:rPr>
        <w:t>,</w:t>
      </w:r>
      <w:r w:rsidR="00F3641B">
        <w:rPr>
          <w:rStyle w:val="FootnoteReference"/>
          <w:rFonts w:ascii="Calibri" w:eastAsia="Times New Roman" w:hAnsi="Calibri" w:cs="Times New Roman"/>
          <w:szCs w:val="18"/>
          <w:lang w:val="en-GB" w:bidi="he-IL"/>
        </w:rPr>
        <w:footnoteReference w:id="196"/>
      </w:r>
      <w:r w:rsidRPr="00A10CC9">
        <w:rPr>
          <w:rFonts w:ascii="Calibri" w:eastAsia="Times New Roman" w:hAnsi="Calibri" w:cs="Times New Roman"/>
          <w:szCs w:val="18"/>
          <w:lang w:val="en-GB" w:bidi="he-IL"/>
        </w:rPr>
        <w:t xml:space="preserve"> for 400</w:t>
      </w:r>
      <w:r>
        <w:rPr>
          <w:rFonts w:ascii="Calibri" w:eastAsia="Times New Roman" w:hAnsi="Calibri" w:cs="Times New Roman"/>
          <w:szCs w:val="18"/>
          <w:lang w:val="en-GB" w:bidi="he-IL"/>
        </w:rPr>
        <w:t xml:space="preserve"> years. </w:t>
      </w:r>
      <w:r>
        <w:rPr>
          <w:rFonts w:ascii="Calibri" w:eastAsia="Times New Roman" w:hAnsi="Calibri" w:cs="Times New Roman"/>
          <w:szCs w:val="18"/>
          <w:vertAlign w:val="superscript"/>
          <w:lang w:val="en-GB" w:bidi="he-IL"/>
        </w:rPr>
        <w:t>14</w:t>
      </w:r>
      <w:r w:rsidRPr="00A10CC9">
        <w:rPr>
          <w:rFonts w:ascii="Calibri" w:eastAsia="Times New Roman" w:hAnsi="Calibri" w:cs="Times New Roman"/>
          <w:szCs w:val="18"/>
          <w:lang w:val="en-GB" w:bidi="he-IL"/>
        </w:rPr>
        <w:t>But the nation that they serve I’m indeed going to judge. After this they will get out with much property.</w:t>
      </w:r>
      <w:r>
        <w:rPr>
          <w:rFonts w:ascii="Calibri" w:eastAsia="Times New Roman" w:hAnsi="Calibri" w:cs="Times New Roman"/>
          <w:szCs w:val="18"/>
          <w:lang w:val="en-GB" w:bidi="he-IL"/>
        </w:rPr>
        <w:t xml:space="preserve"> </w:t>
      </w:r>
    </w:p>
    <w:p w14:paraId="50A863D7" w14:textId="77777777" w:rsidR="00A735EA" w:rsidRDefault="00A735EA" w:rsidP="00A10CC9">
      <w:pPr>
        <w:rPr>
          <w:rFonts w:ascii="Calibri" w:eastAsia="Times New Roman" w:hAnsi="Calibri" w:cs="Times New Roman"/>
          <w:szCs w:val="18"/>
          <w:lang w:val="en-GB" w:bidi="he-IL"/>
        </w:rPr>
      </w:pPr>
    </w:p>
    <w:p w14:paraId="670B1DD9" w14:textId="5376BDD4" w:rsidR="00A735EA" w:rsidRDefault="00A10CC9" w:rsidP="00A10CC9">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15</w:t>
      </w:r>
      <w:r w:rsidR="00A735EA">
        <w:rPr>
          <w:rFonts w:ascii="Calibri" w:eastAsia="Times New Roman" w:hAnsi="Calibri" w:cs="Times New Roman"/>
          <w:szCs w:val="18"/>
          <w:lang w:val="en-GB" w:bidi="he-IL"/>
        </w:rPr>
        <w:t>And</w:t>
      </w:r>
      <w:r w:rsidRPr="00A10CC9">
        <w:rPr>
          <w:rFonts w:ascii="Calibri" w:eastAsia="Times New Roman" w:hAnsi="Calibri" w:cs="Times New Roman"/>
          <w:szCs w:val="18"/>
          <w:lang w:val="en-GB" w:bidi="he-IL"/>
        </w:rPr>
        <w:t xml:space="preserve"> you: </w:t>
      </w:r>
      <w:r w:rsidR="00A735EA">
        <w:rPr>
          <w:rFonts w:ascii="Calibri" w:eastAsia="Times New Roman" w:hAnsi="Calibri" w:cs="Times New Roman"/>
          <w:szCs w:val="18"/>
          <w:lang w:val="en-GB" w:bidi="he-IL"/>
        </w:rPr>
        <w:t>y</w:t>
      </w:r>
      <w:r w:rsidR="004A66B0">
        <w:rPr>
          <w:rFonts w:ascii="Calibri" w:eastAsia="Times New Roman" w:hAnsi="Calibri" w:cs="Times New Roman"/>
          <w:szCs w:val="18"/>
          <w:lang w:val="en-GB" w:bidi="he-IL"/>
        </w:rPr>
        <w:t>ou will go to your forebear</w:t>
      </w:r>
      <w:r w:rsidR="00A735EA">
        <w:rPr>
          <w:rFonts w:ascii="Calibri" w:eastAsia="Times New Roman" w:hAnsi="Calibri" w:cs="Times New Roman"/>
          <w:szCs w:val="18"/>
          <w:lang w:val="en-GB" w:bidi="he-IL"/>
        </w:rPr>
        <w:t>s with things being well;</w:t>
      </w:r>
    </w:p>
    <w:p w14:paraId="3084F981" w14:textId="77777777" w:rsidR="00A735EA" w:rsidRDefault="00A735EA" w:rsidP="00A10CC9">
      <w:pPr>
        <w:rPr>
          <w:rFonts w:ascii="Calibri" w:eastAsia="Times New Roman" w:hAnsi="Calibri" w:cs="Times New Roman"/>
          <w:szCs w:val="18"/>
          <w:lang w:val="en-GB" w:bidi="he-IL"/>
        </w:rPr>
      </w:pPr>
      <w:r>
        <w:rPr>
          <w:rFonts w:ascii="Calibri" w:eastAsia="Times New Roman" w:hAnsi="Calibri" w:cs="Times New Roman"/>
          <w:szCs w:val="18"/>
          <w:lang w:val="en-GB" w:bidi="he-IL"/>
        </w:rPr>
        <w:tab/>
      </w:r>
      <w:proofErr w:type="gramStart"/>
      <w:r>
        <w:rPr>
          <w:rFonts w:ascii="Calibri" w:eastAsia="Times New Roman" w:hAnsi="Calibri" w:cs="Times New Roman"/>
          <w:szCs w:val="18"/>
          <w:lang w:val="en-GB" w:bidi="he-IL"/>
        </w:rPr>
        <w:t>y</w:t>
      </w:r>
      <w:r w:rsidR="00A10CC9" w:rsidRPr="00A10CC9">
        <w:rPr>
          <w:rFonts w:ascii="Calibri" w:eastAsia="Times New Roman" w:hAnsi="Calibri" w:cs="Times New Roman"/>
          <w:szCs w:val="18"/>
          <w:lang w:val="en-GB" w:bidi="he-IL"/>
        </w:rPr>
        <w:t>ou’ll</w:t>
      </w:r>
      <w:proofErr w:type="gramEnd"/>
      <w:r w:rsidR="00A10CC9" w:rsidRPr="00A10CC9">
        <w:rPr>
          <w:rFonts w:ascii="Calibri" w:eastAsia="Times New Roman" w:hAnsi="Calibri" w:cs="Times New Roman"/>
          <w:szCs w:val="18"/>
          <w:lang w:val="en-GB" w:bidi="he-IL"/>
        </w:rPr>
        <w:t xml:space="preserve"> </w:t>
      </w:r>
      <w:r w:rsidR="00A10CC9">
        <w:rPr>
          <w:rFonts w:ascii="Calibri" w:eastAsia="Times New Roman" w:hAnsi="Calibri" w:cs="Times New Roman"/>
          <w:szCs w:val="18"/>
          <w:lang w:val="en-GB" w:bidi="he-IL"/>
        </w:rPr>
        <w:t xml:space="preserve">be buried in a good old age. </w:t>
      </w:r>
    </w:p>
    <w:p w14:paraId="7864A460" w14:textId="56F87556" w:rsidR="00A735EA" w:rsidRDefault="00A10CC9" w:rsidP="00A10CC9">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16</w:t>
      </w:r>
      <w:r w:rsidR="002C251C">
        <w:rPr>
          <w:rFonts w:ascii="Calibri" w:eastAsia="Times New Roman" w:hAnsi="Calibri" w:cs="Times New Roman"/>
          <w:szCs w:val="18"/>
          <w:lang w:val="en-GB" w:bidi="he-IL"/>
        </w:rPr>
        <w:t>In the fourth generation they wi</w:t>
      </w:r>
      <w:r w:rsidRPr="00A10CC9">
        <w:rPr>
          <w:rFonts w:ascii="Calibri" w:eastAsia="Times New Roman" w:hAnsi="Calibri" w:cs="Times New Roman"/>
          <w:szCs w:val="18"/>
          <w:lang w:val="en-GB" w:bidi="he-IL"/>
        </w:rPr>
        <w:t xml:space="preserve">ll come back here, </w:t>
      </w:r>
    </w:p>
    <w:p w14:paraId="4802E0E6" w14:textId="77777777" w:rsidR="00A735EA" w:rsidRDefault="00A735EA" w:rsidP="00A10CC9">
      <w:pPr>
        <w:rPr>
          <w:rFonts w:ascii="Calibri" w:eastAsia="Times New Roman" w:hAnsi="Calibri" w:cs="Times New Roman"/>
          <w:szCs w:val="18"/>
          <w:lang w:val="en-GB" w:bidi="he-IL"/>
        </w:rPr>
      </w:pPr>
      <w:r>
        <w:rPr>
          <w:rFonts w:ascii="Calibri" w:eastAsia="Times New Roman" w:hAnsi="Calibri" w:cs="Times New Roman"/>
          <w:szCs w:val="18"/>
          <w:lang w:val="en-GB" w:bidi="he-IL"/>
        </w:rPr>
        <w:tab/>
      </w:r>
      <w:proofErr w:type="gramStart"/>
      <w:r w:rsidR="00A10CC9" w:rsidRPr="00A10CC9">
        <w:rPr>
          <w:rFonts w:ascii="Calibri" w:eastAsia="Times New Roman" w:hAnsi="Calibri" w:cs="Times New Roman"/>
          <w:szCs w:val="18"/>
          <w:lang w:val="en-GB" w:bidi="he-IL"/>
        </w:rPr>
        <w:t>because</w:t>
      </w:r>
      <w:proofErr w:type="gramEnd"/>
      <w:r w:rsidR="00A10CC9" w:rsidRPr="00A10CC9">
        <w:rPr>
          <w:rFonts w:ascii="Calibri" w:eastAsia="Times New Roman" w:hAnsi="Calibri" w:cs="Times New Roman"/>
          <w:szCs w:val="18"/>
          <w:lang w:val="en-GB" w:bidi="he-IL"/>
        </w:rPr>
        <w:t xml:space="preserve"> the A</w:t>
      </w:r>
      <w:r w:rsidR="008A33E7">
        <w:rPr>
          <w:rFonts w:ascii="Calibri" w:eastAsia="Times New Roman" w:hAnsi="Calibri" w:cs="Times New Roman"/>
          <w:szCs w:val="18"/>
          <w:lang w:val="en-GB" w:bidi="he-IL"/>
        </w:rPr>
        <w:t>morite</w:t>
      </w:r>
      <w:r w:rsidR="003B1C0B">
        <w:rPr>
          <w:rFonts w:ascii="Calibri" w:eastAsia="Times New Roman" w:hAnsi="Calibri" w:cs="Times New Roman"/>
          <w:szCs w:val="18"/>
          <w:lang w:val="en-GB" w:bidi="he-IL"/>
        </w:rPr>
        <w:t>’s</w:t>
      </w:r>
      <w:r w:rsidR="008A33E7">
        <w:rPr>
          <w:rFonts w:ascii="Calibri" w:eastAsia="Times New Roman" w:hAnsi="Calibri" w:cs="Times New Roman"/>
          <w:szCs w:val="18"/>
          <w:lang w:val="en-GB" w:bidi="he-IL"/>
        </w:rPr>
        <w:t xml:space="preserve"> waywardness is not </w:t>
      </w:r>
      <w:r w:rsidR="00A10CC9" w:rsidRPr="00A10CC9">
        <w:rPr>
          <w:rFonts w:ascii="Calibri" w:eastAsia="Times New Roman" w:hAnsi="Calibri" w:cs="Times New Roman"/>
          <w:szCs w:val="18"/>
          <w:lang w:val="en-GB" w:bidi="he-IL"/>
        </w:rPr>
        <w:t>complete</w:t>
      </w:r>
      <w:r w:rsidR="008A33E7">
        <w:rPr>
          <w:rFonts w:ascii="Calibri" w:eastAsia="Times New Roman" w:hAnsi="Calibri" w:cs="Times New Roman"/>
          <w:szCs w:val="18"/>
          <w:lang w:val="en-GB" w:bidi="he-IL"/>
        </w:rPr>
        <w:t xml:space="preserve"> heretofore</w:t>
      </w:r>
      <w:r w:rsidR="00A10CC9" w:rsidRPr="00A10CC9">
        <w:rPr>
          <w:rFonts w:ascii="Calibri" w:eastAsia="Times New Roman" w:hAnsi="Calibri" w:cs="Times New Roman"/>
          <w:szCs w:val="18"/>
          <w:lang w:val="en-GB" w:bidi="he-IL"/>
        </w:rPr>
        <w:t>.</w:t>
      </w:r>
    </w:p>
    <w:p w14:paraId="317AB24B" w14:textId="77777777" w:rsidR="00A735EA" w:rsidRDefault="00A735EA" w:rsidP="00A10CC9">
      <w:pPr>
        <w:rPr>
          <w:rFonts w:ascii="Calibri" w:eastAsia="Times New Roman" w:hAnsi="Calibri" w:cs="Times New Roman"/>
          <w:szCs w:val="18"/>
          <w:lang w:val="en-GB" w:bidi="he-IL"/>
        </w:rPr>
      </w:pPr>
    </w:p>
    <w:p w14:paraId="4B16BFD0" w14:textId="70C29A08" w:rsidR="00A10CC9" w:rsidRPr="00A10CC9" w:rsidRDefault="00A10CC9" w:rsidP="00A10CC9">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17</w:t>
      </w:r>
      <w:r w:rsidR="003B4B8F">
        <w:rPr>
          <w:rFonts w:ascii="Calibri" w:eastAsia="Times New Roman" w:hAnsi="Calibri" w:cs="Times New Roman"/>
          <w:szCs w:val="18"/>
          <w:lang w:val="en-GB" w:bidi="he-IL"/>
        </w:rPr>
        <w:t>The sun went and there</w:t>
      </w:r>
      <w:r w:rsidRPr="00A10CC9">
        <w:rPr>
          <w:rFonts w:ascii="Calibri" w:eastAsia="Times New Roman" w:hAnsi="Calibri" w:cs="Times New Roman"/>
          <w:szCs w:val="18"/>
          <w:lang w:val="en-GB" w:bidi="he-IL"/>
        </w:rPr>
        <w:t xml:space="preserve"> was </w:t>
      </w:r>
      <w:r w:rsidR="003B4B8F">
        <w:rPr>
          <w:rFonts w:ascii="Calibri" w:eastAsia="Times New Roman" w:hAnsi="Calibri" w:cs="Times New Roman"/>
          <w:szCs w:val="18"/>
          <w:lang w:val="en-GB" w:bidi="he-IL"/>
        </w:rPr>
        <w:t xml:space="preserve">deep </w:t>
      </w:r>
      <w:r w:rsidRPr="00A10CC9">
        <w:rPr>
          <w:rFonts w:ascii="Calibri" w:eastAsia="Times New Roman" w:hAnsi="Calibri" w:cs="Times New Roman"/>
          <w:szCs w:val="18"/>
          <w:lang w:val="en-GB" w:bidi="he-IL"/>
        </w:rPr>
        <w:t>da</w:t>
      </w:r>
      <w:r w:rsidR="001A7694">
        <w:rPr>
          <w:rFonts w:ascii="Calibri" w:eastAsia="Times New Roman" w:hAnsi="Calibri" w:cs="Times New Roman"/>
          <w:szCs w:val="18"/>
          <w:lang w:val="en-GB" w:bidi="he-IL"/>
        </w:rPr>
        <w:t>rk</w:t>
      </w:r>
      <w:r w:rsidR="006E60FC">
        <w:rPr>
          <w:rFonts w:ascii="Calibri" w:eastAsia="Times New Roman" w:hAnsi="Calibri" w:cs="Times New Roman"/>
          <w:szCs w:val="18"/>
          <w:lang w:val="en-GB" w:bidi="he-IL"/>
        </w:rPr>
        <w:t>ness</w:t>
      </w:r>
      <w:r w:rsidR="001A7694">
        <w:rPr>
          <w:rFonts w:ascii="Calibri" w:eastAsia="Times New Roman" w:hAnsi="Calibri" w:cs="Times New Roman"/>
          <w:szCs w:val="18"/>
          <w:lang w:val="en-GB" w:bidi="he-IL"/>
        </w:rPr>
        <w:t>, and there, a smoking oven</w:t>
      </w:r>
      <w:r w:rsidRPr="00A10CC9">
        <w:rPr>
          <w:rFonts w:ascii="Calibri" w:eastAsia="Times New Roman" w:hAnsi="Calibri" w:cs="Times New Roman"/>
          <w:szCs w:val="18"/>
          <w:lang w:val="en-GB" w:bidi="he-IL"/>
        </w:rPr>
        <w:t xml:space="preserve">, a blazing torch, that </w:t>
      </w:r>
      <w:r>
        <w:rPr>
          <w:rFonts w:ascii="Calibri" w:eastAsia="Times New Roman" w:hAnsi="Calibri" w:cs="Times New Roman"/>
          <w:szCs w:val="18"/>
          <w:lang w:val="en-GB" w:bidi="he-IL"/>
        </w:rPr>
        <w:t xml:space="preserve">passed between those pieces. </w:t>
      </w:r>
      <w:r>
        <w:rPr>
          <w:rFonts w:ascii="Calibri" w:eastAsia="Times New Roman" w:hAnsi="Calibri" w:cs="Times New Roman"/>
          <w:szCs w:val="18"/>
          <w:vertAlign w:val="superscript"/>
          <w:lang w:val="en-GB" w:bidi="he-IL"/>
        </w:rPr>
        <w:t>18</w:t>
      </w:r>
      <w:r w:rsidRPr="00A10CC9">
        <w:rPr>
          <w:rFonts w:ascii="Calibri" w:eastAsia="Times New Roman" w:hAnsi="Calibri" w:cs="Times New Roman"/>
          <w:szCs w:val="18"/>
          <w:lang w:val="en-GB" w:bidi="he-IL"/>
        </w:rPr>
        <w:t>On that day Yahweh solemnize</w:t>
      </w:r>
      <w:r>
        <w:rPr>
          <w:rFonts w:ascii="Calibri" w:eastAsia="Times New Roman" w:hAnsi="Calibri" w:cs="Times New Roman"/>
          <w:szCs w:val="18"/>
          <w:lang w:val="en-GB" w:bidi="he-IL"/>
        </w:rPr>
        <w:t xml:space="preserve">d a pact with Abram, saying </w:t>
      </w:r>
      <w:r w:rsidR="003D56BA">
        <w:rPr>
          <w:rFonts w:ascii="Calibri" w:eastAsia="Times New Roman" w:hAnsi="Calibri" w:cs="Times New Roman"/>
          <w:szCs w:val="18"/>
          <w:lang w:val="en-GB" w:bidi="he-IL"/>
        </w:rPr>
        <w:t>“</w:t>
      </w:r>
      <w:r w:rsidR="00E92840">
        <w:rPr>
          <w:rFonts w:ascii="Calibri" w:eastAsia="Times New Roman" w:hAnsi="Calibri" w:cs="Times New Roman"/>
          <w:szCs w:val="18"/>
          <w:lang w:val="en-GB" w:bidi="he-IL"/>
        </w:rPr>
        <w:t>To your offspring I am giving</w:t>
      </w:r>
      <w:r w:rsidR="00A171CE" w:rsidRPr="00A171CE">
        <w:rPr>
          <w:rFonts w:ascii="Calibri" w:eastAsia="Times New Roman" w:hAnsi="Calibri" w:cs="Times New Roman"/>
          <w:szCs w:val="18"/>
          <w:vertAlign w:val="superscript"/>
          <w:lang w:bidi="he-IL"/>
        </w:rPr>
        <w:footnoteReference w:id="197"/>
      </w:r>
      <w:r w:rsidRPr="00A10CC9">
        <w:rPr>
          <w:rFonts w:ascii="Calibri" w:eastAsia="Times New Roman" w:hAnsi="Calibri" w:cs="Times New Roman"/>
          <w:szCs w:val="18"/>
          <w:lang w:val="en-GB" w:bidi="he-IL"/>
        </w:rPr>
        <w:t xml:space="preserve"> </w:t>
      </w:r>
      <w:r w:rsidR="00A3460A">
        <w:rPr>
          <w:rFonts w:ascii="Calibri" w:eastAsia="Times New Roman" w:hAnsi="Calibri" w:cs="Times New Roman"/>
          <w:szCs w:val="18"/>
          <w:lang w:val="en-GB" w:bidi="he-IL"/>
        </w:rPr>
        <w:t xml:space="preserve">this country, from the Miṣrayim </w:t>
      </w:r>
      <w:r w:rsidR="00081B43">
        <w:rPr>
          <w:rFonts w:ascii="Calibri" w:eastAsia="Times New Roman" w:hAnsi="Calibri" w:cs="Times New Roman"/>
          <w:szCs w:val="18"/>
          <w:lang w:val="en-GB" w:bidi="he-IL"/>
        </w:rPr>
        <w:t>river</w:t>
      </w:r>
      <w:r w:rsidR="00081B43">
        <w:rPr>
          <w:rStyle w:val="FootnoteReference"/>
          <w:rFonts w:ascii="Calibri" w:eastAsia="Times New Roman" w:hAnsi="Calibri" w:cs="Times New Roman"/>
          <w:szCs w:val="18"/>
          <w:lang w:val="en-GB" w:bidi="he-IL"/>
        </w:rPr>
        <w:footnoteReference w:id="198"/>
      </w:r>
      <w:r w:rsidR="00081B43">
        <w:rPr>
          <w:rFonts w:ascii="Calibri" w:eastAsia="Times New Roman" w:hAnsi="Calibri" w:cs="Times New Roman"/>
          <w:szCs w:val="18"/>
          <w:lang w:val="en-GB" w:bidi="he-IL"/>
        </w:rPr>
        <w:t xml:space="preserve"> </w:t>
      </w:r>
      <w:r w:rsidRPr="00A10CC9">
        <w:rPr>
          <w:rFonts w:ascii="Calibri" w:eastAsia="Times New Roman" w:hAnsi="Calibri" w:cs="Times New Roman"/>
          <w:szCs w:val="18"/>
          <w:lang w:val="en-GB" w:bidi="he-IL"/>
        </w:rPr>
        <w:t>to th</w:t>
      </w:r>
      <w:r w:rsidR="00A3460A">
        <w:rPr>
          <w:rFonts w:ascii="Calibri" w:eastAsia="Times New Roman" w:hAnsi="Calibri" w:cs="Times New Roman"/>
          <w:szCs w:val="18"/>
          <w:lang w:val="en-GB" w:bidi="he-IL"/>
        </w:rPr>
        <w:t>e big river (the River Perat</w:t>
      </w:r>
      <w:r w:rsidRPr="00A10CC9">
        <w:rPr>
          <w:rFonts w:ascii="Calibri" w:eastAsia="Times New Roman" w:hAnsi="Calibri" w:cs="Times New Roman"/>
          <w:szCs w:val="18"/>
          <w:lang w:val="en-GB" w:bidi="he-IL"/>
        </w:rPr>
        <w:t>):</w:t>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19</w:t>
      </w:r>
      <w:r w:rsidRPr="00A10CC9">
        <w:rPr>
          <w:rFonts w:ascii="Calibri" w:eastAsia="Times New Roman" w:hAnsi="Calibri" w:cs="Times New Roman"/>
          <w:szCs w:val="18"/>
          <w:lang w:val="en-GB" w:bidi="he-IL"/>
        </w:rPr>
        <w:t>the Qenite, the Qenizzite, the Q</w:t>
      </w:r>
      <w:r>
        <w:rPr>
          <w:rFonts w:ascii="Calibri" w:eastAsia="Times New Roman" w:hAnsi="Calibri" w:cs="Times New Roman"/>
          <w:szCs w:val="18"/>
          <w:lang w:val="en-GB" w:bidi="he-IL"/>
        </w:rPr>
        <w:t xml:space="preserve">admonite, </w:t>
      </w:r>
      <w:r>
        <w:rPr>
          <w:rFonts w:ascii="Calibri" w:eastAsia="Times New Roman" w:hAnsi="Calibri" w:cs="Times New Roman"/>
          <w:szCs w:val="18"/>
          <w:vertAlign w:val="superscript"/>
          <w:lang w:val="en-GB" w:bidi="he-IL"/>
        </w:rPr>
        <w:t>20</w:t>
      </w:r>
      <w:r w:rsidR="00FB72AE">
        <w:rPr>
          <w:rFonts w:ascii="Calibri" w:eastAsia="Times New Roman" w:hAnsi="Calibri" w:cs="Times New Roman"/>
          <w:szCs w:val="18"/>
          <w:lang w:val="en-GB" w:bidi="he-IL"/>
        </w:rPr>
        <w:t xml:space="preserve">the </w:t>
      </w:r>
      <w:r w:rsidR="00FB72AE">
        <w:rPr>
          <w:rFonts w:ascii="Calibri" w:eastAsia="Times New Roman" w:hAnsi="Calibri" w:cs="Calibri"/>
          <w:szCs w:val="18"/>
          <w:lang w:val="en-GB" w:bidi="he-IL"/>
        </w:rPr>
        <w:t>Ḥ</w:t>
      </w:r>
      <w:r w:rsidRPr="00A10CC9">
        <w:rPr>
          <w:rFonts w:ascii="Calibri" w:eastAsia="Times New Roman" w:hAnsi="Calibri" w:cs="Times New Roman"/>
          <w:szCs w:val="18"/>
          <w:lang w:val="en-GB" w:bidi="he-IL"/>
        </w:rPr>
        <w:t xml:space="preserve">ittite, the Perizzite, the </w:t>
      </w:r>
      <w:r>
        <w:rPr>
          <w:rFonts w:ascii="Calibri" w:eastAsia="Times New Roman" w:hAnsi="Calibri" w:cs="Times New Roman"/>
          <w:szCs w:val="18"/>
          <w:lang w:val="en-GB" w:bidi="he-IL"/>
        </w:rPr>
        <w:t xml:space="preserve">Repha’ites, </w:t>
      </w:r>
      <w:r>
        <w:rPr>
          <w:rFonts w:ascii="Calibri" w:eastAsia="Times New Roman" w:hAnsi="Calibri" w:cs="Times New Roman"/>
          <w:szCs w:val="18"/>
          <w:vertAlign w:val="superscript"/>
          <w:lang w:val="en-GB" w:bidi="he-IL"/>
        </w:rPr>
        <w:t>21</w:t>
      </w:r>
      <w:r>
        <w:rPr>
          <w:rFonts w:ascii="Calibri" w:eastAsia="Times New Roman" w:hAnsi="Calibri" w:cs="Times New Roman"/>
          <w:szCs w:val="18"/>
          <w:lang w:val="en-GB" w:bidi="he-IL"/>
        </w:rPr>
        <w:t>the Amorite, the Kena‘anite, the Girgaš</w:t>
      </w:r>
      <w:r w:rsidRPr="00A10CC9">
        <w:rPr>
          <w:rFonts w:ascii="Calibri" w:eastAsia="Times New Roman" w:hAnsi="Calibri" w:cs="Times New Roman"/>
          <w:szCs w:val="18"/>
          <w:lang w:val="en-GB" w:bidi="he-IL"/>
        </w:rPr>
        <w:t>ite,</w:t>
      </w:r>
      <w:r w:rsidR="003B4B8F">
        <w:rPr>
          <w:rStyle w:val="FootnoteReference"/>
          <w:rFonts w:ascii="Calibri" w:eastAsia="Times New Roman" w:hAnsi="Calibri" w:cs="Times New Roman"/>
          <w:szCs w:val="18"/>
          <w:lang w:val="en-GB" w:bidi="he-IL"/>
        </w:rPr>
        <w:footnoteReference w:id="199"/>
      </w:r>
      <w:r w:rsidRPr="00A10CC9">
        <w:rPr>
          <w:rFonts w:ascii="Calibri" w:eastAsia="Times New Roman" w:hAnsi="Calibri" w:cs="Times New Roman"/>
          <w:szCs w:val="18"/>
          <w:lang w:val="en-GB" w:bidi="he-IL"/>
        </w:rPr>
        <w:t xml:space="preserve"> and the Yebusite.</w:t>
      </w:r>
      <w:r w:rsidR="003D56BA">
        <w:rPr>
          <w:rFonts w:ascii="Calibri" w:eastAsia="Times New Roman" w:hAnsi="Calibri" w:cs="Times New Roman"/>
          <w:szCs w:val="18"/>
          <w:lang w:val="en-GB" w:bidi="he-IL"/>
        </w:rPr>
        <w:t>”</w:t>
      </w:r>
      <w:r w:rsidRPr="00A10CC9">
        <w:rPr>
          <w:rFonts w:ascii="Calibri" w:eastAsia="Times New Roman" w:hAnsi="Calibri" w:cs="Times New Roman"/>
          <w:szCs w:val="18"/>
          <w:lang w:val="en-GB" w:bidi="he-IL"/>
        </w:rPr>
        <w:t xml:space="preserve"> </w:t>
      </w:r>
    </w:p>
    <w:p w14:paraId="42C95CDD" w14:textId="77777777" w:rsidR="00A10CC9" w:rsidRDefault="00141055" w:rsidP="00A10CC9">
      <w:pPr>
        <w:pStyle w:val="Heading2"/>
        <w:rPr>
          <w:lang w:bidi="he-IL"/>
        </w:rPr>
      </w:pPr>
      <w:r>
        <w:rPr>
          <w:lang w:bidi="he-IL"/>
        </w:rPr>
        <w:t>Interpretation</w:t>
      </w:r>
      <w:r w:rsidR="00A10CC9">
        <w:rPr>
          <w:lang w:bidi="he-IL"/>
        </w:rPr>
        <w:t xml:space="preserve"> </w:t>
      </w:r>
    </w:p>
    <w:p w14:paraId="41FC5D02" w14:textId="6F546993" w:rsidR="00CE6BA2" w:rsidRPr="00CE6BA2" w:rsidRDefault="00DF5159" w:rsidP="00CE6BA2">
      <w:pPr>
        <w:pStyle w:val="ListParagraph"/>
        <w:ind w:left="0" w:firstLine="720"/>
        <w:rPr>
          <w:lang w:bidi="he-IL"/>
        </w:rPr>
      </w:pPr>
      <w:r>
        <w:rPr>
          <w:lang w:bidi="he-IL"/>
        </w:rPr>
        <w:t>MT has only a paragraph</w:t>
      </w:r>
      <w:r w:rsidR="0086351F">
        <w:rPr>
          <w:lang w:bidi="he-IL"/>
        </w:rPr>
        <w:t xml:space="preserve"> break</w:t>
      </w:r>
      <w:r w:rsidR="008602D6">
        <w:rPr>
          <w:lang w:bidi="he-IL"/>
        </w:rPr>
        <w:t>, not a unit</w:t>
      </w:r>
      <w:r>
        <w:rPr>
          <w:lang w:bidi="he-IL"/>
        </w:rPr>
        <w:t xml:space="preserve"> break,</w:t>
      </w:r>
      <w:r w:rsidR="0086351F">
        <w:rPr>
          <w:lang w:bidi="he-IL"/>
        </w:rPr>
        <w:t xml:space="preserve"> at the end of Gen 14; indeed, it</w:t>
      </w:r>
      <w:r w:rsidR="008602D6">
        <w:rPr>
          <w:lang w:bidi="he-IL"/>
        </w:rPr>
        <w:t xml:space="preserve"> treats Gen 14—17 as one unit</w:t>
      </w:r>
      <w:r w:rsidR="0086351F">
        <w:rPr>
          <w:lang w:bidi="he-IL"/>
        </w:rPr>
        <w:t>.</w:t>
      </w:r>
      <w:r w:rsidR="00551DE4">
        <w:rPr>
          <w:lang w:bidi="he-IL"/>
        </w:rPr>
        <w:t xml:space="preserve"> </w:t>
      </w:r>
      <w:r w:rsidR="002C251C">
        <w:rPr>
          <w:lang w:bidi="he-IL"/>
        </w:rPr>
        <w:t>And t</w:t>
      </w:r>
      <w:r w:rsidR="00551DE4">
        <w:rPr>
          <w:lang w:bidi="he-IL"/>
        </w:rPr>
        <w:t>he opening</w:t>
      </w:r>
      <w:r w:rsidR="00F26945">
        <w:rPr>
          <w:lang w:bidi="he-IL"/>
        </w:rPr>
        <w:t xml:space="preserve"> of Gen 15 </w:t>
      </w:r>
      <w:r>
        <w:rPr>
          <w:lang w:bidi="he-IL"/>
        </w:rPr>
        <w:t>does link</w:t>
      </w:r>
      <w:r w:rsidR="00F26945">
        <w:rPr>
          <w:lang w:bidi="he-IL"/>
        </w:rPr>
        <w:t xml:space="preserve"> back to Gen 14</w:t>
      </w:r>
      <w:r>
        <w:rPr>
          <w:lang w:bidi="he-IL"/>
        </w:rPr>
        <w:t>,</w:t>
      </w:r>
      <w:r w:rsidR="002C251C">
        <w:rPr>
          <w:lang w:bidi="he-IL"/>
        </w:rPr>
        <w:t xml:space="preserve"> with which</w:t>
      </w:r>
      <w:r w:rsidR="00D130C4">
        <w:rPr>
          <w:lang w:bidi="he-IL"/>
        </w:rPr>
        <w:t xml:space="preserve"> Gen 15 has a se</w:t>
      </w:r>
      <w:r w:rsidR="002C251C">
        <w:rPr>
          <w:lang w:bidi="he-IL"/>
        </w:rPr>
        <w:t>ries of verbal links</w:t>
      </w:r>
      <w:r w:rsidR="00D130C4">
        <w:rPr>
          <w:lang w:bidi="he-IL"/>
        </w:rPr>
        <w:t xml:space="preserve"> (see the comments on vv. 1-2, 14-18). </w:t>
      </w:r>
      <w:r>
        <w:rPr>
          <w:lang w:bidi="he-IL"/>
        </w:rPr>
        <w:t>Bu</w:t>
      </w:r>
      <w:r w:rsidR="00F26945">
        <w:rPr>
          <w:lang w:bidi="he-IL"/>
        </w:rPr>
        <w:t xml:space="preserve">t </w:t>
      </w:r>
      <w:r>
        <w:rPr>
          <w:lang w:bidi="he-IL"/>
        </w:rPr>
        <w:t>Gen 15 moves</w:t>
      </w:r>
      <w:r w:rsidR="00F26945" w:rsidRPr="00F26945">
        <w:rPr>
          <w:lang w:bidi="he-IL"/>
        </w:rPr>
        <w:t xml:space="preserve"> from a </w:t>
      </w:r>
      <w:r w:rsidR="00F26945">
        <w:rPr>
          <w:lang w:bidi="he-IL"/>
        </w:rPr>
        <w:t xml:space="preserve">primary </w:t>
      </w:r>
      <w:r w:rsidR="00F26945" w:rsidRPr="00F26945">
        <w:rPr>
          <w:lang w:bidi="he-IL"/>
        </w:rPr>
        <w:t xml:space="preserve">focus on the promise of land to include </w:t>
      </w:r>
      <w:r w:rsidR="00F26945">
        <w:rPr>
          <w:lang w:bidi="he-IL"/>
        </w:rPr>
        <w:t>more</w:t>
      </w:r>
      <w:r w:rsidR="00F26945" w:rsidRPr="00F26945">
        <w:rPr>
          <w:lang w:bidi="he-IL"/>
        </w:rPr>
        <w:t xml:space="preserve"> focus on the promise of offspring</w:t>
      </w:r>
      <w:r w:rsidR="00F26945">
        <w:rPr>
          <w:lang w:bidi="he-IL"/>
        </w:rPr>
        <w:t>, and</w:t>
      </w:r>
      <w:r w:rsidR="00041D11">
        <w:rPr>
          <w:lang w:bidi="he-IL"/>
        </w:rPr>
        <w:t xml:space="preserve"> the</w:t>
      </w:r>
      <w:r w:rsidR="00303072">
        <w:rPr>
          <w:lang w:bidi="he-IL"/>
        </w:rPr>
        <w:t xml:space="preserve"> medieval chapter division </w:t>
      </w:r>
      <w:r w:rsidR="00041D11">
        <w:rPr>
          <w:lang w:bidi="he-IL"/>
        </w:rPr>
        <w:t>generat</w:t>
      </w:r>
      <w:r w:rsidR="00AF1D48">
        <w:rPr>
          <w:lang w:bidi="he-IL"/>
        </w:rPr>
        <w:t>e</w:t>
      </w:r>
      <w:r w:rsidR="00303072">
        <w:rPr>
          <w:lang w:bidi="he-IL"/>
        </w:rPr>
        <w:t>s</w:t>
      </w:r>
      <w:r w:rsidR="00041D11">
        <w:rPr>
          <w:lang w:bidi="he-IL"/>
        </w:rPr>
        <w:t xml:space="preserve"> a plausible</w:t>
      </w:r>
      <w:r w:rsidR="00F26945">
        <w:rPr>
          <w:lang w:bidi="he-IL"/>
        </w:rPr>
        <w:t xml:space="preserve"> understanding of the unit</w:t>
      </w:r>
      <w:r w:rsidR="00972108">
        <w:rPr>
          <w:lang w:bidi="he-IL"/>
        </w:rPr>
        <w:t xml:space="preserve"> it devises.</w:t>
      </w:r>
      <w:r w:rsidR="00F26945">
        <w:rPr>
          <w:lang w:bidi="he-IL"/>
        </w:rPr>
        <w:t xml:space="preserve"> </w:t>
      </w:r>
      <w:r>
        <w:rPr>
          <w:lang w:bidi="he-IL"/>
        </w:rPr>
        <w:t>T</w:t>
      </w:r>
      <w:r w:rsidR="00303072">
        <w:rPr>
          <w:lang w:bidi="he-IL"/>
        </w:rPr>
        <w:t xml:space="preserve">he </w:t>
      </w:r>
      <w:r>
        <w:rPr>
          <w:lang w:bidi="he-IL"/>
        </w:rPr>
        <w:t>dominant feature</w:t>
      </w:r>
      <w:r w:rsidR="003134D0">
        <w:rPr>
          <w:lang w:bidi="he-IL"/>
        </w:rPr>
        <w:t>s</w:t>
      </w:r>
      <w:r>
        <w:rPr>
          <w:lang w:bidi="he-IL"/>
        </w:rPr>
        <w:t xml:space="preserve"> of the two </w:t>
      </w:r>
      <w:r w:rsidR="00CE6BA2">
        <w:rPr>
          <w:lang w:bidi="he-IL"/>
        </w:rPr>
        <w:t>unequal parts</w:t>
      </w:r>
      <w:r>
        <w:rPr>
          <w:lang w:bidi="he-IL"/>
        </w:rPr>
        <w:t xml:space="preserve"> </w:t>
      </w:r>
      <w:r w:rsidR="007A3E44">
        <w:rPr>
          <w:lang w:bidi="he-IL"/>
        </w:rPr>
        <w:t>of the chapter are</w:t>
      </w:r>
      <w:r w:rsidR="005946B3">
        <w:rPr>
          <w:lang w:bidi="he-IL"/>
        </w:rPr>
        <w:t xml:space="preserve"> a double dial</w:t>
      </w:r>
      <w:r>
        <w:rPr>
          <w:lang w:bidi="he-IL"/>
        </w:rPr>
        <w:t>ogue. T</w:t>
      </w:r>
      <w:r w:rsidR="00CE6BA2" w:rsidRPr="00CE6BA2">
        <w:rPr>
          <w:lang w:bidi="he-IL"/>
        </w:rPr>
        <w:t>wice Yahweh reaffirms his promises to Abraham</w:t>
      </w:r>
      <w:r w:rsidR="007A3E44">
        <w:rPr>
          <w:lang w:bidi="he-IL"/>
        </w:rPr>
        <w:t xml:space="preserve">, twice Abraham voices </w:t>
      </w:r>
      <w:r w:rsidR="00CE6BA2">
        <w:rPr>
          <w:lang w:bidi="he-IL"/>
        </w:rPr>
        <w:t xml:space="preserve">unease, </w:t>
      </w:r>
      <w:r w:rsidR="00F26945">
        <w:rPr>
          <w:lang w:bidi="he-IL"/>
        </w:rPr>
        <w:t xml:space="preserve">and </w:t>
      </w:r>
      <w:r w:rsidR="00CE6BA2">
        <w:rPr>
          <w:lang w:bidi="he-IL"/>
        </w:rPr>
        <w:t>twice Yahweh responds with more reaffirmation.</w:t>
      </w:r>
      <w:r w:rsidR="00D130C4">
        <w:rPr>
          <w:rStyle w:val="FootnoteReference"/>
          <w:lang w:bidi="he-IL"/>
        </w:rPr>
        <w:footnoteReference w:id="200"/>
      </w:r>
      <w:r w:rsidR="00CE6BA2">
        <w:rPr>
          <w:lang w:bidi="he-IL"/>
        </w:rPr>
        <w:t xml:space="preserve"> </w:t>
      </w:r>
      <w:r>
        <w:rPr>
          <w:lang w:bidi="he-IL"/>
        </w:rPr>
        <w:t xml:space="preserve">A key question </w:t>
      </w:r>
      <w:r w:rsidR="00F01C22">
        <w:rPr>
          <w:lang w:bidi="he-IL"/>
        </w:rPr>
        <w:t xml:space="preserve">underlying the dialogue is, </w:t>
      </w:r>
      <w:r w:rsidR="003D56BA">
        <w:rPr>
          <w:lang w:bidi="he-IL"/>
        </w:rPr>
        <w:t>“</w:t>
      </w:r>
      <w:r w:rsidR="00F01C22">
        <w:rPr>
          <w:lang w:bidi="he-IL"/>
        </w:rPr>
        <w:t>what are</w:t>
      </w:r>
      <w:r w:rsidRPr="00DF5159">
        <w:rPr>
          <w:lang w:bidi="he-IL"/>
        </w:rPr>
        <w:t xml:space="preserve"> the nature </w:t>
      </w:r>
      <w:r w:rsidR="00F01C22">
        <w:rPr>
          <w:lang w:bidi="he-IL"/>
        </w:rPr>
        <w:t>and basis of a relationship with</w:t>
      </w:r>
      <w:r w:rsidRPr="00DF5159">
        <w:rPr>
          <w:lang w:bidi="he-IL"/>
        </w:rPr>
        <w:t xml:space="preserve"> Yahweh?</w:t>
      </w:r>
      <w:r w:rsidR="003D56BA">
        <w:rPr>
          <w:lang w:bidi="he-IL"/>
        </w:rPr>
        <w:t>”</w:t>
      </w:r>
      <w:r w:rsidRPr="00DF5159">
        <w:rPr>
          <w:lang w:bidi="he-IL"/>
        </w:rPr>
        <w:t xml:space="preserve"> </w:t>
      </w:r>
      <w:r w:rsidR="00F01C22">
        <w:rPr>
          <w:lang w:bidi="he-IL"/>
        </w:rPr>
        <w:t>And followi</w:t>
      </w:r>
      <w:r w:rsidR="002C251C">
        <w:rPr>
          <w:lang w:bidi="he-IL"/>
        </w:rPr>
        <w:t xml:space="preserve">ng </w:t>
      </w:r>
      <w:r w:rsidR="00F01C22" w:rsidRPr="00F01C22">
        <w:rPr>
          <w:lang w:bidi="he-IL"/>
        </w:rPr>
        <w:lastRenderedPageBreak/>
        <w:t xml:space="preserve">the two sequences of dialogue </w:t>
      </w:r>
      <w:r w:rsidR="007A3E44">
        <w:rPr>
          <w:lang w:bidi="he-IL"/>
        </w:rPr>
        <w:t xml:space="preserve">there </w:t>
      </w:r>
      <w:r w:rsidR="00F01C22">
        <w:rPr>
          <w:lang w:bidi="he-IL"/>
        </w:rPr>
        <w:t>comes the twofold answer</w:t>
      </w:r>
      <w:r w:rsidR="00F01C22" w:rsidRPr="00F01C22">
        <w:rPr>
          <w:lang w:bidi="he-IL"/>
        </w:rPr>
        <w:t xml:space="preserve">. </w:t>
      </w:r>
      <w:r w:rsidR="00F01C22">
        <w:rPr>
          <w:lang w:bidi="he-IL"/>
        </w:rPr>
        <w:t>The relationship is one of trust</w:t>
      </w:r>
      <w:r w:rsidRPr="00DF5159">
        <w:rPr>
          <w:lang w:bidi="he-IL"/>
        </w:rPr>
        <w:t xml:space="preserve"> that Yahweh </w:t>
      </w:r>
      <w:r w:rsidR="00F01C22">
        <w:rPr>
          <w:lang w:bidi="he-IL"/>
        </w:rPr>
        <w:t xml:space="preserve">himself </w:t>
      </w:r>
      <w:r w:rsidRPr="00DF5159">
        <w:rPr>
          <w:lang w:bidi="he-IL"/>
        </w:rPr>
        <w:t>is faithful in the relationships and the c</w:t>
      </w:r>
      <w:r w:rsidR="00F01C22">
        <w:rPr>
          <w:lang w:bidi="he-IL"/>
        </w:rPr>
        <w:t>ommitments he enters into</w:t>
      </w:r>
      <w:r w:rsidRPr="00DF5159">
        <w:rPr>
          <w:lang w:bidi="he-IL"/>
        </w:rPr>
        <w:t>, a belief based on the pact he has made and h</w:t>
      </w:r>
      <w:r w:rsidR="00F01C22">
        <w:rPr>
          <w:lang w:bidi="he-IL"/>
        </w:rPr>
        <w:t>as given evidence of</w:t>
      </w:r>
      <w:r w:rsidRPr="00DF5159">
        <w:rPr>
          <w:lang w:bidi="he-IL"/>
        </w:rPr>
        <w:t>.</w:t>
      </w:r>
    </w:p>
    <w:p w14:paraId="0988DD96" w14:textId="77777777" w:rsidR="00CE6BA2" w:rsidRPr="00CE6BA2" w:rsidRDefault="00CE6BA2" w:rsidP="00CE6BA2">
      <w:pPr>
        <w:pStyle w:val="ListParagraph"/>
        <w:rPr>
          <w:lang w:bidi="he-IL"/>
        </w:rPr>
      </w:pPr>
    </w:p>
    <w:p w14:paraId="62A97E62" w14:textId="77777777" w:rsidR="00DF5159" w:rsidRDefault="00CE6BA2" w:rsidP="00CE6BA2">
      <w:pPr>
        <w:pStyle w:val="ListParagraph"/>
        <w:numPr>
          <w:ilvl w:val="0"/>
          <w:numId w:val="18"/>
        </w:numPr>
        <w:rPr>
          <w:lang w:bidi="he-IL"/>
        </w:rPr>
      </w:pPr>
      <w:r w:rsidRPr="00CE6BA2">
        <w:rPr>
          <w:lang w:bidi="he-IL"/>
        </w:rPr>
        <w:t>Yahweh</w:t>
      </w:r>
      <w:r w:rsidR="005C57C9">
        <w:rPr>
          <w:lang w:bidi="he-IL"/>
        </w:rPr>
        <w:t xml:space="preserve"> identifies himself and make</w:t>
      </w:r>
      <w:r w:rsidRPr="00CE6BA2">
        <w:rPr>
          <w:lang w:bidi="he-IL"/>
        </w:rPr>
        <w:t>s promise</w:t>
      </w:r>
      <w:r w:rsidR="005C57C9">
        <w:rPr>
          <w:lang w:bidi="he-IL"/>
        </w:rPr>
        <w:t>s</w:t>
      </w:r>
      <w:r w:rsidR="00041D11">
        <w:rPr>
          <w:lang w:bidi="he-IL"/>
        </w:rPr>
        <w:t xml:space="preserve"> </w:t>
      </w:r>
    </w:p>
    <w:p w14:paraId="1B626CF7" w14:textId="77777777" w:rsidR="00CE6BA2" w:rsidRPr="00CE6BA2" w:rsidRDefault="00DF5159" w:rsidP="00DF5159">
      <w:pPr>
        <w:pStyle w:val="ListParagraph"/>
        <w:ind w:left="1440" w:firstLine="0"/>
        <w:rPr>
          <w:lang w:bidi="he-IL"/>
        </w:rPr>
      </w:pPr>
      <w:r>
        <w:rPr>
          <w:lang w:bidi="he-IL"/>
        </w:rPr>
        <w:tab/>
      </w:r>
      <w:r w:rsidR="00041D11">
        <w:rPr>
          <w:lang w:bidi="he-IL"/>
        </w:rPr>
        <w:t>(</w:t>
      </w:r>
      <w:proofErr w:type="gramStart"/>
      <w:r w:rsidR="00041D11">
        <w:rPr>
          <w:lang w:bidi="he-IL"/>
        </w:rPr>
        <w:t>partly</w:t>
      </w:r>
      <w:proofErr w:type="gramEnd"/>
      <w:r w:rsidR="00041D11">
        <w:rPr>
          <w:lang w:bidi="he-IL"/>
        </w:rPr>
        <w:t xml:space="preserve"> in a poetic line)</w:t>
      </w:r>
    </w:p>
    <w:p w14:paraId="29FB00C5" w14:textId="77777777" w:rsidR="00CE6BA2" w:rsidRPr="00CE6BA2" w:rsidRDefault="00CE6BA2" w:rsidP="00CE6BA2">
      <w:pPr>
        <w:pStyle w:val="ListParagraph"/>
        <w:ind w:left="0" w:firstLine="720"/>
        <w:rPr>
          <w:lang w:bidi="he-IL"/>
        </w:rPr>
      </w:pPr>
      <w:r w:rsidRPr="00CE6BA2">
        <w:rPr>
          <w:lang w:bidi="he-IL"/>
        </w:rPr>
        <w:t>2-3</w:t>
      </w:r>
      <w:r w:rsidRPr="00CE6BA2">
        <w:rPr>
          <w:lang w:bidi="he-IL"/>
        </w:rPr>
        <w:tab/>
      </w:r>
      <w:r w:rsidR="00F33EBA">
        <w:rPr>
          <w:lang w:bidi="he-IL"/>
        </w:rPr>
        <w:t xml:space="preserve">Abraham responds with a </w:t>
      </w:r>
      <w:r w:rsidR="003D56BA">
        <w:rPr>
          <w:lang w:bidi="he-IL"/>
        </w:rPr>
        <w:t>“</w:t>
      </w:r>
      <w:r w:rsidR="00F33EBA">
        <w:rPr>
          <w:lang w:bidi="he-IL"/>
        </w:rPr>
        <w:t>but</w:t>
      </w:r>
      <w:r w:rsidR="003D56BA">
        <w:rPr>
          <w:lang w:bidi="he-IL"/>
        </w:rPr>
        <w:t>”</w:t>
      </w:r>
    </w:p>
    <w:p w14:paraId="1D595285" w14:textId="77777777" w:rsidR="00F33EBA" w:rsidRPr="00F33EBA" w:rsidRDefault="00F33EBA" w:rsidP="00F33EBA">
      <w:pPr>
        <w:pStyle w:val="ListParagraph"/>
        <w:ind w:left="0" w:firstLine="720"/>
        <w:rPr>
          <w:lang w:bidi="he-IL"/>
        </w:rPr>
      </w:pPr>
      <w:r>
        <w:rPr>
          <w:lang w:bidi="he-IL"/>
        </w:rPr>
        <w:t>4-5</w:t>
      </w:r>
      <w:r w:rsidR="005C57C9">
        <w:rPr>
          <w:lang w:bidi="he-IL"/>
        </w:rPr>
        <w:tab/>
        <w:t xml:space="preserve">Yahweh </w:t>
      </w:r>
      <w:r w:rsidR="005C57C9" w:rsidRPr="005C57C9">
        <w:rPr>
          <w:lang w:bidi="he-IL"/>
        </w:rPr>
        <w:t>makes</w:t>
      </w:r>
      <w:r w:rsidR="00CE6BA2" w:rsidRPr="00CE6BA2">
        <w:rPr>
          <w:lang w:bidi="he-IL"/>
        </w:rPr>
        <w:t xml:space="preserve"> promise</w:t>
      </w:r>
      <w:r w:rsidR="005C57C9">
        <w:rPr>
          <w:lang w:bidi="he-IL"/>
        </w:rPr>
        <w:t>s</w:t>
      </w:r>
      <w:r w:rsidR="00972108">
        <w:rPr>
          <w:lang w:bidi="he-IL"/>
        </w:rPr>
        <w:t xml:space="preserve"> </w:t>
      </w:r>
      <w:r>
        <w:rPr>
          <w:lang w:bidi="he-IL"/>
        </w:rPr>
        <w:t xml:space="preserve">and </w:t>
      </w:r>
      <w:r w:rsidR="00DF5159">
        <w:rPr>
          <w:lang w:bidi="he-IL"/>
        </w:rPr>
        <w:t>gives hi</w:t>
      </w:r>
      <w:r w:rsidRPr="00F33EBA">
        <w:rPr>
          <w:lang w:bidi="he-IL"/>
        </w:rPr>
        <w:t xml:space="preserve">m something </w:t>
      </w:r>
      <w:r w:rsidR="00DF5159">
        <w:rPr>
          <w:lang w:bidi="he-IL"/>
        </w:rPr>
        <w:t xml:space="preserve">extraordinary </w:t>
      </w:r>
      <w:r w:rsidRPr="00F33EBA">
        <w:rPr>
          <w:lang w:bidi="he-IL"/>
        </w:rPr>
        <w:t>to look at</w:t>
      </w:r>
    </w:p>
    <w:p w14:paraId="06BF80B3" w14:textId="77777777" w:rsidR="00CE6BA2" w:rsidRPr="00CE6BA2" w:rsidRDefault="00CE6BA2" w:rsidP="00CE6BA2">
      <w:pPr>
        <w:pStyle w:val="ListParagraph"/>
        <w:ind w:left="0" w:firstLine="720"/>
        <w:rPr>
          <w:lang w:bidi="he-IL"/>
        </w:rPr>
      </w:pPr>
      <w:r w:rsidRPr="00CE6BA2">
        <w:rPr>
          <w:lang w:bidi="he-IL"/>
        </w:rPr>
        <w:t xml:space="preserve">6 </w:t>
      </w:r>
      <w:r w:rsidR="008B7BD1">
        <w:rPr>
          <w:lang w:bidi="he-IL"/>
        </w:rPr>
        <w:tab/>
      </w:r>
      <w:r w:rsidR="00F33EBA">
        <w:rPr>
          <w:lang w:bidi="he-IL"/>
        </w:rPr>
        <w:t>The narrator reports</w:t>
      </w:r>
      <w:r w:rsidR="005946B3">
        <w:rPr>
          <w:lang w:bidi="he-IL"/>
        </w:rPr>
        <w:t xml:space="preserve"> </w:t>
      </w:r>
      <w:r w:rsidRPr="00CE6BA2">
        <w:rPr>
          <w:lang w:bidi="he-IL"/>
        </w:rPr>
        <w:t>Abraham’s trust</w:t>
      </w:r>
      <w:r w:rsidR="009E4D45">
        <w:rPr>
          <w:lang w:bidi="he-IL"/>
        </w:rPr>
        <w:t xml:space="preserve"> in Yahweh</w:t>
      </w:r>
    </w:p>
    <w:p w14:paraId="7BB91855" w14:textId="77777777" w:rsidR="00CE6BA2" w:rsidRPr="00CE6BA2" w:rsidRDefault="00CE6BA2" w:rsidP="00CE6BA2">
      <w:pPr>
        <w:pStyle w:val="ListParagraph"/>
        <w:ind w:left="0" w:firstLine="720"/>
        <w:rPr>
          <w:lang w:bidi="he-IL"/>
        </w:rPr>
      </w:pPr>
    </w:p>
    <w:p w14:paraId="06E775C2" w14:textId="77777777" w:rsidR="00CE6BA2" w:rsidRPr="00CE6BA2" w:rsidRDefault="005C57C9" w:rsidP="00CE6BA2">
      <w:pPr>
        <w:pStyle w:val="ListParagraph"/>
        <w:ind w:left="0" w:firstLine="720"/>
        <w:rPr>
          <w:lang w:bidi="he-IL"/>
        </w:rPr>
      </w:pPr>
      <w:r>
        <w:rPr>
          <w:lang w:bidi="he-IL"/>
        </w:rPr>
        <w:t>7</w:t>
      </w:r>
      <w:r>
        <w:rPr>
          <w:lang w:bidi="he-IL"/>
        </w:rPr>
        <w:tab/>
        <w:t xml:space="preserve">Yahweh </w:t>
      </w:r>
      <w:r w:rsidRPr="005C57C9">
        <w:rPr>
          <w:lang w:bidi="he-IL"/>
        </w:rPr>
        <w:t>identifies himself and</w:t>
      </w:r>
      <w:r>
        <w:rPr>
          <w:lang w:bidi="he-IL"/>
        </w:rPr>
        <w:t xml:space="preserve"> makes</w:t>
      </w:r>
      <w:r w:rsidR="00CE6BA2" w:rsidRPr="00CE6BA2">
        <w:rPr>
          <w:lang w:bidi="he-IL"/>
        </w:rPr>
        <w:t xml:space="preserve"> promise</w:t>
      </w:r>
      <w:r>
        <w:rPr>
          <w:lang w:bidi="he-IL"/>
        </w:rPr>
        <w:t>s</w:t>
      </w:r>
    </w:p>
    <w:p w14:paraId="789D5722" w14:textId="77777777" w:rsidR="00F33EBA" w:rsidRDefault="00CE6BA2" w:rsidP="00F33EBA">
      <w:pPr>
        <w:pStyle w:val="ListParagraph"/>
        <w:ind w:left="0" w:firstLine="720"/>
        <w:rPr>
          <w:lang w:bidi="he-IL"/>
        </w:rPr>
      </w:pPr>
      <w:r w:rsidRPr="00CE6BA2">
        <w:rPr>
          <w:lang w:bidi="he-IL"/>
        </w:rPr>
        <w:t>8</w:t>
      </w:r>
      <w:r w:rsidRPr="00CE6BA2">
        <w:rPr>
          <w:lang w:bidi="he-IL"/>
        </w:rPr>
        <w:tab/>
      </w:r>
      <w:r w:rsidR="00F33EBA">
        <w:rPr>
          <w:lang w:bidi="he-IL"/>
        </w:rPr>
        <w:t xml:space="preserve">Abraham responds with a </w:t>
      </w:r>
      <w:r w:rsidR="003D56BA">
        <w:rPr>
          <w:lang w:bidi="he-IL"/>
        </w:rPr>
        <w:t>“</w:t>
      </w:r>
      <w:r w:rsidR="00F33EBA">
        <w:rPr>
          <w:lang w:bidi="he-IL"/>
        </w:rPr>
        <w:t>but</w:t>
      </w:r>
      <w:r w:rsidR="003D56BA">
        <w:rPr>
          <w:lang w:bidi="he-IL"/>
        </w:rPr>
        <w:t>”</w:t>
      </w:r>
    </w:p>
    <w:p w14:paraId="4724B461" w14:textId="77777777" w:rsidR="00DF5159" w:rsidRDefault="00F33EBA" w:rsidP="00F33EBA">
      <w:pPr>
        <w:pStyle w:val="ListParagraph"/>
        <w:ind w:left="0" w:firstLine="720"/>
        <w:rPr>
          <w:lang w:bidi="he-IL"/>
        </w:rPr>
      </w:pPr>
      <w:r>
        <w:rPr>
          <w:lang w:bidi="he-IL"/>
        </w:rPr>
        <w:t>9-17</w:t>
      </w:r>
      <w:r>
        <w:rPr>
          <w:lang w:bidi="he-IL"/>
        </w:rPr>
        <w:tab/>
      </w:r>
      <w:r w:rsidR="00972108">
        <w:rPr>
          <w:lang w:bidi="he-IL"/>
        </w:rPr>
        <w:t>Yahweh makes</w:t>
      </w:r>
      <w:r w:rsidR="00CE6BA2" w:rsidRPr="00CE6BA2">
        <w:rPr>
          <w:lang w:bidi="he-IL"/>
        </w:rPr>
        <w:t xml:space="preserve"> promise</w:t>
      </w:r>
      <w:r w:rsidR="00972108">
        <w:rPr>
          <w:lang w:bidi="he-IL"/>
        </w:rPr>
        <w:t>s</w:t>
      </w:r>
      <w:r w:rsidR="00041D11">
        <w:rPr>
          <w:lang w:bidi="he-IL"/>
        </w:rPr>
        <w:t xml:space="preserve"> </w:t>
      </w:r>
      <w:r>
        <w:rPr>
          <w:lang w:bidi="he-IL"/>
        </w:rPr>
        <w:t xml:space="preserve">and </w:t>
      </w:r>
      <w:r w:rsidRPr="00F33EBA">
        <w:rPr>
          <w:lang w:bidi="he-IL"/>
        </w:rPr>
        <w:t xml:space="preserve">gives </w:t>
      </w:r>
      <w:r w:rsidR="009E4D45">
        <w:rPr>
          <w:lang w:bidi="he-IL"/>
        </w:rPr>
        <w:t>hi</w:t>
      </w:r>
      <w:r w:rsidRPr="00F33EBA">
        <w:rPr>
          <w:lang w:bidi="he-IL"/>
        </w:rPr>
        <w:t xml:space="preserve">m something </w:t>
      </w:r>
      <w:r w:rsidR="00DF5159">
        <w:rPr>
          <w:lang w:bidi="he-IL"/>
        </w:rPr>
        <w:t xml:space="preserve">extraordinary </w:t>
      </w:r>
      <w:r w:rsidRPr="00F33EBA">
        <w:rPr>
          <w:lang w:bidi="he-IL"/>
        </w:rPr>
        <w:t>to look at</w:t>
      </w:r>
      <w:r w:rsidR="00972108" w:rsidRPr="00972108">
        <w:rPr>
          <w:lang w:bidi="he-IL"/>
        </w:rPr>
        <w:t xml:space="preserve"> </w:t>
      </w:r>
    </w:p>
    <w:p w14:paraId="6628BEFC" w14:textId="77777777" w:rsidR="00CE6BA2" w:rsidRDefault="00DF5159" w:rsidP="00DF5159">
      <w:pPr>
        <w:pStyle w:val="ListParagraph"/>
        <w:ind w:left="0" w:firstLine="720"/>
        <w:rPr>
          <w:lang w:bidi="he-IL"/>
        </w:rPr>
      </w:pPr>
      <w:r>
        <w:rPr>
          <w:lang w:bidi="he-IL"/>
        </w:rPr>
        <w:tab/>
      </w:r>
      <w:r>
        <w:rPr>
          <w:lang w:bidi="he-IL"/>
        </w:rPr>
        <w:tab/>
      </w:r>
      <w:r w:rsidR="00041D11">
        <w:rPr>
          <w:lang w:bidi="he-IL"/>
        </w:rPr>
        <w:t>(</w:t>
      </w:r>
      <w:proofErr w:type="gramStart"/>
      <w:r w:rsidR="00041D11">
        <w:rPr>
          <w:lang w:bidi="he-IL"/>
        </w:rPr>
        <w:t>partly</w:t>
      </w:r>
      <w:proofErr w:type="gramEnd"/>
      <w:r w:rsidR="00041D11">
        <w:rPr>
          <w:lang w:bidi="he-IL"/>
        </w:rPr>
        <w:t xml:space="preserve"> in two poetic lines)</w:t>
      </w:r>
    </w:p>
    <w:p w14:paraId="4433A9E8" w14:textId="77777777" w:rsidR="00F33EBA" w:rsidRDefault="00F33EBA" w:rsidP="00F33EBA">
      <w:pPr>
        <w:pStyle w:val="ListParagraph"/>
        <w:ind w:left="1440" w:hanging="720"/>
        <w:rPr>
          <w:lang w:bidi="he-IL"/>
        </w:rPr>
      </w:pPr>
      <w:r>
        <w:rPr>
          <w:lang w:bidi="he-IL"/>
        </w:rPr>
        <w:t>18-21</w:t>
      </w:r>
      <w:r>
        <w:rPr>
          <w:lang w:bidi="he-IL"/>
        </w:rPr>
        <w:tab/>
      </w:r>
      <w:proofErr w:type="gramStart"/>
      <w:r w:rsidR="009E4D45">
        <w:rPr>
          <w:lang w:bidi="he-IL"/>
        </w:rPr>
        <w:t>The</w:t>
      </w:r>
      <w:proofErr w:type="gramEnd"/>
      <w:r w:rsidR="009E4D45">
        <w:rPr>
          <w:lang w:bidi="he-IL"/>
        </w:rPr>
        <w:t xml:space="preserve"> narrator repo</w:t>
      </w:r>
      <w:r w:rsidR="00F01C22">
        <w:rPr>
          <w:lang w:bidi="he-IL"/>
        </w:rPr>
        <w:t>rts Yahweh’s making of a pact with</w:t>
      </w:r>
      <w:r w:rsidR="009E4D45">
        <w:rPr>
          <w:lang w:bidi="he-IL"/>
        </w:rPr>
        <w:t xml:space="preserve"> Abraham</w:t>
      </w:r>
    </w:p>
    <w:p w14:paraId="0D09F364" w14:textId="77777777" w:rsidR="008B7BD1" w:rsidRDefault="008B7BD1" w:rsidP="00CE6BA2">
      <w:pPr>
        <w:pStyle w:val="ListParagraph"/>
        <w:ind w:left="0" w:firstLine="720"/>
        <w:rPr>
          <w:lang w:bidi="he-IL"/>
        </w:rPr>
      </w:pPr>
    </w:p>
    <w:p w14:paraId="51CAE917" w14:textId="77777777" w:rsidR="008B7BD1" w:rsidRPr="00CE6BA2" w:rsidRDefault="001F67ED" w:rsidP="008B7BD1">
      <w:pPr>
        <w:pStyle w:val="ListParagraph"/>
        <w:ind w:left="0" w:firstLine="0"/>
        <w:rPr>
          <w:lang w:bidi="he-IL"/>
        </w:rPr>
      </w:pPr>
      <w:r>
        <w:rPr>
          <w:lang w:bidi="he-IL"/>
        </w:rPr>
        <w:t>There is not so much action in this story; t</w:t>
      </w:r>
      <w:r w:rsidR="00DC3EF9">
        <w:rPr>
          <w:lang w:bidi="he-IL"/>
        </w:rPr>
        <w:t>he chap</w:t>
      </w:r>
      <w:r>
        <w:rPr>
          <w:lang w:bidi="he-IL"/>
        </w:rPr>
        <w:t>ter i</w:t>
      </w:r>
      <w:r w:rsidR="008828FB">
        <w:rPr>
          <w:lang w:bidi="he-IL"/>
        </w:rPr>
        <w:t>s closer to being simply a dialogue</w:t>
      </w:r>
      <w:r w:rsidR="00DC3EF9">
        <w:rPr>
          <w:lang w:bidi="he-IL"/>
        </w:rPr>
        <w:t>.</w:t>
      </w:r>
      <w:r w:rsidR="008828FB">
        <w:rPr>
          <w:rStyle w:val="FootnoteReference"/>
          <w:lang w:bidi="he-IL"/>
        </w:rPr>
        <w:footnoteReference w:id="201"/>
      </w:r>
      <w:r w:rsidR="00DC3EF9">
        <w:rPr>
          <w:lang w:bidi="he-IL"/>
        </w:rPr>
        <w:t xml:space="preserve"> </w:t>
      </w:r>
      <w:r w:rsidR="00341B2B">
        <w:rPr>
          <w:lang w:bidi="he-IL"/>
        </w:rPr>
        <w:t>The questioning in v. 8 which might seem strange after v. 6, the self-announcement by Yahweh in v. 7 despite his having presented himself in v. 2, and the impression in vv. 12-17 that evening is falling whereas it was already dark in v. 5,</w:t>
      </w:r>
      <w:r w:rsidR="00341B2B">
        <w:rPr>
          <w:rStyle w:val="FootnoteReference"/>
          <w:lang w:bidi="he-IL"/>
        </w:rPr>
        <w:footnoteReference w:id="202"/>
      </w:r>
      <w:r w:rsidR="00341B2B">
        <w:rPr>
          <w:lang w:bidi="he-IL"/>
        </w:rPr>
        <w:t xml:space="preserve"> reflect t</w:t>
      </w:r>
      <w:r w:rsidR="008B7BD1">
        <w:rPr>
          <w:lang w:bidi="he-IL"/>
        </w:rPr>
        <w:t>he</w:t>
      </w:r>
      <w:r w:rsidR="00F01C22">
        <w:rPr>
          <w:lang w:bidi="he-IL"/>
        </w:rPr>
        <w:t xml:space="preserve"> rhetorical</w:t>
      </w:r>
      <w:r w:rsidR="00341B2B">
        <w:rPr>
          <w:lang w:bidi="he-IL"/>
        </w:rPr>
        <w:t xml:space="preserve"> rather than linear unfolding of the</w:t>
      </w:r>
      <w:r w:rsidR="008B7BD1">
        <w:rPr>
          <w:lang w:bidi="he-IL"/>
        </w:rPr>
        <w:t xml:space="preserve"> </w:t>
      </w:r>
      <w:r w:rsidR="00F01C22">
        <w:rPr>
          <w:lang w:bidi="he-IL"/>
        </w:rPr>
        <w:t>chapter</w:t>
      </w:r>
      <w:r w:rsidR="00341B2B">
        <w:rPr>
          <w:lang w:bidi="he-IL"/>
        </w:rPr>
        <w:t>.</w:t>
      </w:r>
      <w:r w:rsidR="00F01C22">
        <w:rPr>
          <w:lang w:bidi="he-IL"/>
        </w:rPr>
        <w:t xml:space="preserve"> The chapter looks at the same question twice and comprises two complementary reflections on it.</w:t>
      </w:r>
      <w:r w:rsidR="00F42EA5">
        <w:rPr>
          <w:rStyle w:val="FootnoteReference"/>
          <w:lang w:bidi="he-IL"/>
        </w:rPr>
        <w:footnoteReference w:id="203"/>
      </w:r>
    </w:p>
    <w:p w14:paraId="705D062C" w14:textId="0276B19C" w:rsidR="004F472B" w:rsidRPr="00D130C4" w:rsidRDefault="004F472B" w:rsidP="004F472B">
      <w:pPr>
        <w:rPr>
          <w:lang w:bidi="he-IL"/>
        </w:rPr>
      </w:pPr>
      <w:r>
        <w:rPr>
          <w:b/>
          <w:lang w:bidi="he-IL"/>
        </w:rPr>
        <w:t xml:space="preserve">15:1-2. </w:t>
      </w:r>
      <w:proofErr w:type="gramStart"/>
      <w:r>
        <w:rPr>
          <w:lang w:bidi="he-IL"/>
        </w:rPr>
        <w:t>The</w:t>
      </w:r>
      <w:proofErr w:type="gramEnd"/>
      <w:r>
        <w:rPr>
          <w:lang w:bidi="he-IL"/>
        </w:rPr>
        <w:t xml:space="preserve"> opening words (lite</w:t>
      </w:r>
      <w:r w:rsidR="0086351F">
        <w:rPr>
          <w:lang w:bidi="he-IL"/>
        </w:rPr>
        <w:t xml:space="preserve">rally, </w:t>
      </w:r>
      <w:r w:rsidR="003D56BA">
        <w:rPr>
          <w:lang w:bidi="he-IL"/>
        </w:rPr>
        <w:t>“</w:t>
      </w:r>
      <w:r w:rsidR="0086351F">
        <w:rPr>
          <w:lang w:bidi="he-IL"/>
        </w:rPr>
        <w:t>after these things</w:t>
      </w:r>
      <w:r w:rsidR="003D56BA">
        <w:rPr>
          <w:lang w:bidi="he-IL"/>
        </w:rPr>
        <w:t>”</w:t>
      </w:r>
      <w:r w:rsidR="0086351F">
        <w:rPr>
          <w:lang w:bidi="he-IL"/>
        </w:rPr>
        <w:t>) do not usually imply any</w:t>
      </w:r>
      <w:r>
        <w:rPr>
          <w:lang w:bidi="he-IL"/>
        </w:rPr>
        <w:t xml:space="preserve"> </w:t>
      </w:r>
      <w:r w:rsidR="0086351F">
        <w:rPr>
          <w:lang w:bidi="he-IL"/>
        </w:rPr>
        <w:t xml:space="preserve">logical </w:t>
      </w:r>
      <w:r>
        <w:rPr>
          <w:lang w:bidi="he-IL"/>
        </w:rPr>
        <w:t>connection between two events (</w:t>
      </w:r>
      <w:r w:rsidR="0086351F">
        <w:rPr>
          <w:lang w:bidi="he-IL"/>
        </w:rPr>
        <w:t xml:space="preserve">e.g., 40:1) though they can invite the audience to wonder whether there is a connection (e.g., 22:1). Here a link will soon become clear. </w:t>
      </w:r>
      <w:r w:rsidR="00551DE4">
        <w:rPr>
          <w:lang w:bidi="he-IL"/>
        </w:rPr>
        <w:t xml:space="preserve">Gen 13:5-18 related how a defining or crossroads moment </w:t>
      </w:r>
      <w:r w:rsidR="001E6321">
        <w:rPr>
          <w:lang w:bidi="he-IL"/>
        </w:rPr>
        <w:t xml:space="preserve">in Abraham’s story </w:t>
      </w:r>
      <w:r w:rsidR="00551DE4">
        <w:rPr>
          <w:lang w:bidi="he-IL"/>
        </w:rPr>
        <w:t>led into</w:t>
      </w:r>
      <w:r w:rsidR="00303072">
        <w:rPr>
          <w:lang w:bidi="he-IL"/>
        </w:rPr>
        <w:t xml:space="preserve"> a promise from Yahweh. T</w:t>
      </w:r>
      <w:r w:rsidR="001E6321">
        <w:rPr>
          <w:lang w:bidi="he-IL"/>
        </w:rPr>
        <w:t>hat</w:t>
      </w:r>
      <w:r w:rsidR="00551DE4">
        <w:rPr>
          <w:lang w:bidi="he-IL"/>
        </w:rPr>
        <w:t xml:space="preserve"> sequence </w:t>
      </w:r>
      <w:r w:rsidR="00303072">
        <w:rPr>
          <w:lang w:bidi="he-IL"/>
        </w:rPr>
        <w:t xml:space="preserve">now </w:t>
      </w:r>
      <w:r w:rsidR="00551DE4">
        <w:rPr>
          <w:lang w:bidi="he-IL"/>
        </w:rPr>
        <w:t>recurs. The sequence also overlaps with 12:</w:t>
      </w:r>
      <w:r w:rsidR="00472A97">
        <w:rPr>
          <w:lang w:bidi="he-IL"/>
        </w:rPr>
        <w:t>1-8, where a w</w:t>
      </w:r>
      <w:r w:rsidR="001E6321">
        <w:rPr>
          <w:lang w:bidi="he-IL"/>
        </w:rPr>
        <w:t>ord from Yahweh set the series</w:t>
      </w:r>
      <w:r w:rsidR="00472A97">
        <w:rPr>
          <w:lang w:bidi="he-IL"/>
        </w:rPr>
        <w:t xml:space="preserve"> of events going, Abraham went on the challenging journey that Yahweh commissioned, and then Yahweh appeared to him; it contrasts with </w:t>
      </w:r>
      <w:r w:rsidR="001E6321">
        <w:rPr>
          <w:lang w:bidi="he-IL"/>
        </w:rPr>
        <w:t>the sequence that followed in 12:9—13:4, where there wa</w:t>
      </w:r>
      <w:r w:rsidR="00472A97">
        <w:rPr>
          <w:lang w:bidi="he-IL"/>
        </w:rPr>
        <w:t xml:space="preserve">s another defining moment and a decisive response by Abraham, and a divine response </w:t>
      </w:r>
      <w:r w:rsidR="001E6321">
        <w:rPr>
          <w:lang w:bidi="he-IL"/>
        </w:rPr>
        <w:t xml:space="preserve">that came </w:t>
      </w:r>
      <w:r w:rsidR="00472A97">
        <w:rPr>
          <w:lang w:bidi="he-IL"/>
        </w:rPr>
        <w:t xml:space="preserve">in actions rather than </w:t>
      </w:r>
      <w:r w:rsidR="001E6321">
        <w:rPr>
          <w:lang w:bidi="he-IL"/>
        </w:rPr>
        <w:t xml:space="preserve">in </w:t>
      </w:r>
      <w:r w:rsidR="00472A97">
        <w:rPr>
          <w:lang w:bidi="he-IL"/>
        </w:rPr>
        <w:t xml:space="preserve">words or visions. The word for vision </w:t>
      </w:r>
      <w:r w:rsidR="001E6321">
        <w:rPr>
          <w:lang w:bidi="he-IL"/>
        </w:rPr>
        <w:t xml:space="preserve">here </w:t>
      </w:r>
      <w:r w:rsidR="00472A97">
        <w:rPr>
          <w:lang w:bidi="he-IL"/>
        </w:rPr>
        <w:t>(</w:t>
      </w:r>
      <w:r w:rsidR="00472A97">
        <w:rPr>
          <w:i/>
          <w:lang w:bidi="he-IL"/>
        </w:rPr>
        <w:t>maḥăzeh</w:t>
      </w:r>
      <w:r w:rsidR="001E6321">
        <w:rPr>
          <w:lang w:bidi="he-IL"/>
        </w:rPr>
        <w:t>)</w:t>
      </w:r>
      <w:r w:rsidR="00D130C4">
        <w:rPr>
          <w:lang w:bidi="he-IL"/>
        </w:rPr>
        <w:t xml:space="preserve"> otherwise appears in the Torah only</w:t>
      </w:r>
      <w:r w:rsidR="00472A97">
        <w:rPr>
          <w:lang w:bidi="he-IL"/>
        </w:rPr>
        <w:t xml:space="preserve"> in Num 24:4, 1</w:t>
      </w:r>
      <w:r w:rsidR="00AC0AFE">
        <w:rPr>
          <w:lang w:bidi="he-IL"/>
        </w:rPr>
        <w:t>6, at the other end of the story in</w:t>
      </w:r>
      <w:r w:rsidR="001E6321">
        <w:rPr>
          <w:lang w:bidi="he-IL"/>
        </w:rPr>
        <w:t xml:space="preserve"> Genesis to Numbers</w:t>
      </w:r>
      <w:r w:rsidR="00472A97">
        <w:rPr>
          <w:lang w:bidi="he-IL"/>
        </w:rPr>
        <w:t xml:space="preserve">, </w:t>
      </w:r>
      <w:r w:rsidR="001E6321">
        <w:rPr>
          <w:lang w:bidi="he-IL"/>
        </w:rPr>
        <w:t xml:space="preserve">when Yahweh renews the promise of blessing for Israel </w:t>
      </w:r>
      <w:r w:rsidR="00472A97">
        <w:rPr>
          <w:lang w:bidi="he-IL"/>
        </w:rPr>
        <w:t>at the end of its wilderness journey</w:t>
      </w:r>
      <w:r w:rsidR="00D130C4">
        <w:rPr>
          <w:lang w:bidi="he-IL"/>
        </w:rPr>
        <w:t xml:space="preserve"> (Ezek 13:7 is its sole other occurrence</w:t>
      </w:r>
      <w:r w:rsidR="001E6321">
        <w:rPr>
          <w:lang w:bidi="he-IL"/>
        </w:rPr>
        <w:t xml:space="preserve"> in the First Testament</w:t>
      </w:r>
      <w:r w:rsidR="00472A97">
        <w:rPr>
          <w:lang w:bidi="he-IL"/>
        </w:rPr>
        <w:t>)</w:t>
      </w:r>
      <w:r w:rsidR="00D130C4">
        <w:rPr>
          <w:lang w:bidi="he-IL"/>
        </w:rPr>
        <w:t xml:space="preserve">. </w:t>
      </w:r>
      <w:r w:rsidR="001E6321">
        <w:rPr>
          <w:lang w:bidi="he-IL"/>
        </w:rPr>
        <w:t xml:space="preserve">While </w:t>
      </w:r>
      <w:r w:rsidR="00D130C4">
        <w:rPr>
          <w:lang w:bidi="he-IL"/>
        </w:rPr>
        <w:t>Genesis makes</w:t>
      </w:r>
      <w:r w:rsidR="00A64BE6">
        <w:rPr>
          <w:lang w:bidi="he-IL"/>
        </w:rPr>
        <w:t xml:space="preserve"> other references to Yahweh </w:t>
      </w:r>
      <w:r w:rsidR="003D56BA">
        <w:rPr>
          <w:lang w:bidi="he-IL"/>
        </w:rPr>
        <w:t>“</w:t>
      </w:r>
      <w:r w:rsidR="00A64BE6">
        <w:rPr>
          <w:lang w:bidi="he-IL"/>
        </w:rPr>
        <w:t>appearing</w:t>
      </w:r>
      <w:r w:rsidR="003D56BA">
        <w:rPr>
          <w:lang w:bidi="he-IL"/>
        </w:rPr>
        <w:t>”</w:t>
      </w:r>
      <w:r w:rsidR="00A64BE6">
        <w:rPr>
          <w:lang w:bidi="he-IL"/>
        </w:rPr>
        <w:t xml:space="preserve"> (</w:t>
      </w:r>
      <w:r w:rsidR="00A64BE6">
        <w:rPr>
          <w:i/>
          <w:lang w:bidi="he-IL"/>
        </w:rPr>
        <w:t>rā’āh</w:t>
      </w:r>
      <w:r w:rsidR="00713377">
        <w:rPr>
          <w:lang w:bidi="he-IL"/>
        </w:rPr>
        <w:t xml:space="preserve"> niphal; e.g., 17:1; 18:1),</w:t>
      </w:r>
      <w:r w:rsidR="00A64BE6" w:rsidRPr="00A64BE6">
        <w:rPr>
          <w:lang w:bidi="he-IL"/>
        </w:rPr>
        <w:t xml:space="preserve"> </w:t>
      </w:r>
      <w:r w:rsidR="00713377">
        <w:rPr>
          <w:lang w:bidi="he-IL"/>
        </w:rPr>
        <w:t xml:space="preserve">the Torah does not use the verb </w:t>
      </w:r>
      <w:r w:rsidR="00713377" w:rsidRPr="00713377">
        <w:rPr>
          <w:i/>
          <w:lang w:bidi="he-IL"/>
        </w:rPr>
        <w:t>ḥāzāh</w:t>
      </w:r>
      <w:r w:rsidR="00713377">
        <w:rPr>
          <w:lang w:bidi="he-IL"/>
        </w:rPr>
        <w:t xml:space="preserve">, and </w:t>
      </w:r>
      <w:r w:rsidR="001F14E9">
        <w:rPr>
          <w:lang w:bidi="he-IL"/>
        </w:rPr>
        <w:t xml:space="preserve">in Hebrew as in English, </w:t>
      </w:r>
      <w:r w:rsidR="00A64BE6">
        <w:rPr>
          <w:lang w:bidi="he-IL"/>
        </w:rPr>
        <w:t>word</w:t>
      </w:r>
      <w:r w:rsidR="00713377">
        <w:rPr>
          <w:lang w:bidi="he-IL"/>
        </w:rPr>
        <w:t xml:space="preserve">s for </w:t>
      </w:r>
      <w:r w:rsidR="003D56BA">
        <w:rPr>
          <w:lang w:bidi="he-IL"/>
        </w:rPr>
        <w:t>“</w:t>
      </w:r>
      <w:r w:rsidR="00713377">
        <w:rPr>
          <w:lang w:bidi="he-IL"/>
        </w:rPr>
        <w:t>vision</w:t>
      </w:r>
      <w:r w:rsidR="003D56BA">
        <w:rPr>
          <w:lang w:bidi="he-IL"/>
        </w:rPr>
        <w:t>”</w:t>
      </w:r>
      <w:r w:rsidR="00713377">
        <w:rPr>
          <w:lang w:bidi="he-IL"/>
        </w:rPr>
        <w:t xml:space="preserve"> hint</w:t>
      </w:r>
      <w:r w:rsidR="00A64BE6">
        <w:rPr>
          <w:lang w:bidi="he-IL"/>
        </w:rPr>
        <w:t xml:space="preserve"> at something mo</w:t>
      </w:r>
      <w:r w:rsidR="001F14E9">
        <w:rPr>
          <w:lang w:bidi="he-IL"/>
        </w:rPr>
        <w:t xml:space="preserve">re out-of-the-ordinary than </w:t>
      </w:r>
      <w:r w:rsidR="00A64BE6">
        <w:rPr>
          <w:lang w:bidi="he-IL"/>
        </w:rPr>
        <w:t>word</w:t>
      </w:r>
      <w:r w:rsidR="00713377">
        <w:rPr>
          <w:lang w:bidi="he-IL"/>
        </w:rPr>
        <w:t>s</w:t>
      </w:r>
      <w:r w:rsidR="00A64BE6">
        <w:rPr>
          <w:lang w:bidi="he-IL"/>
        </w:rPr>
        <w:t xml:space="preserve"> for </w:t>
      </w:r>
      <w:r w:rsidR="003D56BA">
        <w:rPr>
          <w:lang w:bidi="he-IL"/>
        </w:rPr>
        <w:t>“</w:t>
      </w:r>
      <w:r w:rsidR="00A64BE6">
        <w:rPr>
          <w:lang w:bidi="he-IL"/>
        </w:rPr>
        <w:t>appear</w:t>
      </w:r>
      <w:r w:rsidR="00713377">
        <w:rPr>
          <w:lang w:bidi="he-IL"/>
        </w:rPr>
        <w:t>ing</w:t>
      </w:r>
      <w:r w:rsidR="003D56BA">
        <w:rPr>
          <w:lang w:bidi="he-IL"/>
        </w:rPr>
        <w:t>”</w:t>
      </w:r>
      <w:r w:rsidR="00A64BE6">
        <w:rPr>
          <w:lang w:bidi="he-IL"/>
        </w:rPr>
        <w:t xml:space="preserve"> (that is, while </w:t>
      </w:r>
      <w:r w:rsidR="00A64BE6">
        <w:rPr>
          <w:i/>
          <w:lang w:bidi="he-IL"/>
        </w:rPr>
        <w:t>ḥāzāh</w:t>
      </w:r>
      <w:r w:rsidR="00A64BE6">
        <w:rPr>
          <w:lang w:bidi="he-IL"/>
        </w:rPr>
        <w:t xml:space="preserve"> can be used for ordinary seeing,</w:t>
      </w:r>
      <w:r w:rsidR="00727890">
        <w:rPr>
          <w:lang w:bidi="he-IL"/>
        </w:rPr>
        <w:t xml:space="preserve"> </w:t>
      </w:r>
      <w:r w:rsidR="00A64BE6">
        <w:rPr>
          <w:i/>
          <w:lang w:bidi="he-IL"/>
        </w:rPr>
        <w:t xml:space="preserve">rā’āh </w:t>
      </w:r>
      <w:r w:rsidR="00A64BE6">
        <w:rPr>
          <w:lang w:bidi="he-IL"/>
        </w:rPr>
        <w:t>is the more usual wor</w:t>
      </w:r>
      <w:r w:rsidR="00D130C4">
        <w:rPr>
          <w:lang w:bidi="he-IL"/>
        </w:rPr>
        <w:t>d in that</w:t>
      </w:r>
      <w:r w:rsidR="00A64BE6">
        <w:rPr>
          <w:lang w:bidi="he-IL"/>
        </w:rPr>
        <w:t xml:space="preserve"> connection). And something out-of-the-ordinary is indeed to follow.</w:t>
      </w:r>
      <w:r w:rsidR="00713377">
        <w:rPr>
          <w:lang w:bidi="he-IL"/>
        </w:rPr>
        <w:t xml:space="preserve"> </w:t>
      </w:r>
      <w:r w:rsidR="004D75B2">
        <w:rPr>
          <w:lang w:bidi="he-IL"/>
        </w:rPr>
        <w:t xml:space="preserve">On the other hand, a </w:t>
      </w:r>
      <w:r w:rsidR="003D56BA">
        <w:rPr>
          <w:lang w:bidi="he-IL"/>
        </w:rPr>
        <w:t>“</w:t>
      </w:r>
      <w:r w:rsidR="004D75B2">
        <w:rPr>
          <w:lang w:bidi="he-IL"/>
        </w:rPr>
        <w:t>vision</w:t>
      </w:r>
      <w:r w:rsidR="003D56BA">
        <w:rPr>
          <w:lang w:bidi="he-IL"/>
        </w:rPr>
        <w:t>”</w:t>
      </w:r>
      <w:r w:rsidR="004D75B2">
        <w:rPr>
          <w:lang w:bidi="he-IL"/>
        </w:rPr>
        <w:t xml:space="preserve"> may suggest something inside Abraham’s head (though real), whereas </w:t>
      </w:r>
      <w:r w:rsidR="003D56BA">
        <w:rPr>
          <w:lang w:bidi="he-IL"/>
        </w:rPr>
        <w:t>“</w:t>
      </w:r>
      <w:r w:rsidR="004D75B2">
        <w:rPr>
          <w:lang w:bidi="he-IL"/>
        </w:rPr>
        <w:t>appearing</w:t>
      </w:r>
      <w:r w:rsidR="003D56BA">
        <w:rPr>
          <w:lang w:bidi="he-IL"/>
        </w:rPr>
        <w:t>”</w:t>
      </w:r>
      <w:r w:rsidR="004D75B2">
        <w:rPr>
          <w:lang w:bidi="he-IL"/>
        </w:rPr>
        <w:t xml:space="preserve"> may suggest something externalized (cf. 18:1). </w:t>
      </w:r>
      <w:r w:rsidR="00713377">
        <w:rPr>
          <w:lang w:bidi="he-IL"/>
        </w:rPr>
        <w:t>I</w:t>
      </w:r>
      <w:r w:rsidR="00D130C4">
        <w:rPr>
          <w:lang w:bidi="he-IL"/>
        </w:rPr>
        <w:t>n general</w:t>
      </w:r>
      <w:r w:rsidR="00713377">
        <w:rPr>
          <w:lang w:bidi="he-IL"/>
        </w:rPr>
        <w:t>,</w:t>
      </w:r>
      <w:r w:rsidR="00AC0AFE">
        <w:rPr>
          <w:lang w:bidi="he-IL"/>
        </w:rPr>
        <w:t xml:space="preserve"> </w:t>
      </w:r>
      <w:r w:rsidR="00D130C4">
        <w:rPr>
          <w:lang w:bidi="he-IL"/>
        </w:rPr>
        <w:t xml:space="preserve">talk of visions and </w:t>
      </w:r>
      <w:r w:rsidR="00713377">
        <w:rPr>
          <w:lang w:bidi="he-IL"/>
        </w:rPr>
        <w:t>o</w:t>
      </w:r>
      <w:r w:rsidR="00AC0AFE">
        <w:rPr>
          <w:lang w:bidi="he-IL"/>
        </w:rPr>
        <w:t>f that other kind of appearing/</w:t>
      </w:r>
      <w:r w:rsidR="00D130C4">
        <w:rPr>
          <w:lang w:bidi="he-IL"/>
        </w:rPr>
        <w:t>seeing fits what prophets speak of,</w:t>
      </w:r>
      <w:r w:rsidR="00DC4661">
        <w:rPr>
          <w:lang w:bidi="he-IL"/>
        </w:rPr>
        <w:t xml:space="preserve"> which coheres with the fact that </w:t>
      </w:r>
      <w:r w:rsidR="00713377">
        <w:rPr>
          <w:lang w:bidi="he-IL"/>
        </w:rPr>
        <w:t xml:space="preserve">here </w:t>
      </w:r>
      <w:r w:rsidR="00DC4661">
        <w:rPr>
          <w:lang w:bidi="he-IL"/>
        </w:rPr>
        <w:t xml:space="preserve">there is a </w:t>
      </w:r>
      <w:r w:rsidR="003D56BA">
        <w:rPr>
          <w:lang w:bidi="he-IL"/>
        </w:rPr>
        <w:t>“</w:t>
      </w:r>
      <w:r w:rsidR="00DC4661">
        <w:rPr>
          <w:lang w:bidi="he-IL"/>
        </w:rPr>
        <w:t>word</w:t>
      </w:r>
      <w:r w:rsidR="003D56BA">
        <w:rPr>
          <w:lang w:bidi="he-IL"/>
        </w:rPr>
        <w:t>”</w:t>
      </w:r>
      <w:r w:rsidR="00227113">
        <w:rPr>
          <w:lang w:bidi="he-IL"/>
        </w:rPr>
        <w:t xml:space="preserve"> </w:t>
      </w:r>
      <w:r w:rsidR="00DC4661">
        <w:rPr>
          <w:lang w:bidi="he-IL"/>
        </w:rPr>
        <w:t>to follow</w:t>
      </w:r>
      <w:r w:rsidR="00713377">
        <w:rPr>
          <w:lang w:bidi="he-IL"/>
        </w:rPr>
        <w:t xml:space="preserve">, and then something to see—something amazing but </w:t>
      </w:r>
      <w:r w:rsidR="003D56BA">
        <w:rPr>
          <w:lang w:bidi="he-IL"/>
        </w:rPr>
        <w:t>“</w:t>
      </w:r>
      <w:r w:rsidR="00713377">
        <w:rPr>
          <w:lang w:bidi="he-IL"/>
        </w:rPr>
        <w:t>natural</w:t>
      </w:r>
      <w:r w:rsidR="003D56BA">
        <w:rPr>
          <w:lang w:bidi="he-IL"/>
        </w:rPr>
        <w:t>”</w:t>
      </w:r>
      <w:r w:rsidR="00713377">
        <w:rPr>
          <w:lang w:bidi="he-IL"/>
        </w:rPr>
        <w:t xml:space="preserve"> in v. 5 and something extraordinary and fantastic in </w:t>
      </w:r>
      <w:r w:rsidR="00C16208">
        <w:rPr>
          <w:lang w:bidi="he-IL"/>
        </w:rPr>
        <w:t>vv. 9-17</w:t>
      </w:r>
      <w:r w:rsidR="00DC4661">
        <w:rPr>
          <w:lang w:bidi="he-IL"/>
        </w:rPr>
        <w:t xml:space="preserve">. </w:t>
      </w:r>
      <w:r w:rsidR="00C16208">
        <w:rPr>
          <w:lang w:bidi="he-IL"/>
        </w:rPr>
        <w:t>Further, e</w:t>
      </w:r>
      <w:r w:rsidR="00227113">
        <w:rPr>
          <w:lang w:bidi="he-IL"/>
        </w:rPr>
        <w:t>lsewhere t</w:t>
      </w:r>
      <w:r w:rsidR="005D4CE2">
        <w:rPr>
          <w:lang w:bidi="he-IL"/>
        </w:rPr>
        <w:t xml:space="preserve">he expression </w:t>
      </w:r>
      <w:r w:rsidR="003D56BA">
        <w:rPr>
          <w:lang w:bidi="he-IL"/>
        </w:rPr>
        <w:t>“</w:t>
      </w:r>
      <w:r w:rsidR="005D4CE2">
        <w:rPr>
          <w:lang w:bidi="he-IL"/>
        </w:rPr>
        <w:t xml:space="preserve">Yahweh’s word </w:t>
      </w:r>
      <w:r w:rsidR="005D4CE2">
        <w:rPr>
          <w:lang w:bidi="he-IL"/>
        </w:rPr>
        <w:lastRenderedPageBreak/>
        <w:t>came to…</w:t>
      </w:r>
      <w:r w:rsidR="003D56BA">
        <w:rPr>
          <w:lang w:bidi="he-IL"/>
        </w:rPr>
        <w:t>”</w:t>
      </w:r>
      <w:r w:rsidR="00227113">
        <w:rPr>
          <w:lang w:bidi="he-IL"/>
        </w:rPr>
        <w:t xml:space="preserve"> introduces</w:t>
      </w:r>
      <w:r w:rsidR="00502EEC">
        <w:rPr>
          <w:lang w:bidi="he-IL"/>
        </w:rPr>
        <w:t xml:space="preserve"> Yahweh’s words to a prophet (e.g., 1 Sam 15:10; 1 Kings 17:2; Jer 1:4; Ezek 1:2)</w:t>
      </w:r>
      <w:r w:rsidR="00227113">
        <w:rPr>
          <w:lang w:bidi="he-IL"/>
        </w:rPr>
        <w:t>, so that it provides a neat anticipation of the later description of Abraham as a prophet (20:7).</w:t>
      </w:r>
      <w:r w:rsidR="00227113">
        <w:rPr>
          <w:rStyle w:val="FootnoteReference"/>
          <w:lang w:bidi="he-IL"/>
        </w:rPr>
        <w:footnoteReference w:id="204"/>
      </w:r>
      <w:r w:rsidR="00227113">
        <w:rPr>
          <w:lang w:bidi="he-IL"/>
        </w:rPr>
        <w:t xml:space="preserve"> </w:t>
      </w:r>
      <w:r w:rsidR="00782AE1">
        <w:rPr>
          <w:lang w:bidi="he-IL"/>
        </w:rPr>
        <w:t xml:space="preserve">One way or another, </w:t>
      </w:r>
      <w:r w:rsidR="003D56BA">
        <w:rPr>
          <w:lang w:bidi="he-IL"/>
        </w:rPr>
        <w:t>“</w:t>
      </w:r>
      <w:r w:rsidR="00782AE1">
        <w:rPr>
          <w:lang w:bidi="he-IL"/>
        </w:rPr>
        <w:t>this is not ‘just another’ divine word.</w:t>
      </w:r>
      <w:r w:rsidR="003D56BA">
        <w:rPr>
          <w:lang w:bidi="he-IL"/>
        </w:rPr>
        <w:t>”</w:t>
      </w:r>
      <w:r w:rsidR="00782AE1">
        <w:rPr>
          <w:rStyle w:val="FootnoteReference"/>
          <w:lang w:bidi="he-IL"/>
        </w:rPr>
        <w:footnoteReference w:id="205"/>
      </w:r>
    </w:p>
    <w:p w14:paraId="64207A17" w14:textId="1C27370D" w:rsidR="00B51952" w:rsidRDefault="00BF3AC6" w:rsidP="00B51952">
      <w:pPr>
        <w:rPr>
          <w:lang w:bidi="he-IL"/>
        </w:rPr>
      </w:pPr>
      <w:r>
        <w:rPr>
          <w:lang w:bidi="he-IL"/>
        </w:rPr>
        <w:t xml:space="preserve">The exhortation </w:t>
      </w:r>
      <w:r w:rsidR="003D56BA">
        <w:rPr>
          <w:lang w:bidi="he-IL"/>
        </w:rPr>
        <w:t>“</w:t>
      </w:r>
      <w:r>
        <w:rPr>
          <w:lang w:bidi="he-IL"/>
        </w:rPr>
        <w:t>Don’t be afraid</w:t>
      </w:r>
      <w:r w:rsidR="003D56BA">
        <w:rPr>
          <w:lang w:bidi="he-IL"/>
        </w:rPr>
        <w:t>”</w:t>
      </w:r>
      <w:r w:rsidR="00B46BF9">
        <w:rPr>
          <w:lang w:bidi="he-IL"/>
        </w:rPr>
        <w:t xml:space="preserve"> (v. 1b) come</w:t>
      </w:r>
      <w:r>
        <w:rPr>
          <w:lang w:bidi="he-IL"/>
        </w:rPr>
        <w:t>s in two sorts of connection i</w:t>
      </w:r>
      <w:r w:rsidR="00B46BF9">
        <w:rPr>
          <w:lang w:bidi="he-IL"/>
        </w:rPr>
        <w:t>n the First Testament. It come</w:t>
      </w:r>
      <w:r>
        <w:rPr>
          <w:lang w:bidi="he-IL"/>
        </w:rPr>
        <w:t>s in connection wi</w:t>
      </w:r>
      <w:r w:rsidR="00B46BF9">
        <w:rPr>
          <w:lang w:bidi="he-IL"/>
        </w:rPr>
        <w:t xml:space="preserve">th Yahweh’s appearing, </w:t>
      </w:r>
      <w:r>
        <w:rPr>
          <w:lang w:bidi="he-IL"/>
        </w:rPr>
        <w:t>an experience to whic</w:t>
      </w:r>
      <w:r w:rsidR="00B46BF9">
        <w:rPr>
          <w:lang w:bidi="he-IL"/>
        </w:rPr>
        <w:t xml:space="preserve">h fear is an appropriate </w:t>
      </w:r>
      <w:r>
        <w:rPr>
          <w:lang w:bidi="he-IL"/>
        </w:rPr>
        <w:t>reaction because of the danger of being in the high-voltage presence of God</w:t>
      </w:r>
      <w:r w:rsidR="00FD0497">
        <w:rPr>
          <w:lang w:bidi="he-IL"/>
        </w:rPr>
        <w:t xml:space="preserve"> (e</w:t>
      </w:r>
      <w:r w:rsidR="002C251C">
        <w:rPr>
          <w:lang w:bidi="he-IL"/>
        </w:rPr>
        <w:t>.g., Exod 20:20 [17]). M</w:t>
      </w:r>
      <w:r w:rsidR="00FD0497">
        <w:rPr>
          <w:lang w:bidi="he-IL"/>
        </w:rPr>
        <w:t xml:space="preserve">ore often it </w:t>
      </w:r>
      <w:r>
        <w:rPr>
          <w:lang w:bidi="he-IL"/>
        </w:rPr>
        <w:t xml:space="preserve">appears in contexts where there is </w:t>
      </w:r>
      <w:r w:rsidR="00455D75">
        <w:rPr>
          <w:lang w:bidi="he-IL"/>
        </w:rPr>
        <w:t xml:space="preserve">more down-to-earth reason for </w:t>
      </w:r>
      <w:r>
        <w:rPr>
          <w:lang w:bidi="he-IL"/>
        </w:rPr>
        <w:t xml:space="preserve">being afraid (e.g., 21:17; 26:24; 35:17; 43:23; 46:3; 50:19, 21). </w:t>
      </w:r>
      <w:r w:rsidR="00FD0497">
        <w:rPr>
          <w:lang w:bidi="he-IL"/>
        </w:rPr>
        <w:t>H</w:t>
      </w:r>
      <w:r w:rsidR="00C16208">
        <w:rPr>
          <w:lang w:bidi="he-IL"/>
        </w:rPr>
        <w:t xml:space="preserve">ere, what follows suggests </w:t>
      </w:r>
      <w:r w:rsidR="00FD0497">
        <w:rPr>
          <w:lang w:bidi="he-IL"/>
        </w:rPr>
        <w:t>this more usual significan</w:t>
      </w:r>
      <w:r w:rsidR="00C16208">
        <w:rPr>
          <w:lang w:bidi="he-IL"/>
        </w:rPr>
        <w:t>ce</w:t>
      </w:r>
      <w:r w:rsidR="00EF6822">
        <w:rPr>
          <w:lang w:bidi="he-IL"/>
        </w:rPr>
        <w:t xml:space="preserve">. </w:t>
      </w:r>
      <w:r w:rsidR="00CC4396">
        <w:rPr>
          <w:lang w:bidi="he-IL"/>
        </w:rPr>
        <w:t xml:space="preserve">In other </w:t>
      </w:r>
      <w:r w:rsidR="00B46BF9">
        <w:rPr>
          <w:lang w:bidi="he-IL"/>
        </w:rPr>
        <w:t>Middle Eastern texts, it comes</w:t>
      </w:r>
      <w:r w:rsidR="00CC4396">
        <w:rPr>
          <w:lang w:bidi="he-IL"/>
        </w:rPr>
        <w:t xml:space="preserve"> in messages of encouragement to a king (cf. Isa 7:4; 37:6), but in the First Testament, at least, the usage is more general. </w:t>
      </w:r>
      <w:r w:rsidR="0063741A" w:rsidRPr="0063741A">
        <w:rPr>
          <w:lang w:bidi="he-IL"/>
        </w:rPr>
        <w:t>Isa 41:10-13 addresses Israel as “Abraham’s offspring”</w:t>
      </w:r>
      <w:r w:rsidR="00425E22">
        <w:rPr>
          <w:lang w:bidi="he-IL"/>
        </w:rPr>
        <w:t xml:space="preserve"> and urges it, “Don’t be afraid</w:t>
      </w:r>
      <w:r w:rsidR="0063741A" w:rsidRPr="0063741A">
        <w:rPr>
          <w:lang w:bidi="he-IL"/>
        </w:rPr>
        <w:t>”</w:t>
      </w:r>
      <w:r w:rsidR="00425E22">
        <w:rPr>
          <w:lang w:bidi="he-IL"/>
        </w:rPr>
        <w:t xml:space="preserve"> (</w:t>
      </w:r>
      <w:r w:rsidR="00425E22" w:rsidRPr="00352061">
        <w:rPr>
          <w:i/>
        </w:rPr>
        <w:t>GenR</w:t>
      </w:r>
      <w:r w:rsidR="00425E22">
        <w:t xml:space="preserve"> 44.3).</w:t>
      </w:r>
      <w:r w:rsidR="001F08BA">
        <w:rPr>
          <w:lang w:bidi="he-IL"/>
        </w:rPr>
        <w:t xml:space="preserve"> </w:t>
      </w:r>
      <w:r w:rsidR="00EF6822">
        <w:rPr>
          <w:lang w:bidi="he-IL"/>
        </w:rPr>
        <w:t xml:space="preserve">Melchizedek has pointed out that God </w:t>
      </w:r>
      <w:r w:rsidR="003D56BA">
        <w:rPr>
          <w:lang w:bidi="he-IL"/>
        </w:rPr>
        <w:t>“</w:t>
      </w:r>
      <w:r w:rsidR="00EF6822">
        <w:rPr>
          <w:lang w:bidi="he-IL"/>
        </w:rPr>
        <w:t>unshielded</w:t>
      </w:r>
      <w:r w:rsidR="003D56BA">
        <w:rPr>
          <w:lang w:bidi="he-IL"/>
        </w:rPr>
        <w:t>”</w:t>
      </w:r>
      <w:r w:rsidR="00EF6822">
        <w:rPr>
          <w:lang w:bidi="he-IL"/>
        </w:rPr>
        <w:t xml:space="preserve"> Abraham’s opponents</w:t>
      </w:r>
      <w:r w:rsidR="00A62432">
        <w:rPr>
          <w:lang w:bidi="he-IL"/>
        </w:rPr>
        <w:t xml:space="preserve"> (14:20)</w:t>
      </w:r>
      <w:r w:rsidR="00EF6822">
        <w:rPr>
          <w:lang w:bidi="he-IL"/>
        </w:rPr>
        <w:t xml:space="preserve">, and God now declares that </w:t>
      </w:r>
      <w:r w:rsidR="001F08BA">
        <w:rPr>
          <w:lang w:bidi="he-IL"/>
        </w:rPr>
        <w:t>the</w:t>
      </w:r>
      <w:r w:rsidR="00C16208">
        <w:rPr>
          <w:lang w:bidi="he-IL"/>
        </w:rPr>
        <w:t xml:space="preserve"> reason for not being afraid is that </w:t>
      </w:r>
      <w:r w:rsidR="001F08BA">
        <w:rPr>
          <w:lang w:bidi="he-IL"/>
        </w:rPr>
        <w:t>God</w:t>
      </w:r>
      <w:r w:rsidR="00EF6822">
        <w:rPr>
          <w:lang w:bidi="he-IL"/>
        </w:rPr>
        <w:t xml:space="preserve"> is and will be Abraham’s </w:t>
      </w:r>
      <w:r w:rsidR="003D56BA">
        <w:rPr>
          <w:lang w:bidi="he-IL"/>
        </w:rPr>
        <w:t>“</w:t>
      </w:r>
      <w:r w:rsidR="00EF6822">
        <w:rPr>
          <w:lang w:bidi="he-IL"/>
        </w:rPr>
        <w:t>shield.</w:t>
      </w:r>
      <w:r w:rsidR="003D56BA">
        <w:rPr>
          <w:lang w:bidi="he-IL"/>
        </w:rPr>
        <w:t>”</w:t>
      </w:r>
      <w:r w:rsidR="00EF6822">
        <w:rPr>
          <w:lang w:bidi="he-IL"/>
        </w:rPr>
        <w:t xml:space="preserve"> The second and third cola of Yahweh’s words are noun clauses (literally, </w:t>
      </w:r>
      <w:r w:rsidR="003D56BA">
        <w:rPr>
          <w:lang w:bidi="he-IL"/>
        </w:rPr>
        <w:t>“</w:t>
      </w:r>
      <w:r w:rsidR="00A62432">
        <w:rPr>
          <w:lang w:bidi="he-IL"/>
        </w:rPr>
        <w:t xml:space="preserve">I your </w:t>
      </w:r>
      <w:r w:rsidR="00EF6822">
        <w:rPr>
          <w:lang w:bidi="he-IL"/>
        </w:rPr>
        <w:t>shie</w:t>
      </w:r>
      <w:r w:rsidR="00C16208">
        <w:rPr>
          <w:lang w:bidi="he-IL"/>
        </w:rPr>
        <w:t>ld, and your wages very big</w:t>
      </w:r>
      <w:r w:rsidR="003D56BA">
        <w:rPr>
          <w:lang w:bidi="he-IL"/>
        </w:rPr>
        <w:t>”</w:t>
      </w:r>
      <w:r w:rsidR="001F08BA">
        <w:rPr>
          <w:lang w:bidi="he-IL"/>
        </w:rPr>
        <w:t>). The</w:t>
      </w:r>
      <w:r w:rsidR="00EF6822">
        <w:rPr>
          <w:lang w:bidi="he-IL"/>
        </w:rPr>
        <w:t xml:space="preserve"> declaration about being a shield </w:t>
      </w:r>
      <w:r w:rsidR="001F08BA">
        <w:rPr>
          <w:lang w:bidi="he-IL"/>
        </w:rPr>
        <w:t>will apply</w:t>
      </w:r>
      <w:r w:rsidR="00EF6822">
        <w:rPr>
          <w:lang w:bidi="he-IL"/>
        </w:rPr>
        <w:t xml:space="preserve"> in the present and the future</w:t>
      </w:r>
      <w:r w:rsidR="00762CED">
        <w:rPr>
          <w:lang w:bidi="he-IL"/>
        </w:rPr>
        <w:t xml:space="preserve"> (cf. e.g., Ps 18:2, 30 [3, 31]; 28:7; 33:20)</w:t>
      </w:r>
      <w:r w:rsidR="00EF6822">
        <w:rPr>
          <w:lang w:bidi="he-IL"/>
        </w:rPr>
        <w:t>, though the declaration about the wages is more future-oriented.</w:t>
      </w:r>
      <w:r w:rsidR="00762CED">
        <w:rPr>
          <w:lang w:bidi="he-IL"/>
        </w:rPr>
        <w:t xml:space="preserve"> In substance t</w:t>
      </w:r>
      <w:r w:rsidR="00C16208">
        <w:rPr>
          <w:lang w:bidi="he-IL"/>
        </w:rPr>
        <w:t xml:space="preserve">hough not in words, that </w:t>
      </w:r>
      <w:r w:rsidR="00762CED">
        <w:rPr>
          <w:lang w:bidi="he-IL"/>
        </w:rPr>
        <w:t xml:space="preserve">declaration </w:t>
      </w:r>
      <w:r w:rsidR="00C16208">
        <w:rPr>
          <w:lang w:bidi="he-IL"/>
        </w:rPr>
        <w:t xml:space="preserve">about wages </w:t>
      </w:r>
      <w:r w:rsidR="00762CED">
        <w:rPr>
          <w:lang w:bidi="he-IL"/>
        </w:rPr>
        <w:t>also links</w:t>
      </w:r>
      <w:r w:rsidR="00C16208">
        <w:rPr>
          <w:lang w:bidi="he-IL"/>
        </w:rPr>
        <w:t xml:space="preserve"> back with 14:17-24. Abraham had</w:t>
      </w:r>
      <w:r w:rsidR="00762CED">
        <w:rPr>
          <w:lang w:bidi="he-IL"/>
        </w:rPr>
        <w:t xml:space="preserve"> declined to be profited by his venture. He could have </w:t>
      </w:r>
      <w:r w:rsidR="00C16208">
        <w:rPr>
          <w:lang w:bidi="he-IL"/>
        </w:rPr>
        <w:t xml:space="preserve">simply </w:t>
      </w:r>
      <w:r w:rsidR="00762CED">
        <w:rPr>
          <w:lang w:bidi="he-IL"/>
        </w:rPr>
        <w:t xml:space="preserve">assumed that Yahweh was giving him the plunder to keep, as he gave him the victory, but he </w:t>
      </w:r>
      <w:r w:rsidR="00A62432">
        <w:rPr>
          <w:lang w:bidi="he-IL"/>
        </w:rPr>
        <w:t>didn’</w:t>
      </w:r>
      <w:r w:rsidR="001F08BA">
        <w:rPr>
          <w:lang w:bidi="he-IL"/>
        </w:rPr>
        <w:t>t. Ye</w:t>
      </w:r>
      <w:r w:rsidR="00C16208">
        <w:rPr>
          <w:lang w:bidi="he-IL"/>
        </w:rPr>
        <w:t>t arguably refusing to take plunder</w:t>
      </w:r>
      <w:r w:rsidR="00762CED">
        <w:rPr>
          <w:lang w:bidi="he-IL"/>
        </w:rPr>
        <w:t xml:space="preserve"> is not a practical way to live in the world</w:t>
      </w:r>
      <w:r w:rsidR="00C16208">
        <w:rPr>
          <w:lang w:bidi="he-IL"/>
        </w:rPr>
        <w:t xml:space="preserve"> and </w:t>
      </w:r>
      <w:r w:rsidR="00A62432">
        <w:rPr>
          <w:lang w:bidi="he-IL"/>
        </w:rPr>
        <w:t xml:space="preserve">to </w:t>
      </w:r>
      <w:r w:rsidR="00C16208">
        <w:rPr>
          <w:lang w:bidi="he-IL"/>
        </w:rPr>
        <w:t>commit yourself to doing what needs to be done or should be done. Abraham</w:t>
      </w:r>
      <w:r w:rsidR="00762CED">
        <w:rPr>
          <w:lang w:bidi="he-IL"/>
        </w:rPr>
        <w:t xml:space="preserve"> has a huge retinue to provide for. Yahweh affirms his assumption and promises that he will not only survive but thrive.</w:t>
      </w:r>
      <w:r w:rsidR="00B85123">
        <w:rPr>
          <w:lang w:bidi="he-IL"/>
        </w:rPr>
        <w:t xml:space="preserve"> He will be rewarded.</w:t>
      </w:r>
      <w:r w:rsidR="001F08BA">
        <w:rPr>
          <w:lang w:bidi="he-IL"/>
        </w:rPr>
        <w:t xml:space="preserve"> </w:t>
      </w:r>
      <w:r w:rsidR="00B51952">
        <w:rPr>
          <w:lang w:bidi="he-IL"/>
        </w:rPr>
        <w:t xml:space="preserve">God promises to make sure that his people get their wages. Jesus promises that people who for his sake have abandoned family and land (that is, their means of support) will receive them a hundred-fold in the present age. The significance of these promises is their implausibility. If they obviously corresponded to experience, they would hardly be needed. The faithful in Israel and </w:t>
      </w:r>
      <w:r w:rsidR="001F08BA">
        <w:rPr>
          <w:lang w:bidi="he-IL"/>
        </w:rPr>
        <w:t xml:space="preserve">the </w:t>
      </w:r>
      <w:r w:rsidR="00B51952">
        <w:rPr>
          <w:lang w:bidi="he-IL"/>
        </w:rPr>
        <w:t>faithful followers of Jesus are challenged to</w:t>
      </w:r>
      <w:r w:rsidR="00A62432">
        <w:rPr>
          <w:lang w:bidi="he-IL"/>
        </w:rPr>
        <w:t xml:space="preserve"> live by them even when they don’</w:t>
      </w:r>
      <w:r w:rsidR="00B51952">
        <w:rPr>
          <w:lang w:bidi="he-IL"/>
        </w:rPr>
        <w:t>t seem to come true. They are challenged not to be afraid (which is said to be the most common command in the Scriptures). The shielding promise is pretty important, too.</w:t>
      </w:r>
    </w:p>
    <w:p w14:paraId="0D81D7F1" w14:textId="77777777" w:rsidR="00A62432" w:rsidRDefault="00762CED" w:rsidP="00A62432">
      <w:pPr>
        <w:rPr>
          <w:lang w:bidi="he-IL"/>
        </w:rPr>
      </w:pPr>
      <w:r>
        <w:rPr>
          <w:lang w:bidi="he-IL"/>
        </w:rPr>
        <w:t>Abraham</w:t>
      </w:r>
      <w:r w:rsidR="00A62432">
        <w:rPr>
          <w:lang w:bidi="he-IL"/>
        </w:rPr>
        <w:t xml:space="preserve"> seems to be able to accept Yahweh’s</w:t>
      </w:r>
      <w:r>
        <w:rPr>
          <w:lang w:bidi="he-IL"/>
        </w:rPr>
        <w:t xml:space="preserve"> promise (v. 2</w:t>
      </w:r>
      <w:r w:rsidR="006259EC">
        <w:rPr>
          <w:lang w:bidi="he-IL"/>
        </w:rPr>
        <w:t>a</w:t>
      </w:r>
      <w:r>
        <w:rPr>
          <w:lang w:bidi="he-IL"/>
        </w:rPr>
        <w:t xml:space="preserve">); his worry lies elsewhere. Here comes the transition to the theme of offspring. </w:t>
      </w:r>
      <w:r w:rsidR="00DC4661">
        <w:rPr>
          <w:lang w:bidi="he-IL"/>
        </w:rPr>
        <w:t>The question</w:t>
      </w:r>
      <w:r w:rsidR="001F08BA">
        <w:rPr>
          <w:lang w:bidi="he-IL"/>
        </w:rPr>
        <w:t xml:space="preserve"> is, to whom will he</w:t>
      </w:r>
      <w:r w:rsidR="005F242B">
        <w:rPr>
          <w:lang w:bidi="he-IL"/>
        </w:rPr>
        <w:t xml:space="preserve"> be able to pass </w:t>
      </w:r>
      <w:r w:rsidR="00DC4661">
        <w:rPr>
          <w:lang w:bidi="he-IL"/>
        </w:rPr>
        <w:t>on</w:t>
      </w:r>
      <w:r w:rsidR="00E71BB4">
        <w:rPr>
          <w:lang w:bidi="he-IL"/>
        </w:rPr>
        <w:t xml:space="preserve"> this reward</w:t>
      </w:r>
      <w:r w:rsidR="00EF2C9E">
        <w:rPr>
          <w:lang w:bidi="he-IL"/>
        </w:rPr>
        <w:t>? In the Middle East it may have been</w:t>
      </w:r>
      <w:r w:rsidR="00395447">
        <w:rPr>
          <w:lang w:bidi="he-IL"/>
        </w:rPr>
        <w:t xml:space="preserve"> possible to</w:t>
      </w:r>
      <w:r w:rsidR="00DC4661">
        <w:rPr>
          <w:lang w:bidi="he-IL"/>
        </w:rPr>
        <w:t xml:space="preserve"> adopt someone to inh</w:t>
      </w:r>
      <w:r w:rsidR="00395447">
        <w:rPr>
          <w:lang w:bidi="he-IL"/>
        </w:rPr>
        <w:t xml:space="preserve">erit one’s estate </w:t>
      </w:r>
      <w:r w:rsidR="00DC4661">
        <w:rPr>
          <w:lang w:bidi="he-IL"/>
        </w:rPr>
        <w:t>and look after on</w:t>
      </w:r>
      <w:r w:rsidR="00EF2C9E">
        <w:rPr>
          <w:lang w:bidi="he-IL"/>
        </w:rPr>
        <w:t>e’s affairs and obligations, and</w:t>
      </w:r>
      <w:r w:rsidR="00DC4661">
        <w:rPr>
          <w:lang w:bidi="he-IL"/>
        </w:rPr>
        <w:t xml:space="preserve"> Abr</w:t>
      </w:r>
      <w:r w:rsidR="00395447">
        <w:rPr>
          <w:lang w:bidi="he-IL"/>
        </w:rPr>
        <w:t>aham assumes he needs to do so, b</w:t>
      </w:r>
      <w:r w:rsidR="00DC4661">
        <w:rPr>
          <w:lang w:bidi="he-IL"/>
        </w:rPr>
        <w:t xml:space="preserve">ut </w:t>
      </w:r>
      <w:r w:rsidR="00A62432">
        <w:rPr>
          <w:lang w:bidi="he-IL"/>
        </w:rPr>
        <w:t xml:space="preserve">he </w:t>
      </w:r>
      <w:r w:rsidR="00DC4661">
        <w:rPr>
          <w:lang w:bidi="he-IL"/>
        </w:rPr>
        <w:t xml:space="preserve">doesn’t like it. </w:t>
      </w:r>
      <w:r w:rsidR="003D56BA">
        <w:rPr>
          <w:lang w:bidi="he-IL"/>
        </w:rPr>
        <w:t>“</w:t>
      </w:r>
      <w:r w:rsidR="009120A1">
        <w:rPr>
          <w:lang w:bidi="he-IL"/>
        </w:rPr>
        <w:t>Wages make a future possible, but a childless person has no future.</w:t>
      </w:r>
      <w:r w:rsidR="003D56BA">
        <w:rPr>
          <w:lang w:bidi="he-IL"/>
        </w:rPr>
        <w:t>”</w:t>
      </w:r>
      <w:r w:rsidR="009120A1">
        <w:rPr>
          <w:rStyle w:val="FootnoteReference"/>
          <w:lang w:bidi="he-IL"/>
        </w:rPr>
        <w:footnoteReference w:id="206"/>
      </w:r>
      <w:r w:rsidR="009120A1">
        <w:rPr>
          <w:lang w:bidi="he-IL"/>
        </w:rPr>
        <w:t xml:space="preserve"> </w:t>
      </w:r>
      <w:r>
        <w:rPr>
          <w:lang w:bidi="he-IL"/>
        </w:rPr>
        <w:t>Here for</w:t>
      </w:r>
      <w:r w:rsidR="006C2563">
        <w:rPr>
          <w:lang w:bidi="he-IL"/>
        </w:rPr>
        <w:t xml:space="preserve"> the first time </w:t>
      </w:r>
      <w:r w:rsidR="005F242B">
        <w:rPr>
          <w:lang w:bidi="he-IL"/>
        </w:rPr>
        <w:t>we get words from</w:t>
      </w:r>
      <w:r w:rsidR="00DC4661">
        <w:rPr>
          <w:lang w:bidi="he-IL"/>
        </w:rPr>
        <w:t xml:space="preserve"> Abr</w:t>
      </w:r>
      <w:r w:rsidR="005F242B">
        <w:rPr>
          <w:lang w:bidi="he-IL"/>
        </w:rPr>
        <w:t>aham</w:t>
      </w:r>
      <w:r w:rsidR="00DC4661">
        <w:rPr>
          <w:lang w:bidi="he-IL"/>
        </w:rPr>
        <w:t xml:space="preserve"> that address God</w:t>
      </w:r>
      <w:r w:rsidR="00212A61">
        <w:rPr>
          <w:lang w:bidi="he-IL"/>
        </w:rPr>
        <w:t>—and they are questions that respond to God’s promises</w:t>
      </w:r>
      <w:r w:rsidR="00DC4661">
        <w:rPr>
          <w:lang w:bidi="he-IL"/>
        </w:rPr>
        <w:t>.</w:t>
      </w:r>
      <w:r w:rsidR="00212A61">
        <w:rPr>
          <w:rStyle w:val="FootnoteReference"/>
          <w:lang w:bidi="he-IL"/>
        </w:rPr>
        <w:footnoteReference w:id="207"/>
      </w:r>
      <w:r w:rsidR="00DC4661">
        <w:rPr>
          <w:lang w:bidi="he-IL"/>
        </w:rPr>
        <w:t xml:space="preserve"> And for the first time </w:t>
      </w:r>
      <w:r w:rsidR="006C2563">
        <w:rPr>
          <w:lang w:bidi="he-IL"/>
        </w:rPr>
        <w:t xml:space="preserve">Yahweh is </w:t>
      </w:r>
      <w:r w:rsidR="003D56BA">
        <w:rPr>
          <w:lang w:bidi="he-IL"/>
        </w:rPr>
        <w:t>“</w:t>
      </w:r>
      <w:r w:rsidR="006C2563">
        <w:rPr>
          <w:lang w:bidi="he-IL"/>
        </w:rPr>
        <w:t>Lord</w:t>
      </w:r>
      <w:r w:rsidR="003D56BA">
        <w:rPr>
          <w:lang w:bidi="he-IL"/>
        </w:rPr>
        <w:t>”</w:t>
      </w:r>
      <w:r w:rsidR="005F242B">
        <w:rPr>
          <w:lang w:bidi="he-IL"/>
        </w:rPr>
        <w:t xml:space="preserve">. In Genesis this form of address comes only in Gen 15 and 18—20 </w:t>
      </w:r>
      <w:r w:rsidR="005F242B" w:rsidRPr="005F242B">
        <w:rPr>
          <w:lang w:bidi="he-IL"/>
        </w:rPr>
        <w:t xml:space="preserve">(the combined address </w:t>
      </w:r>
      <w:r w:rsidR="003D56BA">
        <w:rPr>
          <w:lang w:bidi="he-IL"/>
        </w:rPr>
        <w:t>“</w:t>
      </w:r>
      <w:r w:rsidR="005F242B" w:rsidRPr="005F242B">
        <w:rPr>
          <w:lang w:bidi="he-IL"/>
        </w:rPr>
        <w:t>Lord Yahweh</w:t>
      </w:r>
      <w:r w:rsidR="003D56BA">
        <w:rPr>
          <w:lang w:bidi="he-IL"/>
        </w:rPr>
        <w:t>”</w:t>
      </w:r>
      <w:r w:rsidR="005F242B" w:rsidRPr="005F242B">
        <w:rPr>
          <w:lang w:bidi="he-IL"/>
        </w:rPr>
        <w:t xml:space="preserve"> recurs in v. 8 and comes only here in Genesis-Numbers)</w:t>
      </w:r>
      <w:r w:rsidR="005F242B">
        <w:rPr>
          <w:lang w:bidi="he-IL"/>
        </w:rPr>
        <w:t xml:space="preserve">. It regularly </w:t>
      </w:r>
      <w:r w:rsidR="006C2563">
        <w:rPr>
          <w:lang w:bidi="he-IL"/>
        </w:rPr>
        <w:t>suggests b</w:t>
      </w:r>
      <w:r w:rsidR="00EF2C9E">
        <w:rPr>
          <w:lang w:bidi="he-IL"/>
        </w:rPr>
        <w:t>oth deference and boldness. One might</w:t>
      </w:r>
      <w:r w:rsidR="006C2563">
        <w:rPr>
          <w:lang w:bidi="he-IL"/>
        </w:rPr>
        <w:t xml:space="preserve"> say </w:t>
      </w:r>
      <w:r w:rsidR="003D56BA">
        <w:rPr>
          <w:lang w:bidi="he-IL"/>
        </w:rPr>
        <w:t>“</w:t>
      </w:r>
      <w:r w:rsidR="006C2563">
        <w:rPr>
          <w:lang w:bidi="he-IL"/>
        </w:rPr>
        <w:t>Lord</w:t>
      </w:r>
      <w:r w:rsidR="003D56BA">
        <w:rPr>
          <w:lang w:bidi="he-IL"/>
        </w:rPr>
        <w:t>”</w:t>
      </w:r>
      <w:r w:rsidR="00EF2C9E">
        <w:rPr>
          <w:lang w:bidi="he-IL"/>
        </w:rPr>
        <w:t xml:space="preserve"> when recognizing</w:t>
      </w:r>
      <w:r w:rsidR="006C2563">
        <w:rPr>
          <w:lang w:bidi="he-IL"/>
        </w:rPr>
        <w:t xml:space="preserve"> that Yahweh is the sovereig</w:t>
      </w:r>
      <w:r w:rsidR="00EF2C9E">
        <w:rPr>
          <w:lang w:bidi="he-IL"/>
        </w:rPr>
        <w:t xml:space="preserve">n God but </w:t>
      </w:r>
      <w:r w:rsidR="00A62432">
        <w:rPr>
          <w:lang w:bidi="he-IL"/>
        </w:rPr>
        <w:t xml:space="preserve">when one is </w:t>
      </w:r>
      <w:r w:rsidR="006C2563">
        <w:rPr>
          <w:lang w:bidi="he-IL"/>
        </w:rPr>
        <w:t>speak</w:t>
      </w:r>
      <w:r w:rsidR="00EF2C9E">
        <w:rPr>
          <w:lang w:bidi="he-IL"/>
        </w:rPr>
        <w:t>ing</w:t>
      </w:r>
      <w:r w:rsidR="006C2563">
        <w:rPr>
          <w:lang w:bidi="he-IL"/>
        </w:rPr>
        <w:t xml:space="preserve"> in a way tha</w:t>
      </w:r>
      <w:r w:rsidR="00E71BB4">
        <w:rPr>
          <w:lang w:bidi="he-IL"/>
        </w:rPr>
        <w:t>t could imply</w:t>
      </w:r>
      <w:r w:rsidR="006C2563">
        <w:rPr>
          <w:lang w:bidi="he-IL"/>
        </w:rPr>
        <w:t xml:space="preserve"> effr</w:t>
      </w:r>
      <w:r w:rsidR="00EF2C9E">
        <w:rPr>
          <w:lang w:bidi="he-IL"/>
        </w:rPr>
        <w:t>ontery. W</w:t>
      </w:r>
      <w:r w:rsidR="006C2563">
        <w:rPr>
          <w:lang w:bidi="he-IL"/>
        </w:rPr>
        <w:t>hat</w:t>
      </w:r>
      <w:r w:rsidR="00081BF3">
        <w:rPr>
          <w:lang w:bidi="he-IL"/>
        </w:rPr>
        <w:t xml:space="preserve">’s </w:t>
      </w:r>
      <w:r w:rsidR="006C2563">
        <w:rPr>
          <w:lang w:bidi="he-IL"/>
        </w:rPr>
        <w:t>the point in talk</w:t>
      </w:r>
      <w:r w:rsidR="00EF2C9E">
        <w:rPr>
          <w:lang w:bidi="he-IL"/>
        </w:rPr>
        <w:t>ing about wages when one has no one to pass on the</w:t>
      </w:r>
      <w:r w:rsidR="006C2563">
        <w:rPr>
          <w:lang w:bidi="he-IL"/>
        </w:rPr>
        <w:t xml:space="preserve"> wealth</w:t>
      </w:r>
      <w:r w:rsidR="00EF2C9E">
        <w:rPr>
          <w:lang w:bidi="he-IL"/>
        </w:rPr>
        <w:t xml:space="preserve"> to</w:t>
      </w:r>
      <w:r w:rsidR="006C2563">
        <w:rPr>
          <w:lang w:bidi="he-IL"/>
        </w:rPr>
        <w:t>? The fact that Sar</w:t>
      </w:r>
      <w:r w:rsidR="00E71BB4">
        <w:rPr>
          <w:lang w:bidi="he-IL"/>
        </w:rPr>
        <w:t xml:space="preserve">ah cannot have children </w:t>
      </w:r>
      <w:r w:rsidR="00F943E7">
        <w:rPr>
          <w:lang w:bidi="he-IL"/>
        </w:rPr>
        <w:t>ha</w:t>
      </w:r>
      <w:r w:rsidR="006259EC">
        <w:rPr>
          <w:lang w:bidi="he-IL"/>
        </w:rPr>
        <w:t>s sat uneasily at the side</w:t>
      </w:r>
      <w:r w:rsidR="00F943E7">
        <w:rPr>
          <w:lang w:bidi="he-IL"/>
        </w:rPr>
        <w:t xml:space="preserve"> of the narrative since 11:30 but now Abraham puts it on the table. </w:t>
      </w:r>
      <w:r w:rsidR="006259EC">
        <w:rPr>
          <w:lang w:bidi="he-IL"/>
        </w:rPr>
        <w:t>There is again some ambiguity in the portrayal of Abraham</w:t>
      </w:r>
      <w:r w:rsidR="0063741A">
        <w:rPr>
          <w:lang w:bidi="he-IL"/>
        </w:rPr>
        <w:t xml:space="preserve">, though </w:t>
      </w:r>
      <w:r w:rsidR="006259EC">
        <w:rPr>
          <w:lang w:bidi="he-IL"/>
        </w:rPr>
        <w:t>one could still</w:t>
      </w:r>
      <w:r w:rsidR="0063741A">
        <w:rPr>
          <w:lang w:bidi="he-IL"/>
        </w:rPr>
        <w:t xml:space="preserve"> say that “the sign that </w:t>
      </w:r>
      <w:r w:rsidR="0063741A">
        <w:rPr>
          <w:lang w:bidi="he-IL"/>
        </w:rPr>
        <w:lastRenderedPageBreak/>
        <w:t>strengthens faith is not given to the unbeliever or to the doubter, but to the believer.”</w:t>
      </w:r>
      <w:r w:rsidR="0063741A">
        <w:rPr>
          <w:rStyle w:val="FootnoteReference"/>
          <w:lang w:bidi="he-IL"/>
        </w:rPr>
        <w:footnoteReference w:id="208"/>
      </w:r>
      <w:r w:rsidR="0063741A">
        <w:rPr>
          <w:lang w:bidi="he-IL"/>
        </w:rPr>
        <w:t xml:space="preserve"> And his relationship with God suggests that</w:t>
      </w:r>
      <w:r w:rsidR="0063741A" w:rsidRPr="00D87472">
        <w:rPr>
          <w:lang w:bidi="he-IL"/>
        </w:rPr>
        <w:t xml:space="preserve"> deference an</w:t>
      </w:r>
      <w:r w:rsidR="0063741A">
        <w:rPr>
          <w:lang w:bidi="he-IL"/>
        </w:rPr>
        <w:t>d forthrightness go together i</w:t>
      </w:r>
      <w:r w:rsidR="0063741A" w:rsidRPr="00AD62DB">
        <w:rPr>
          <w:lang w:bidi="he-IL"/>
        </w:rPr>
        <w:t xml:space="preserve">n speaking to God </w:t>
      </w:r>
      <w:r w:rsidR="0063741A">
        <w:rPr>
          <w:lang w:bidi="he-IL"/>
        </w:rPr>
        <w:t>(cf. Mark 14:35-36). One can be forthright if one is also prepared to submit to God as Lord; one can submit to God as Lord if one can also be forthright. “The Lord sometimes concedes to his children, that they may freely express any objection which comes into their mind.”</w:t>
      </w:r>
      <w:r w:rsidR="0063741A">
        <w:rPr>
          <w:rStyle w:val="FootnoteReference"/>
          <w:lang w:bidi="he-IL"/>
        </w:rPr>
        <w:footnoteReference w:id="209"/>
      </w:r>
      <w:r w:rsidR="0063741A">
        <w:rPr>
          <w:lang w:bidi="he-IL"/>
        </w:rPr>
        <w:t xml:space="preserve"> The prayer relationship is a relationship with a Father, and in that relationship children are able to be plainspoken in the context of deference and to be deferent in the context of a freedom to be </w:t>
      </w:r>
      <w:r w:rsidR="0063741A" w:rsidRPr="000B60CD">
        <w:rPr>
          <w:lang w:bidi="he-IL"/>
        </w:rPr>
        <w:t>plainspoken</w:t>
      </w:r>
      <w:r w:rsidR="0063741A">
        <w:rPr>
          <w:lang w:bidi="he-IL"/>
        </w:rPr>
        <w:t>. Trust and questioning interweave.</w:t>
      </w:r>
      <w:r w:rsidR="00A62432">
        <w:rPr>
          <w:lang w:bidi="he-IL"/>
        </w:rPr>
        <w:t xml:space="preserve"> </w:t>
      </w:r>
    </w:p>
    <w:p w14:paraId="7BCD101C" w14:textId="1640B835" w:rsidR="00762CED" w:rsidRPr="00A1744E" w:rsidRDefault="006259EC" w:rsidP="004F472B">
      <w:pPr>
        <w:rPr>
          <w:i/>
          <w:lang w:bidi="he-IL"/>
        </w:rPr>
      </w:pPr>
      <w:r>
        <w:rPr>
          <w:lang w:bidi="he-IL"/>
        </w:rPr>
        <w:t>T</w:t>
      </w:r>
      <w:r w:rsidR="00E71BB4">
        <w:rPr>
          <w:lang w:bidi="he-IL"/>
        </w:rPr>
        <w:t>he meaning of Abraham’s further comment</w:t>
      </w:r>
      <w:r w:rsidR="002615AB">
        <w:rPr>
          <w:lang w:bidi="he-IL"/>
        </w:rPr>
        <w:t xml:space="preserve"> </w:t>
      </w:r>
      <w:r>
        <w:rPr>
          <w:lang w:bidi="he-IL"/>
        </w:rPr>
        <w:t xml:space="preserve">about </w:t>
      </w:r>
      <w:r w:rsidR="00E71BB4" w:rsidRPr="00E71BB4">
        <w:rPr>
          <w:lang w:val="en-GB" w:bidi="he-IL"/>
        </w:rPr>
        <w:t>Eli’ezer</w:t>
      </w:r>
      <w:r>
        <w:rPr>
          <w:lang w:val="en-GB" w:bidi="he-IL"/>
        </w:rPr>
        <w:t xml:space="preserve"> (v. 2b</w:t>
      </w:r>
      <w:r w:rsidR="00E71BB4">
        <w:rPr>
          <w:lang w:val="en-GB" w:bidi="he-IL"/>
        </w:rPr>
        <w:t>)</w:t>
      </w:r>
      <w:r w:rsidR="00E71BB4" w:rsidRPr="00E71BB4">
        <w:rPr>
          <w:lang w:val="en-GB" w:bidi="he-IL"/>
        </w:rPr>
        <w:t xml:space="preserve"> </w:t>
      </w:r>
      <w:r w:rsidR="002615AB">
        <w:rPr>
          <w:lang w:bidi="he-IL"/>
        </w:rPr>
        <w:t>is perp</w:t>
      </w:r>
      <w:r w:rsidR="00383346">
        <w:rPr>
          <w:lang w:bidi="he-IL"/>
        </w:rPr>
        <w:t>lexing</w:t>
      </w:r>
      <w:r w:rsidR="00E71BB4">
        <w:rPr>
          <w:lang w:bidi="he-IL"/>
        </w:rPr>
        <w:t>,</w:t>
      </w:r>
      <w:r w:rsidR="00383346">
        <w:rPr>
          <w:lang w:bidi="he-IL"/>
        </w:rPr>
        <w:t xml:space="preserve"> </w:t>
      </w:r>
      <w:r>
        <w:rPr>
          <w:lang w:bidi="he-IL"/>
        </w:rPr>
        <w:t xml:space="preserve">but </w:t>
      </w:r>
      <w:r w:rsidR="00383346">
        <w:rPr>
          <w:lang w:bidi="he-IL"/>
        </w:rPr>
        <w:t xml:space="preserve">again </w:t>
      </w:r>
      <w:r>
        <w:rPr>
          <w:lang w:bidi="he-IL"/>
        </w:rPr>
        <w:t xml:space="preserve">one significance of the </w:t>
      </w:r>
      <w:r w:rsidR="00383346">
        <w:rPr>
          <w:lang w:bidi="he-IL"/>
        </w:rPr>
        <w:t>words is that they</w:t>
      </w:r>
      <w:r w:rsidR="005D304D">
        <w:rPr>
          <w:lang w:bidi="he-IL"/>
        </w:rPr>
        <w:t xml:space="preserve"> make </w:t>
      </w:r>
      <w:r w:rsidR="002615AB">
        <w:rPr>
          <w:lang w:bidi="he-IL"/>
        </w:rPr>
        <w:t>link</w:t>
      </w:r>
      <w:r w:rsidR="005D304D">
        <w:rPr>
          <w:lang w:bidi="he-IL"/>
        </w:rPr>
        <w:t>s back with 14:14</w:t>
      </w:r>
      <w:r w:rsidR="002615AB">
        <w:rPr>
          <w:lang w:bidi="he-IL"/>
        </w:rPr>
        <w:t>-24 through the reference</w:t>
      </w:r>
      <w:r w:rsidR="005D304D">
        <w:rPr>
          <w:lang w:bidi="he-IL"/>
        </w:rPr>
        <w:t>s</w:t>
      </w:r>
      <w:r w:rsidR="002615AB">
        <w:rPr>
          <w:lang w:bidi="he-IL"/>
        </w:rPr>
        <w:t xml:space="preserve"> to </w:t>
      </w:r>
      <w:r w:rsidR="005D304D">
        <w:rPr>
          <w:lang w:bidi="he-IL"/>
        </w:rPr>
        <w:t xml:space="preserve">Abraham’s household and to </w:t>
      </w:r>
      <w:r w:rsidR="002615AB">
        <w:rPr>
          <w:lang w:bidi="he-IL"/>
        </w:rPr>
        <w:t>Damascus. Another possible link is the fact that Eliezer’s name translates numerically into the figure 318</w:t>
      </w:r>
      <w:r w:rsidR="00E71BB4">
        <w:rPr>
          <w:lang w:bidi="he-IL"/>
        </w:rPr>
        <w:t xml:space="preserve"> (cf. 14:15</w:t>
      </w:r>
      <w:r w:rsidR="00425E22">
        <w:rPr>
          <w:lang w:bidi="he-IL"/>
        </w:rPr>
        <w:t xml:space="preserve">; </w:t>
      </w:r>
      <w:r w:rsidR="00425E22">
        <w:t xml:space="preserve">see e.g., </w:t>
      </w:r>
      <w:r w:rsidR="00425E22" w:rsidRPr="00CF46E0">
        <w:rPr>
          <w:i/>
        </w:rPr>
        <w:t>GenR</w:t>
      </w:r>
      <w:r w:rsidR="00425E22">
        <w:t xml:space="preserve"> 44.9</w:t>
      </w:r>
      <w:r w:rsidR="00E71BB4">
        <w:rPr>
          <w:lang w:bidi="he-IL"/>
        </w:rPr>
        <w:t>)</w:t>
      </w:r>
      <w:r w:rsidR="002615AB">
        <w:rPr>
          <w:lang w:bidi="he-IL"/>
        </w:rPr>
        <w:t>.</w:t>
      </w:r>
      <w:r w:rsidR="005E0C38">
        <w:rPr>
          <w:lang w:bidi="he-IL"/>
        </w:rPr>
        <w:t xml:space="preserve"> The name </w:t>
      </w:r>
      <w:r w:rsidR="0093475F">
        <w:rPr>
          <w:lang w:bidi="he-IL"/>
        </w:rPr>
        <w:t>recurs in the First Testament, but th</w:t>
      </w:r>
      <w:r w:rsidR="00E71BB4">
        <w:rPr>
          <w:lang w:bidi="he-IL"/>
        </w:rPr>
        <w:t xml:space="preserve">is </w:t>
      </w:r>
      <w:r w:rsidR="00B8245A">
        <w:rPr>
          <w:lang w:bidi="he-IL"/>
        </w:rPr>
        <w:t>Eliezer appears only here. I</w:t>
      </w:r>
      <w:r w:rsidR="00E71BB4">
        <w:rPr>
          <w:lang w:bidi="he-IL"/>
        </w:rPr>
        <w:t>t</w:t>
      </w:r>
      <w:r w:rsidR="0093475F">
        <w:rPr>
          <w:lang w:bidi="he-IL"/>
        </w:rPr>
        <w:t xml:space="preserve"> i</w:t>
      </w:r>
      <w:r w:rsidR="00E71BB4">
        <w:rPr>
          <w:lang w:bidi="he-IL"/>
        </w:rPr>
        <w:t xml:space="preserve">s odd that </w:t>
      </w:r>
      <w:r w:rsidR="00B8245A">
        <w:rPr>
          <w:lang w:bidi="he-IL"/>
        </w:rPr>
        <w:t>there is no mention of Lot, the nephew who came from Harran as a member of Abraham’s household</w:t>
      </w:r>
      <w:r w:rsidR="005E0C38">
        <w:rPr>
          <w:lang w:bidi="he-IL"/>
        </w:rPr>
        <w:t>; maybe Abraham simply takes</w:t>
      </w:r>
      <w:r w:rsidR="00E71BB4">
        <w:rPr>
          <w:lang w:bidi="he-IL"/>
        </w:rPr>
        <w:t xml:space="preserve"> for granted that he</w:t>
      </w:r>
      <w:r w:rsidR="00E71BB4" w:rsidRPr="00E71BB4">
        <w:rPr>
          <w:lang w:bidi="he-IL"/>
        </w:rPr>
        <w:t xml:space="preserve"> has eliminated himself from consideration.</w:t>
      </w:r>
      <w:r w:rsidR="00A1744E">
        <w:rPr>
          <w:rStyle w:val="FootnoteReference"/>
          <w:lang w:bidi="he-IL"/>
        </w:rPr>
        <w:footnoteReference w:id="210"/>
      </w:r>
    </w:p>
    <w:p w14:paraId="04F00CDE" w14:textId="7B832DD6" w:rsidR="002615AB" w:rsidRDefault="000D3205" w:rsidP="004F472B">
      <w:pPr>
        <w:rPr>
          <w:lang w:bidi="he-IL"/>
        </w:rPr>
      </w:pPr>
      <w:r>
        <w:rPr>
          <w:b/>
          <w:lang w:bidi="he-IL"/>
        </w:rPr>
        <w:t>15:3-6</w:t>
      </w:r>
      <w:r w:rsidR="002615AB">
        <w:rPr>
          <w:b/>
          <w:lang w:bidi="he-IL"/>
        </w:rPr>
        <w:t xml:space="preserve">. </w:t>
      </w:r>
      <w:r w:rsidR="002615AB">
        <w:rPr>
          <w:lang w:bidi="he-IL"/>
        </w:rPr>
        <w:t>Fortunate</w:t>
      </w:r>
      <w:r w:rsidR="005E0C38">
        <w:rPr>
          <w:lang w:bidi="he-IL"/>
        </w:rPr>
        <w:t>ly Abraham goes on to express his</w:t>
      </w:r>
      <w:r w:rsidR="00D87472">
        <w:rPr>
          <w:lang w:bidi="he-IL"/>
        </w:rPr>
        <w:t xml:space="preserve"> point more straightforwardly, though also more confrontationally. Not</w:t>
      </w:r>
      <w:r w:rsidR="008C18C2">
        <w:rPr>
          <w:lang w:bidi="he-IL"/>
        </w:rPr>
        <w:t>withstanding the</w:t>
      </w:r>
      <w:r w:rsidR="00D87472">
        <w:rPr>
          <w:lang w:bidi="he-IL"/>
        </w:rPr>
        <w:t xml:space="preserve"> </w:t>
      </w:r>
      <w:r w:rsidR="003D56BA">
        <w:rPr>
          <w:lang w:bidi="he-IL"/>
        </w:rPr>
        <w:t>“</w:t>
      </w:r>
      <w:r w:rsidR="00D87472">
        <w:rPr>
          <w:lang w:bidi="he-IL"/>
        </w:rPr>
        <w:t>Lord Yahweh</w:t>
      </w:r>
      <w:r w:rsidR="003D56BA">
        <w:rPr>
          <w:lang w:bidi="he-IL"/>
        </w:rPr>
        <w:t>”</w:t>
      </w:r>
      <w:r w:rsidR="005E0C38">
        <w:rPr>
          <w:lang w:bidi="he-IL"/>
        </w:rPr>
        <w:t xml:space="preserve"> salutation, He</w:t>
      </w:r>
      <w:r w:rsidR="00D87472">
        <w:rPr>
          <w:lang w:bidi="he-IL"/>
        </w:rPr>
        <w:t xml:space="preserve"> is </w:t>
      </w:r>
      <w:r w:rsidR="005E0C38">
        <w:rPr>
          <w:lang w:bidi="he-IL"/>
        </w:rPr>
        <w:t xml:space="preserve">indeed </w:t>
      </w:r>
      <w:r w:rsidR="00D87472">
        <w:rPr>
          <w:lang w:bidi="he-IL"/>
        </w:rPr>
        <w:t>quite confident about being forthrig</w:t>
      </w:r>
      <w:r w:rsidR="008C18C2">
        <w:rPr>
          <w:lang w:bidi="he-IL"/>
        </w:rPr>
        <w:t xml:space="preserve">ht in what he says to God. Yahweh has been talking about </w:t>
      </w:r>
      <w:r w:rsidR="00E71BB4">
        <w:rPr>
          <w:lang w:bidi="he-IL"/>
        </w:rPr>
        <w:t xml:space="preserve">giving him his </w:t>
      </w:r>
      <w:r w:rsidR="008C18C2">
        <w:rPr>
          <w:lang w:bidi="he-IL"/>
        </w:rPr>
        <w:t xml:space="preserve">wages, but there is a more important giving that Abraham is concerned about, and Yahweh has not given the one thing Abraham </w:t>
      </w:r>
      <w:r w:rsidR="00E71BB4">
        <w:rPr>
          <w:lang w:bidi="he-IL"/>
        </w:rPr>
        <w:t xml:space="preserve">really </w:t>
      </w:r>
      <w:r w:rsidR="008C18C2">
        <w:rPr>
          <w:lang w:bidi="he-IL"/>
        </w:rPr>
        <w:t>wants</w:t>
      </w:r>
      <w:r w:rsidR="00D0225B">
        <w:rPr>
          <w:lang w:bidi="he-IL"/>
        </w:rPr>
        <w:t>.</w:t>
      </w:r>
      <w:r w:rsidR="00D51FC6">
        <w:rPr>
          <w:lang w:bidi="he-IL"/>
        </w:rPr>
        <w:t xml:space="preserve"> </w:t>
      </w:r>
      <w:r w:rsidR="008C18C2">
        <w:rPr>
          <w:lang w:bidi="he-IL"/>
        </w:rPr>
        <w:t xml:space="preserve">The person from his household </w:t>
      </w:r>
      <w:r w:rsidR="00E71BB4">
        <w:rPr>
          <w:lang w:bidi="he-IL"/>
        </w:rPr>
        <w:t xml:space="preserve">who </w:t>
      </w:r>
      <w:r w:rsidR="008C18C2">
        <w:rPr>
          <w:lang w:bidi="he-IL"/>
        </w:rPr>
        <w:t xml:space="preserve">will </w:t>
      </w:r>
      <w:r w:rsidR="00E71BB4">
        <w:rPr>
          <w:lang w:bidi="he-IL"/>
        </w:rPr>
        <w:t xml:space="preserve">look after things for him after he dies will </w:t>
      </w:r>
      <w:r w:rsidR="008C18C2">
        <w:rPr>
          <w:lang w:bidi="he-IL"/>
        </w:rPr>
        <w:t>be someone who belongs to his wider entourage</w:t>
      </w:r>
      <w:r w:rsidR="0093467B">
        <w:rPr>
          <w:lang w:bidi="he-IL"/>
        </w:rPr>
        <w:t>,</w:t>
      </w:r>
      <w:r w:rsidR="008C18C2">
        <w:rPr>
          <w:lang w:bidi="he-IL"/>
        </w:rPr>
        <w:t xml:space="preserve"> but </w:t>
      </w:r>
      <w:r w:rsidR="005E0C38">
        <w:rPr>
          <w:lang w:bidi="he-IL"/>
        </w:rPr>
        <w:t>his own</w:t>
      </w:r>
      <w:r w:rsidR="00E71BB4">
        <w:rPr>
          <w:lang w:bidi="he-IL"/>
        </w:rPr>
        <w:t xml:space="preserve"> </w:t>
      </w:r>
      <w:r w:rsidR="00A62432">
        <w:rPr>
          <w:lang w:bidi="he-IL"/>
        </w:rPr>
        <w:t xml:space="preserve">offspring </w:t>
      </w:r>
      <w:r w:rsidR="00E71BB4">
        <w:rPr>
          <w:lang w:bidi="he-IL"/>
        </w:rPr>
        <w:t xml:space="preserve">will </w:t>
      </w:r>
      <w:r w:rsidR="008C18C2">
        <w:rPr>
          <w:lang w:bidi="he-IL"/>
        </w:rPr>
        <w:t xml:space="preserve">not </w:t>
      </w:r>
      <w:r w:rsidR="00E71BB4">
        <w:rPr>
          <w:lang w:bidi="he-IL"/>
        </w:rPr>
        <w:t xml:space="preserve">be </w:t>
      </w:r>
      <w:r w:rsidR="005E0C38">
        <w:rPr>
          <w:lang w:bidi="he-IL"/>
        </w:rPr>
        <w:t>the one</w:t>
      </w:r>
      <w:r w:rsidR="0093467B">
        <w:rPr>
          <w:lang w:bidi="he-IL"/>
        </w:rPr>
        <w:t xml:space="preserve"> who</w:t>
      </w:r>
      <w:r w:rsidR="00991A7E">
        <w:rPr>
          <w:lang w:bidi="he-IL"/>
        </w:rPr>
        <w:t xml:space="preserve"> become</w:t>
      </w:r>
      <w:r w:rsidR="0093467B">
        <w:rPr>
          <w:lang w:bidi="he-IL"/>
        </w:rPr>
        <w:t>s</w:t>
      </w:r>
      <w:r w:rsidR="005E0C38">
        <w:rPr>
          <w:lang w:bidi="he-IL"/>
        </w:rPr>
        <w:t xml:space="preserve"> the owner of all that he</w:t>
      </w:r>
      <w:r w:rsidR="00991A7E">
        <w:rPr>
          <w:lang w:bidi="he-IL"/>
        </w:rPr>
        <w:t xml:space="preserve"> possesses.</w:t>
      </w:r>
    </w:p>
    <w:p w14:paraId="2D4F7F80" w14:textId="0C43E19D" w:rsidR="0017337E" w:rsidRDefault="00463FDB" w:rsidP="0017337E">
      <w:r>
        <w:rPr>
          <w:lang w:bidi="he-IL"/>
        </w:rPr>
        <w:t>The str</w:t>
      </w:r>
      <w:r w:rsidR="0093467B">
        <w:rPr>
          <w:lang w:bidi="he-IL"/>
        </w:rPr>
        <w:t>aight talking pays off (v. 4) and t</w:t>
      </w:r>
      <w:r>
        <w:rPr>
          <w:lang w:bidi="he-IL"/>
        </w:rPr>
        <w:t>he promise from 12:2-3, 7;</w:t>
      </w:r>
      <w:r w:rsidR="001412BD">
        <w:rPr>
          <w:lang w:bidi="he-IL"/>
        </w:rPr>
        <w:t xml:space="preserve"> 13:15-16 becomes </w:t>
      </w:r>
      <w:r w:rsidR="00BA49CC">
        <w:rPr>
          <w:lang w:bidi="he-IL"/>
        </w:rPr>
        <w:t xml:space="preserve">more explicit. Yahweh sets </w:t>
      </w:r>
      <w:r w:rsidR="003D56BA">
        <w:rPr>
          <w:lang w:bidi="he-IL"/>
        </w:rPr>
        <w:t>“</w:t>
      </w:r>
      <w:r w:rsidR="001412BD">
        <w:rPr>
          <w:lang w:bidi="he-IL"/>
        </w:rPr>
        <w:t>your insides</w:t>
      </w:r>
      <w:r w:rsidR="003D56BA">
        <w:rPr>
          <w:lang w:bidi="he-IL"/>
        </w:rPr>
        <w:t>”</w:t>
      </w:r>
      <w:r w:rsidR="001412BD">
        <w:rPr>
          <w:lang w:bidi="he-IL"/>
        </w:rPr>
        <w:t xml:space="preserve"> against </w:t>
      </w:r>
      <w:r w:rsidR="003D56BA">
        <w:rPr>
          <w:lang w:bidi="he-IL"/>
        </w:rPr>
        <w:t>“</w:t>
      </w:r>
      <w:r w:rsidR="001412BD">
        <w:rPr>
          <w:lang w:bidi="he-IL"/>
        </w:rPr>
        <w:t>my household,</w:t>
      </w:r>
      <w:r w:rsidR="003D56BA">
        <w:rPr>
          <w:lang w:bidi="he-IL"/>
        </w:rPr>
        <w:t>”</w:t>
      </w:r>
      <w:r w:rsidR="001412BD">
        <w:rPr>
          <w:rStyle w:val="FootnoteReference"/>
          <w:lang w:bidi="he-IL"/>
        </w:rPr>
        <w:footnoteReference w:id="211"/>
      </w:r>
      <w:r w:rsidR="001412BD">
        <w:rPr>
          <w:lang w:bidi="he-IL"/>
        </w:rPr>
        <w:t xml:space="preserve"> leaving himself</w:t>
      </w:r>
      <w:r>
        <w:rPr>
          <w:lang w:bidi="he-IL"/>
        </w:rPr>
        <w:t xml:space="preserve"> very little wiggle room.</w:t>
      </w:r>
      <w:r w:rsidR="001412BD">
        <w:rPr>
          <w:lang w:bidi="he-IL"/>
        </w:rPr>
        <w:t xml:space="preserve"> </w:t>
      </w:r>
      <w:r w:rsidR="004F3144">
        <w:rPr>
          <w:lang w:bidi="he-IL"/>
        </w:rPr>
        <w:t>The promise compares with God’s later promise to David (2 Sam 7:12) an</w:t>
      </w:r>
      <w:r w:rsidR="0017337E">
        <w:rPr>
          <w:lang w:bidi="he-IL"/>
        </w:rPr>
        <w:t>d thus anticipatorily implie</w:t>
      </w:r>
      <w:r w:rsidR="004F3144">
        <w:rPr>
          <w:lang w:bidi="he-IL"/>
        </w:rPr>
        <w:t>s that it belongs to Abraham’s offspring as a whole not just the king.</w:t>
      </w:r>
      <w:r w:rsidR="004F3144">
        <w:rPr>
          <w:rStyle w:val="FootnoteReference"/>
          <w:lang w:bidi="he-IL"/>
        </w:rPr>
        <w:footnoteReference w:id="212"/>
      </w:r>
      <w:r w:rsidR="0017337E">
        <w:rPr>
          <w:lang w:bidi="he-IL"/>
        </w:rPr>
        <w:t xml:space="preserve"> Yet Jesus doesn’t reiterate and generalize this promise as he reiterates and generalizes the one about wages, even though </w:t>
      </w:r>
      <w:r w:rsidR="0017337E" w:rsidRPr="005F242B">
        <w:rPr>
          <w:lang w:bidi="he-IL"/>
        </w:rPr>
        <w:t>sadness at not being able to pa</w:t>
      </w:r>
      <w:r w:rsidR="0017337E">
        <w:rPr>
          <w:lang w:bidi="he-IL"/>
        </w:rPr>
        <w:t xml:space="preserve">ss on the family business </w:t>
      </w:r>
      <w:r w:rsidR="0017337E" w:rsidRPr="005F242B">
        <w:rPr>
          <w:lang w:bidi="he-IL"/>
        </w:rPr>
        <w:t xml:space="preserve">is not confined to traditional societies </w:t>
      </w:r>
      <w:r w:rsidR="0017337E">
        <w:rPr>
          <w:lang w:bidi="he-IL"/>
        </w:rPr>
        <w:t xml:space="preserve">but is </w:t>
      </w:r>
      <w:r w:rsidR="0017337E" w:rsidRPr="005F242B">
        <w:rPr>
          <w:lang w:bidi="he-IL"/>
        </w:rPr>
        <w:t>quite cross-cultural</w:t>
      </w:r>
      <w:r w:rsidR="0017337E">
        <w:rPr>
          <w:lang w:bidi="he-IL"/>
        </w:rPr>
        <w:t>, like s</w:t>
      </w:r>
      <w:r w:rsidR="0017337E" w:rsidRPr="005F242B">
        <w:rPr>
          <w:lang w:bidi="he-IL"/>
        </w:rPr>
        <w:t>adness about never having had children</w:t>
      </w:r>
      <w:r w:rsidR="0017337E">
        <w:rPr>
          <w:lang w:bidi="he-IL"/>
        </w:rPr>
        <w:t>. He does reiterate the promise of fruitfulness (e.g., Mark 4). T</w:t>
      </w:r>
      <w:r w:rsidR="0017337E" w:rsidRPr="0035280F">
        <w:t xml:space="preserve">here are other forms of fecundity, of </w:t>
      </w:r>
      <w:r w:rsidR="0017337E">
        <w:t>“</w:t>
      </w:r>
      <w:r w:rsidR="0017337E" w:rsidRPr="0035280F">
        <w:t>capacity to touch hearts and to give life.</w:t>
      </w:r>
      <w:r w:rsidR="0017337E">
        <w:t>”</w:t>
      </w:r>
      <w:r w:rsidR="0017337E" w:rsidRPr="0035280F">
        <w:rPr>
          <w:rStyle w:val="FootnoteReference"/>
          <w:rFonts w:eastAsiaTheme="majorEastAsia"/>
        </w:rPr>
        <w:footnoteReference w:id="213"/>
      </w:r>
      <w:r w:rsidR="0017337E">
        <w:t xml:space="preserve"> </w:t>
      </w:r>
    </w:p>
    <w:p w14:paraId="5C2C12D0" w14:textId="77777777" w:rsidR="00E320FD" w:rsidRDefault="00DB4C7C" w:rsidP="004F472B">
      <w:pPr>
        <w:rPr>
          <w:lang w:bidi="he-IL"/>
        </w:rPr>
      </w:pPr>
      <w:r>
        <w:rPr>
          <w:lang w:bidi="he-IL"/>
        </w:rPr>
        <w:t>Unnecessarily and</w:t>
      </w:r>
      <w:r w:rsidR="00463FDB">
        <w:rPr>
          <w:lang w:bidi="he-IL"/>
        </w:rPr>
        <w:t xml:space="preserve"> unprompted, Yahweh goes on to mak</w:t>
      </w:r>
      <w:r>
        <w:rPr>
          <w:lang w:bidi="he-IL"/>
        </w:rPr>
        <w:t xml:space="preserve">e the promise more spectacular (v. 5). </w:t>
      </w:r>
      <w:r w:rsidR="005E0C38">
        <w:rPr>
          <w:lang w:bidi="he-IL"/>
        </w:rPr>
        <w:t xml:space="preserve">Yahweh again </w:t>
      </w:r>
      <w:r>
        <w:rPr>
          <w:lang w:bidi="he-IL"/>
        </w:rPr>
        <w:t xml:space="preserve">says </w:t>
      </w:r>
      <w:r w:rsidR="003D56BA">
        <w:rPr>
          <w:lang w:bidi="he-IL"/>
        </w:rPr>
        <w:t>“</w:t>
      </w:r>
      <w:r>
        <w:rPr>
          <w:lang w:bidi="he-IL"/>
        </w:rPr>
        <w:t>please</w:t>
      </w:r>
      <w:r w:rsidR="003D56BA">
        <w:rPr>
          <w:lang w:bidi="he-IL"/>
        </w:rPr>
        <w:t>”</w:t>
      </w:r>
      <w:r>
        <w:rPr>
          <w:lang w:bidi="he-IL"/>
        </w:rPr>
        <w:t xml:space="preserve"> in connection with making an </w:t>
      </w:r>
      <w:r w:rsidR="005E0C38">
        <w:rPr>
          <w:lang w:bidi="he-IL"/>
        </w:rPr>
        <w:t>outrageous undertaking</w:t>
      </w:r>
      <w:r w:rsidR="00E320FD">
        <w:rPr>
          <w:lang w:bidi="he-IL"/>
        </w:rPr>
        <w:t>, as he did in connection with the promise of land and</w:t>
      </w:r>
      <w:r w:rsidR="005E0C38">
        <w:rPr>
          <w:lang w:bidi="he-IL"/>
        </w:rPr>
        <w:t xml:space="preserve"> people in 13:14-17. He</w:t>
      </w:r>
      <w:r w:rsidR="00E320FD">
        <w:rPr>
          <w:lang w:bidi="he-IL"/>
        </w:rPr>
        <w:t xml:space="preserve"> </w:t>
      </w:r>
      <w:r w:rsidR="005E0C38">
        <w:rPr>
          <w:lang w:bidi="he-IL"/>
        </w:rPr>
        <w:t xml:space="preserve">again </w:t>
      </w:r>
      <w:r w:rsidR="00E320FD">
        <w:rPr>
          <w:lang w:bidi="he-IL"/>
        </w:rPr>
        <w:t xml:space="preserve">invites Abraham to look—not this time at the land but at the </w:t>
      </w:r>
      <w:r w:rsidR="00D87303">
        <w:rPr>
          <w:lang w:bidi="he-IL"/>
        </w:rPr>
        <w:t xml:space="preserve">night </w:t>
      </w:r>
      <w:r w:rsidR="00E320FD">
        <w:rPr>
          <w:lang w:bidi="he-IL"/>
        </w:rPr>
        <w:t>sky</w:t>
      </w:r>
      <w:r w:rsidR="00DB6A42">
        <w:rPr>
          <w:lang w:bidi="he-IL"/>
        </w:rPr>
        <w:t xml:space="preserve">; </w:t>
      </w:r>
      <w:r w:rsidR="00D87303">
        <w:rPr>
          <w:lang w:bidi="he-IL"/>
        </w:rPr>
        <w:t>visions commonly come at ni</w:t>
      </w:r>
      <w:r w:rsidR="005E0C38">
        <w:rPr>
          <w:lang w:bidi="he-IL"/>
        </w:rPr>
        <w:t xml:space="preserve">ght </w:t>
      </w:r>
      <w:r w:rsidR="00DB6A42">
        <w:rPr>
          <w:lang w:bidi="he-IL"/>
        </w:rPr>
        <w:t>(u</w:t>
      </w:r>
      <w:r w:rsidR="005E0C38">
        <w:rPr>
          <w:lang w:bidi="he-IL"/>
        </w:rPr>
        <w:t>nless this</w:t>
      </w:r>
      <w:r w:rsidR="00DB6A42" w:rsidRPr="00DB6A42">
        <w:rPr>
          <w:lang w:bidi="he-IL"/>
        </w:rPr>
        <w:t xml:space="preserve"> bidding gai</w:t>
      </w:r>
      <w:r w:rsidR="005E0C38">
        <w:rPr>
          <w:lang w:bidi="he-IL"/>
        </w:rPr>
        <w:t xml:space="preserve">ns </w:t>
      </w:r>
      <w:r w:rsidR="00DB6A42">
        <w:rPr>
          <w:lang w:bidi="he-IL"/>
        </w:rPr>
        <w:t xml:space="preserve">force from </w:t>
      </w:r>
      <w:r w:rsidR="00DB6A42" w:rsidRPr="00DB6A42">
        <w:rPr>
          <w:lang w:bidi="he-IL"/>
        </w:rPr>
        <w:t>it</w:t>
      </w:r>
      <w:r w:rsidR="00DB6A42">
        <w:rPr>
          <w:lang w:bidi="he-IL"/>
        </w:rPr>
        <w:t xml:space="preserve"> being</w:t>
      </w:r>
      <w:r w:rsidR="00DB6A42" w:rsidRPr="00DB6A42">
        <w:rPr>
          <w:lang w:bidi="he-IL"/>
        </w:rPr>
        <w:t xml:space="preserve"> daytime</w:t>
      </w:r>
      <w:r w:rsidR="00DB6A42">
        <w:rPr>
          <w:lang w:bidi="he-IL"/>
        </w:rPr>
        <w:t>!</w:t>
      </w:r>
      <w:r w:rsidR="00D87303">
        <w:rPr>
          <w:lang w:bidi="he-IL"/>
        </w:rPr>
        <w:t>)</w:t>
      </w:r>
      <w:r w:rsidR="00E320FD">
        <w:rPr>
          <w:lang w:bidi="he-IL"/>
        </w:rPr>
        <w:t>.</w:t>
      </w:r>
      <w:r w:rsidR="00DB6A42">
        <w:rPr>
          <w:rStyle w:val="FootnoteReference"/>
          <w:lang w:bidi="he-IL"/>
        </w:rPr>
        <w:footnoteReference w:id="214"/>
      </w:r>
      <w:r w:rsidR="00E320FD">
        <w:rPr>
          <w:lang w:bidi="he-IL"/>
        </w:rPr>
        <w:t xml:space="preserve"> The simile he suggests is again ridiculous (count the dirt, count the stars?). </w:t>
      </w:r>
    </w:p>
    <w:p w14:paraId="21DA8DC1" w14:textId="76E4522A" w:rsidR="000D3205" w:rsidRDefault="000D3205" w:rsidP="00D77580">
      <w:pPr>
        <w:rPr>
          <w:lang w:bidi="he-IL"/>
        </w:rPr>
      </w:pPr>
      <w:r>
        <w:rPr>
          <w:lang w:bidi="he-IL"/>
        </w:rPr>
        <w:t xml:space="preserve">Abraham’s immediate reaction is therefore </w:t>
      </w:r>
      <w:r w:rsidR="00420806">
        <w:rPr>
          <w:lang w:bidi="he-IL"/>
        </w:rPr>
        <w:t xml:space="preserve">significant </w:t>
      </w:r>
      <w:r>
        <w:rPr>
          <w:lang w:bidi="he-IL"/>
        </w:rPr>
        <w:t xml:space="preserve">(v. 6). Another key </w:t>
      </w:r>
      <w:r w:rsidR="0083351C">
        <w:rPr>
          <w:lang w:bidi="he-IL"/>
        </w:rPr>
        <w:t xml:space="preserve">verb makes its first appearance, </w:t>
      </w:r>
      <w:r w:rsidR="003D56BA">
        <w:rPr>
          <w:lang w:bidi="he-IL"/>
        </w:rPr>
        <w:t>“</w:t>
      </w:r>
      <w:r w:rsidR="0083351C">
        <w:rPr>
          <w:lang w:bidi="he-IL"/>
        </w:rPr>
        <w:t>t</w:t>
      </w:r>
      <w:r>
        <w:rPr>
          <w:lang w:bidi="he-IL"/>
        </w:rPr>
        <w:t>rust</w:t>
      </w:r>
      <w:r w:rsidR="003D56BA">
        <w:rPr>
          <w:lang w:bidi="he-IL"/>
        </w:rPr>
        <w:t>”</w:t>
      </w:r>
      <w:r>
        <w:rPr>
          <w:lang w:bidi="he-IL"/>
        </w:rPr>
        <w:t xml:space="preserve"> (</w:t>
      </w:r>
      <w:r>
        <w:rPr>
          <w:i/>
          <w:lang w:bidi="he-IL"/>
        </w:rPr>
        <w:t>’āman</w:t>
      </w:r>
      <w:r>
        <w:rPr>
          <w:lang w:bidi="he-IL"/>
        </w:rPr>
        <w:t xml:space="preserve"> hiphil</w:t>
      </w:r>
      <w:r w:rsidR="0083351C">
        <w:rPr>
          <w:lang w:bidi="he-IL"/>
        </w:rPr>
        <w:t xml:space="preserve">). </w:t>
      </w:r>
      <w:r w:rsidR="00420806">
        <w:rPr>
          <w:lang w:bidi="he-IL"/>
        </w:rPr>
        <w:t>T</w:t>
      </w:r>
      <w:r w:rsidR="0057074F">
        <w:rPr>
          <w:lang w:bidi="he-IL"/>
        </w:rPr>
        <w:t>h</w:t>
      </w:r>
      <w:r w:rsidR="003D339A">
        <w:rPr>
          <w:lang w:bidi="he-IL"/>
        </w:rPr>
        <w:t xml:space="preserve">e First Testament speaks </w:t>
      </w:r>
      <w:r w:rsidR="0057074F">
        <w:rPr>
          <w:lang w:bidi="he-IL"/>
        </w:rPr>
        <w:t xml:space="preserve">often of </w:t>
      </w:r>
      <w:r w:rsidR="0057074F">
        <w:rPr>
          <w:i/>
          <w:lang w:bidi="he-IL"/>
        </w:rPr>
        <w:t>not</w:t>
      </w:r>
      <w:r w:rsidR="0057074F">
        <w:rPr>
          <w:lang w:bidi="he-IL"/>
        </w:rPr>
        <w:t xml:space="preserve"> trusting (e.g., Deut 1:32; 9:23; 2 Kings 17:14; Ps 78:22)</w:t>
      </w:r>
      <w:r w:rsidR="00420806">
        <w:rPr>
          <w:lang w:bidi="he-IL"/>
        </w:rPr>
        <w:t xml:space="preserve">, which highlights </w:t>
      </w:r>
      <w:r w:rsidR="003D339A">
        <w:rPr>
          <w:lang w:bidi="he-IL"/>
        </w:rPr>
        <w:t>he remarkable nature of Abraham’s</w:t>
      </w:r>
      <w:r w:rsidR="00420806" w:rsidRPr="00420806">
        <w:rPr>
          <w:lang w:bidi="he-IL"/>
        </w:rPr>
        <w:t xml:space="preserve"> reaction</w:t>
      </w:r>
      <w:r w:rsidR="00420806">
        <w:rPr>
          <w:lang w:bidi="he-IL"/>
        </w:rPr>
        <w:t>.</w:t>
      </w:r>
      <w:r w:rsidR="0093467B">
        <w:rPr>
          <w:lang w:bidi="he-IL"/>
        </w:rPr>
        <w:t xml:space="preserve"> </w:t>
      </w:r>
      <w:r w:rsidR="00420806">
        <w:rPr>
          <w:lang w:bidi="he-IL"/>
        </w:rPr>
        <w:t>While t</w:t>
      </w:r>
      <w:r w:rsidR="0083351C">
        <w:rPr>
          <w:lang w:bidi="he-IL"/>
        </w:rPr>
        <w:t>he verb can suggest m</w:t>
      </w:r>
      <w:r w:rsidR="00420806">
        <w:rPr>
          <w:lang w:bidi="he-IL"/>
        </w:rPr>
        <w:t xml:space="preserve">ental assent to some words, </w:t>
      </w:r>
      <w:r w:rsidR="0083351C">
        <w:rPr>
          <w:lang w:bidi="he-IL"/>
        </w:rPr>
        <w:t>it mor</w:t>
      </w:r>
      <w:r w:rsidR="00420806">
        <w:rPr>
          <w:lang w:bidi="he-IL"/>
        </w:rPr>
        <w:t>e characteristically denotes that one is placing one’s entire</w:t>
      </w:r>
      <w:r w:rsidR="0093467B">
        <w:rPr>
          <w:lang w:bidi="he-IL"/>
        </w:rPr>
        <w:t xml:space="preserve"> reliance on</w:t>
      </w:r>
      <w:r w:rsidR="00420806">
        <w:rPr>
          <w:lang w:bidi="he-IL"/>
        </w:rPr>
        <w:t xml:space="preserve"> someone else, </w:t>
      </w:r>
      <w:r w:rsidR="0083351C">
        <w:rPr>
          <w:lang w:bidi="he-IL"/>
        </w:rPr>
        <w:t>entrusting</w:t>
      </w:r>
      <w:r w:rsidR="00420806">
        <w:rPr>
          <w:lang w:bidi="he-IL"/>
        </w:rPr>
        <w:t xml:space="preserve"> </w:t>
      </w:r>
      <w:r w:rsidR="0093467B">
        <w:rPr>
          <w:lang w:bidi="he-IL"/>
        </w:rPr>
        <w:t>oneself to this person</w:t>
      </w:r>
      <w:r w:rsidR="0083351C">
        <w:rPr>
          <w:lang w:bidi="he-IL"/>
        </w:rPr>
        <w:t xml:space="preserve">. The syntax suggests that this </w:t>
      </w:r>
      <w:r w:rsidR="0083351C">
        <w:rPr>
          <w:lang w:bidi="he-IL"/>
        </w:rPr>
        <w:lastRenderedPageBreak/>
        <w:t>trust is not something that Abraham now shows for the first time but an attitude that has already characterized him</w:t>
      </w:r>
      <w:r w:rsidR="003D339A">
        <w:rPr>
          <w:lang w:bidi="he-IL"/>
        </w:rPr>
        <w:t>, as one can see</w:t>
      </w:r>
      <w:r w:rsidR="0083351C">
        <w:rPr>
          <w:lang w:bidi="he-IL"/>
        </w:rPr>
        <w:t xml:space="preserve"> (e.g., in 12:1-8). </w:t>
      </w:r>
      <w:r w:rsidR="00420806">
        <w:rPr>
          <w:lang w:bidi="he-IL"/>
        </w:rPr>
        <w:t xml:space="preserve">So the </w:t>
      </w:r>
      <w:r w:rsidR="0093467B">
        <w:rPr>
          <w:lang w:bidi="he-IL"/>
        </w:rPr>
        <w:t>comment makes somet</w:t>
      </w:r>
      <w:r w:rsidR="003D339A">
        <w:rPr>
          <w:lang w:bidi="he-IL"/>
        </w:rPr>
        <w:t>hing explicit that</w:t>
      </w:r>
      <w:r w:rsidR="0093467B">
        <w:rPr>
          <w:lang w:bidi="he-IL"/>
        </w:rPr>
        <w:t xml:space="preserve"> has been implicit already. </w:t>
      </w:r>
      <w:r w:rsidR="0083351C">
        <w:rPr>
          <w:lang w:bidi="he-IL"/>
        </w:rPr>
        <w:t>The logic and the grammar then suggest that the one who does the trust</w:t>
      </w:r>
      <w:r w:rsidR="0093467B">
        <w:rPr>
          <w:lang w:bidi="he-IL"/>
        </w:rPr>
        <w:t>ing</w:t>
      </w:r>
      <w:r w:rsidR="0083351C">
        <w:rPr>
          <w:lang w:bidi="he-IL"/>
        </w:rPr>
        <w:t xml:space="preserve"> is also the one who does the deeming. As an expression of his trust, Abraham concludes that he can believe that Yahweh will be faithful to him and to his promise</w:t>
      </w:r>
      <w:r w:rsidR="0093467B">
        <w:rPr>
          <w:lang w:bidi="he-IL"/>
        </w:rPr>
        <w:t xml:space="preserve">. Yahweh will show </w:t>
      </w:r>
      <w:r w:rsidR="0093467B">
        <w:rPr>
          <w:i/>
          <w:lang w:bidi="he-IL"/>
        </w:rPr>
        <w:t>ṣᵉdāqāh</w:t>
      </w:r>
      <w:r w:rsidR="0093467B">
        <w:rPr>
          <w:lang w:bidi="he-IL"/>
        </w:rPr>
        <w:t>; he will do the right thing by Abraham</w:t>
      </w:r>
      <w:r w:rsidR="0083351C">
        <w:rPr>
          <w:lang w:bidi="he-IL"/>
        </w:rPr>
        <w:t xml:space="preserve">. Gen 6:9 has commented on </w:t>
      </w:r>
      <w:r w:rsidR="00420806">
        <w:rPr>
          <w:lang w:bidi="he-IL"/>
        </w:rPr>
        <w:t xml:space="preserve">Noah’s </w:t>
      </w:r>
      <w:r w:rsidR="00420806" w:rsidRPr="00420806">
        <w:rPr>
          <w:i/>
          <w:lang w:bidi="he-IL"/>
        </w:rPr>
        <w:t>ṣᵉdāqāh</w:t>
      </w:r>
      <w:r w:rsidR="0066791F">
        <w:rPr>
          <w:lang w:bidi="he-IL"/>
        </w:rPr>
        <w:t xml:space="preserve"> as someone </w:t>
      </w:r>
      <w:r w:rsidR="0093467B">
        <w:rPr>
          <w:lang w:bidi="he-IL"/>
        </w:rPr>
        <w:t>who lived</w:t>
      </w:r>
      <w:r w:rsidR="0083351C">
        <w:rPr>
          <w:lang w:bidi="he-IL"/>
        </w:rPr>
        <w:t xml:space="preserve"> in the right way in his relationship with God and with </w:t>
      </w:r>
      <w:r w:rsidR="0066791F">
        <w:rPr>
          <w:lang w:bidi="he-IL"/>
        </w:rPr>
        <w:t xml:space="preserve">the </w:t>
      </w:r>
      <w:r w:rsidR="0083351C">
        <w:rPr>
          <w:lang w:bidi="he-IL"/>
        </w:rPr>
        <w:t>other people</w:t>
      </w:r>
      <w:r w:rsidR="0066791F">
        <w:rPr>
          <w:lang w:bidi="he-IL"/>
        </w:rPr>
        <w:t xml:space="preserve"> in his family and c</w:t>
      </w:r>
      <w:r w:rsidR="0093467B">
        <w:rPr>
          <w:lang w:bidi="he-IL"/>
        </w:rPr>
        <w:t>ommunity. In this respect Noah wa</w:t>
      </w:r>
      <w:r w:rsidR="0066791F">
        <w:rPr>
          <w:lang w:bidi="he-IL"/>
        </w:rPr>
        <w:t>s God-like. Actually, Yahweh is the original one who lives right</w:t>
      </w:r>
      <w:r w:rsidR="00420806">
        <w:rPr>
          <w:lang w:bidi="he-IL"/>
        </w:rPr>
        <w:t>ly in his relationship with people. An aspect of Abraham’s trust</w:t>
      </w:r>
      <w:r w:rsidR="0066791F">
        <w:rPr>
          <w:lang w:bidi="he-IL"/>
        </w:rPr>
        <w:t xml:space="preserve"> is </w:t>
      </w:r>
      <w:r w:rsidR="00420806">
        <w:rPr>
          <w:lang w:bidi="he-IL"/>
        </w:rPr>
        <w:t>that he is prepared to see</w:t>
      </w:r>
      <w:r w:rsidR="0066791F">
        <w:rPr>
          <w:lang w:bidi="he-IL"/>
        </w:rPr>
        <w:t xml:space="preserve"> Yahweh as having that characteristic and to expect that it will be expressed in his faithfulness to his promise.</w:t>
      </w:r>
      <w:r w:rsidR="00D77580">
        <w:rPr>
          <w:lang w:bidi="he-IL"/>
        </w:rPr>
        <w:t xml:space="preserve"> </w:t>
      </w:r>
      <w:r w:rsidR="00D77580">
        <w:rPr>
          <w:lang w:val="en-GB" w:bidi="he-IL"/>
        </w:rPr>
        <w:t>“The only difference between us and Abraham is this, that Abraham believed the promises.”</w:t>
      </w:r>
      <w:r w:rsidR="00D77580">
        <w:rPr>
          <w:rStyle w:val="FootnoteReference"/>
          <w:lang w:val="en-GB" w:bidi="he-IL"/>
        </w:rPr>
        <w:footnoteReference w:id="215"/>
      </w:r>
    </w:p>
    <w:p w14:paraId="587CF6EF" w14:textId="24DC3815" w:rsidR="0063741A" w:rsidRDefault="0063741A" w:rsidP="0063741A">
      <w:pPr>
        <w:rPr>
          <w:lang w:bidi="he-IL"/>
        </w:rPr>
      </w:pPr>
      <w:r>
        <w:rPr>
          <w:lang w:bidi="he-IL"/>
        </w:rPr>
        <w:t>LXX translates v. 6 “it was r</w:t>
      </w:r>
      <w:r w:rsidR="00B6106A">
        <w:rPr>
          <w:lang w:bidi="he-IL"/>
        </w:rPr>
        <w:t xml:space="preserve">eckoned to him as </w:t>
      </w:r>
      <w:r w:rsidR="00B6106A">
        <w:rPr>
          <w:i/>
          <w:lang w:bidi="he-IL"/>
        </w:rPr>
        <w:t>dikaiosunē</w:t>
      </w:r>
      <w:r>
        <w:rPr>
          <w:lang w:bidi="he-IL"/>
        </w:rPr>
        <w:t>”</w:t>
      </w:r>
      <w:r w:rsidR="00420806">
        <w:rPr>
          <w:lang w:bidi="he-IL"/>
        </w:rPr>
        <w:t xml:space="preserve">; </w:t>
      </w:r>
      <w:r>
        <w:rPr>
          <w:lang w:bidi="he-IL"/>
        </w:rPr>
        <w:t xml:space="preserve">the </w:t>
      </w:r>
      <w:r w:rsidR="00A36105">
        <w:rPr>
          <w:lang w:bidi="he-IL"/>
        </w:rPr>
        <w:t>agent of the deeming</w:t>
      </w:r>
      <w:r w:rsidR="00420806">
        <w:rPr>
          <w:lang w:bidi="he-IL"/>
        </w:rPr>
        <w:t xml:space="preserve"> is then</w:t>
      </w:r>
      <w:r>
        <w:rPr>
          <w:lang w:bidi="he-IL"/>
        </w:rPr>
        <w:t xml:space="preserve"> Yahweh.</w:t>
      </w:r>
      <w:r w:rsidR="000F0609">
        <w:rPr>
          <w:rStyle w:val="FootnoteReference"/>
          <w:lang w:bidi="he-IL"/>
        </w:rPr>
        <w:footnoteReference w:id="216"/>
      </w:r>
      <w:r>
        <w:rPr>
          <w:lang w:bidi="he-IL"/>
        </w:rPr>
        <w:t xml:space="preserve"> When LXX’s tran</w:t>
      </w:r>
      <w:r w:rsidRPr="000B545A">
        <w:rPr>
          <w:lang w:bidi="he-IL"/>
        </w:rPr>
        <w:t>slation is reflected in Rom 4:3, 22; Gal 3:6; James 2:23</w:t>
      </w:r>
      <w:r>
        <w:rPr>
          <w:lang w:bidi="he-IL"/>
        </w:rPr>
        <w:t xml:space="preserve">, this assumption applies. </w:t>
      </w:r>
      <w:r w:rsidR="00A36105">
        <w:rPr>
          <w:lang w:bidi="he-IL"/>
        </w:rPr>
        <w:t>God is counting Abraham as</w:t>
      </w:r>
      <w:r w:rsidR="00B6106A">
        <w:rPr>
          <w:lang w:bidi="he-IL"/>
        </w:rPr>
        <w:t xml:space="preserve"> someone who is </w:t>
      </w:r>
      <w:r w:rsidR="00B6106A" w:rsidRPr="00B6106A">
        <w:rPr>
          <w:i/>
          <w:lang w:bidi="he-IL"/>
        </w:rPr>
        <w:t>dikaios</w:t>
      </w:r>
      <w:r w:rsidR="00B6106A">
        <w:rPr>
          <w:lang w:bidi="he-IL"/>
        </w:rPr>
        <w:t>.</w:t>
      </w:r>
      <w:r w:rsidR="00B6106A" w:rsidRPr="00B6106A">
        <w:rPr>
          <w:lang w:bidi="he-IL"/>
        </w:rPr>
        <w:t xml:space="preserve"> </w:t>
      </w:r>
      <w:r w:rsidR="00B6106A">
        <w:rPr>
          <w:lang w:bidi="he-IL"/>
        </w:rPr>
        <w:t>T</w:t>
      </w:r>
      <w:r>
        <w:rPr>
          <w:lang w:bidi="he-IL"/>
        </w:rPr>
        <w:t>here were believers in Jesus who insisted that observances such as circumcision and other requirements from the Torah must be</w:t>
      </w:r>
      <w:r w:rsidRPr="00BD6C89">
        <w:rPr>
          <w:lang w:bidi="he-IL"/>
        </w:rPr>
        <w:t xml:space="preserve"> add</w:t>
      </w:r>
      <w:r>
        <w:rPr>
          <w:lang w:bidi="he-IL"/>
        </w:rPr>
        <w:t xml:space="preserve">ed to </w:t>
      </w:r>
      <w:r w:rsidRPr="00BD6C89">
        <w:rPr>
          <w:lang w:bidi="he-IL"/>
        </w:rPr>
        <w:t>trust in Jesus</w:t>
      </w:r>
      <w:r>
        <w:rPr>
          <w:lang w:bidi="he-IL"/>
        </w:rPr>
        <w:t xml:space="preserve"> if people are to count as </w:t>
      </w:r>
      <w:r>
        <w:rPr>
          <w:i/>
          <w:lang w:bidi="he-IL"/>
        </w:rPr>
        <w:t>dikaioi.</w:t>
      </w:r>
      <w:r>
        <w:rPr>
          <w:lang w:bidi="he-IL"/>
        </w:rPr>
        <w:t xml:space="preserve"> Paul appeals to Abraham’s story to show that it cannot be so; Yahweh treated Abraham as </w:t>
      </w:r>
      <w:r>
        <w:rPr>
          <w:i/>
          <w:lang w:bidi="he-IL"/>
        </w:rPr>
        <w:t>dikaios</w:t>
      </w:r>
      <w:r>
        <w:rPr>
          <w:lang w:bidi="he-IL"/>
        </w:rPr>
        <w:t xml:space="preserve"> on the basis of his trust in his promise. With the irony that often obtains in connection with New Testament references to the First Testam</w:t>
      </w:r>
      <w:r w:rsidR="00B6106A">
        <w:rPr>
          <w:lang w:bidi="he-IL"/>
        </w:rPr>
        <w:t xml:space="preserve">ent, Paul’s </w:t>
      </w:r>
      <w:r>
        <w:rPr>
          <w:lang w:bidi="he-IL"/>
        </w:rPr>
        <w:t>quotation takes the</w:t>
      </w:r>
      <w:r w:rsidR="00A36105">
        <w:rPr>
          <w:lang w:bidi="he-IL"/>
        </w:rPr>
        <w:t>se particular</w:t>
      </w:r>
      <w:r>
        <w:rPr>
          <w:lang w:bidi="he-IL"/>
        </w:rPr>
        <w:t xml:space="preserve"> scriptural words in a way that is not inherent to them, but his point is a good First Testament one. The Genesis reference to Abraham’s trust is a comment on the stance he had taken to Yahweh in response to his promise and commiss</w:t>
      </w:r>
      <w:r w:rsidR="00B6106A">
        <w:rPr>
          <w:lang w:bidi="he-IL"/>
        </w:rPr>
        <w:t>ion from the beginning, and (</w:t>
      </w:r>
      <w:r>
        <w:rPr>
          <w:lang w:bidi="he-IL"/>
        </w:rPr>
        <w:t>Paul accurately notes) the requirement of circumcision has not been made yet. James can make an opposite point on the basis of this same comment on Abraham’s trust</w:t>
      </w:r>
      <w:r w:rsidR="00B6106A">
        <w:rPr>
          <w:lang w:bidi="he-IL"/>
        </w:rPr>
        <w:t>, with the same irony</w:t>
      </w:r>
      <w:r>
        <w:rPr>
          <w:lang w:bidi="he-IL"/>
        </w:rPr>
        <w:t>. James perhaps needs to deal with people who think that all you have to do is believe a</w:t>
      </w:r>
      <w:r w:rsidR="00B6106A">
        <w:rPr>
          <w:lang w:bidi="he-IL"/>
        </w:rPr>
        <w:t>nd thus that there is no need for</w:t>
      </w:r>
      <w:r>
        <w:rPr>
          <w:lang w:bidi="he-IL"/>
        </w:rPr>
        <w:t xml:space="preserve"> observances such as baptism or for sacrificial generos</w:t>
      </w:r>
      <w:r w:rsidR="00A36105">
        <w:rPr>
          <w:lang w:bidi="he-IL"/>
        </w:rPr>
        <w:t>ity to needy believers</w:t>
      </w:r>
      <w:r>
        <w:rPr>
          <w:lang w:bidi="he-IL"/>
        </w:rPr>
        <w:t>. And he can note that the later requirement of circumcision is a fulfillment of the requirement of trust—a filling out of this expectation.</w:t>
      </w:r>
      <w:r w:rsidR="00432220">
        <w:rPr>
          <w:rStyle w:val="FootnoteReference"/>
          <w:lang w:bidi="he-IL"/>
        </w:rPr>
        <w:footnoteReference w:id="217"/>
      </w:r>
      <w:r w:rsidR="00B6106A">
        <w:rPr>
          <w:lang w:bidi="he-IL"/>
        </w:rPr>
        <w:t xml:space="preserve"> </w:t>
      </w:r>
    </w:p>
    <w:p w14:paraId="4D1A1626" w14:textId="71291ECC" w:rsidR="00B652E3" w:rsidRDefault="00B652E3" w:rsidP="00B652E3">
      <w:pPr>
        <w:rPr>
          <w:lang w:bidi="he-IL"/>
        </w:rPr>
      </w:pPr>
      <w:r>
        <w:rPr>
          <w:lang w:bidi="he-IL"/>
        </w:rPr>
        <w:t>For readers over the past thousand years or so, there is a further double compli</w:t>
      </w:r>
      <w:r w:rsidR="00B6106A">
        <w:rPr>
          <w:lang w:bidi="he-IL"/>
        </w:rPr>
        <w:t xml:space="preserve">cation about understanding </w:t>
      </w:r>
      <w:r>
        <w:rPr>
          <w:lang w:bidi="he-IL"/>
        </w:rPr>
        <w:t xml:space="preserve">Gen 15:6 and the New Testament’s references to it. For Genesis, the question at issue is </w:t>
      </w:r>
      <w:r>
        <w:rPr>
          <w:i/>
          <w:lang w:bidi="he-IL"/>
        </w:rPr>
        <w:t>ṣᵉdāqāh</w:t>
      </w:r>
      <w:r>
        <w:rPr>
          <w:lang w:bidi="he-IL"/>
        </w:rPr>
        <w:t xml:space="preserve">—Yahweh’s </w:t>
      </w:r>
      <w:r w:rsidRPr="00B71461">
        <w:rPr>
          <w:i/>
          <w:lang w:bidi="he-IL"/>
        </w:rPr>
        <w:t>ṣᵉdāqāh</w:t>
      </w:r>
      <w:r>
        <w:rPr>
          <w:lang w:bidi="he-IL"/>
        </w:rPr>
        <w:t xml:space="preserve"> (in MT) and/or Abraham’s </w:t>
      </w:r>
      <w:r w:rsidRPr="00B71461">
        <w:rPr>
          <w:i/>
          <w:lang w:bidi="he-IL"/>
        </w:rPr>
        <w:t>ṣᵉdāqāh</w:t>
      </w:r>
      <w:r>
        <w:rPr>
          <w:lang w:bidi="he-IL"/>
        </w:rPr>
        <w:t xml:space="preserve"> (in LXX </w:t>
      </w:r>
      <w:r w:rsidR="00D414B9">
        <w:rPr>
          <w:lang w:bidi="he-IL"/>
        </w:rPr>
        <w:t xml:space="preserve">and the New Testament). But </w:t>
      </w:r>
      <w:r>
        <w:rPr>
          <w:lang w:bidi="he-IL"/>
        </w:rPr>
        <w:t xml:space="preserve">LXX has translated </w:t>
      </w:r>
      <w:r w:rsidRPr="00B71461">
        <w:rPr>
          <w:i/>
          <w:lang w:bidi="he-IL"/>
        </w:rPr>
        <w:t>ṣᵉdāqāh</w:t>
      </w:r>
      <w:r>
        <w:rPr>
          <w:i/>
          <w:lang w:bidi="he-IL"/>
        </w:rPr>
        <w:t xml:space="preserve"> </w:t>
      </w:r>
      <w:r>
        <w:rPr>
          <w:lang w:bidi="he-IL"/>
        </w:rPr>
        <w:t xml:space="preserve">with the word </w:t>
      </w:r>
      <w:r>
        <w:rPr>
          <w:i/>
          <w:lang w:bidi="he-IL"/>
        </w:rPr>
        <w:t>dikaiosunē</w:t>
      </w:r>
      <w:r>
        <w:rPr>
          <w:lang w:bidi="he-IL"/>
        </w:rPr>
        <w:t xml:space="preserve">, which is then routinely translated into English as “righteousness.” And Paul and James have added the word </w:t>
      </w:r>
      <w:r>
        <w:rPr>
          <w:i/>
          <w:lang w:bidi="he-IL"/>
        </w:rPr>
        <w:t>dikaiōsis</w:t>
      </w:r>
      <w:r>
        <w:rPr>
          <w:lang w:bidi="he-IL"/>
        </w:rPr>
        <w:t xml:space="preserve"> which becomes “justification.”</w:t>
      </w:r>
      <w:r w:rsidR="00727890">
        <w:rPr>
          <w:lang w:bidi="he-IL"/>
        </w:rPr>
        <w:t xml:space="preserve"> </w:t>
      </w:r>
      <w:r>
        <w:rPr>
          <w:lang w:bidi="he-IL"/>
        </w:rPr>
        <w:t xml:space="preserve">Since the medieval period, in particular, Christian theology has then commonly understood the New Testament to be picturing the relationship between God and his people in quasi-legal terms. This understanding contrasts with that in Genesis and in Paul or James. Someone who is </w:t>
      </w:r>
      <w:r>
        <w:rPr>
          <w:i/>
          <w:lang w:bidi="he-IL"/>
        </w:rPr>
        <w:t xml:space="preserve">ṣaddîq </w:t>
      </w:r>
      <w:r>
        <w:rPr>
          <w:lang w:bidi="he-IL"/>
        </w:rPr>
        <w:t xml:space="preserve">is someone who is in a right relationship with God and with other people—someone who does the right thing by God and by other people. And God’s </w:t>
      </w:r>
      <w:r w:rsidRPr="00B71461">
        <w:rPr>
          <w:i/>
          <w:lang w:bidi="he-IL"/>
        </w:rPr>
        <w:t>ṣᵉdāqāh</w:t>
      </w:r>
      <w:r>
        <w:rPr>
          <w:lang w:bidi="he-IL"/>
        </w:rPr>
        <w:t xml:space="preserve"> or </w:t>
      </w:r>
      <w:r w:rsidRPr="00B71461">
        <w:rPr>
          <w:i/>
          <w:lang w:bidi="he-IL"/>
        </w:rPr>
        <w:t>dikaiosunē</w:t>
      </w:r>
      <w:r>
        <w:rPr>
          <w:i/>
          <w:lang w:bidi="he-IL"/>
        </w:rPr>
        <w:t xml:space="preserve"> </w:t>
      </w:r>
      <w:r>
        <w:rPr>
          <w:lang w:bidi="he-IL"/>
        </w:rPr>
        <w:t xml:space="preserve">is that faithfulness whereby God does the right thing in relation to Abraham and his offspring and thus stays in right relationship with them. MT’s implication is that the calling of the people of God is to follow Abraham by trusting in that </w:t>
      </w:r>
      <w:r w:rsidRPr="00D75224">
        <w:rPr>
          <w:i/>
          <w:lang w:bidi="he-IL"/>
        </w:rPr>
        <w:t>ṣᵉdāqāh</w:t>
      </w:r>
      <w:r w:rsidR="00D414B9">
        <w:rPr>
          <w:lang w:bidi="he-IL"/>
        </w:rPr>
        <w:t xml:space="preserve">. LXX’s point and Paul’s point </w:t>
      </w:r>
      <w:r>
        <w:rPr>
          <w:lang w:bidi="he-IL"/>
        </w:rPr>
        <w:t xml:space="preserve">is that as they do so, God looks on them as people who are </w:t>
      </w:r>
      <w:r w:rsidRPr="00D75224">
        <w:rPr>
          <w:i/>
          <w:lang w:bidi="he-IL"/>
        </w:rPr>
        <w:t>ṣaddîq</w:t>
      </w:r>
      <w:r>
        <w:rPr>
          <w:i/>
          <w:lang w:bidi="he-IL"/>
        </w:rPr>
        <w:t>îm</w:t>
      </w:r>
      <w:r>
        <w:rPr>
          <w:lang w:bidi="he-IL"/>
        </w:rPr>
        <w:t>; they are</w:t>
      </w:r>
      <w:r w:rsidRPr="00D75224">
        <w:rPr>
          <w:lang w:bidi="he-IL"/>
        </w:rPr>
        <w:t xml:space="preserve"> </w:t>
      </w:r>
      <w:r w:rsidR="00D414B9">
        <w:rPr>
          <w:lang w:bidi="he-IL"/>
        </w:rPr>
        <w:t>right with him. A</w:t>
      </w:r>
      <w:r>
        <w:rPr>
          <w:lang w:bidi="he-IL"/>
        </w:rPr>
        <w:t>nd James’s point is that this trust will also find expr</w:t>
      </w:r>
      <w:r w:rsidR="00D414B9">
        <w:rPr>
          <w:lang w:bidi="he-IL"/>
        </w:rPr>
        <w:t>ession in doing the right thing</w:t>
      </w:r>
      <w:r>
        <w:rPr>
          <w:lang w:bidi="he-IL"/>
        </w:rPr>
        <w:t>.</w:t>
      </w:r>
    </w:p>
    <w:p w14:paraId="7CD09C26" w14:textId="3DFEA170" w:rsidR="0066791F" w:rsidRDefault="0066791F" w:rsidP="004F472B">
      <w:pPr>
        <w:rPr>
          <w:lang w:bidi="he-IL"/>
        </w:rPr>
      </w:pPr>
      <w:r>
        <w:rPr>
          <w:b/>
          <w:lang w:bidi="he-IL"/>
        </w:rPr>
        <w:t xml:space="preserve">15:7-12. </w:t>
      </w:r>
      <w:proofErr w:type="gramStart"/>
      <w:r w:rsidR="00EF1296" w:rsidRPr="00EF1296">
        <w:rPr>
          <w:lang w:bidi="he-IL"/>
        </w:rPr>
        <w:t>For</w:t>
      </w:r>
      <w:proofErr w:type="gramEnd"/>
      <w:r w:rsidR="00EF1296">
        <w:rPr>
          <w:b/>
          <w:lang w:bidi="he-IL"/>
        </w:rPr>
        <w:t xml:space="preserve"> </w:t>
      </w:r>
      <w:r w:rsidR="00EF1296" w:rsidRPr="00EF1296">
        <w:rPr>
          <w:lang w:bidi="he-IL"/>
        </w:rPr>
        <w:t>the</w:t>
      </w:r>
      <w:r w:rsidR="00EF1296">
        <w:rPr>
          <w:b/>
          <w:lang w:bidi="he-IL"/>
        </w:rPr>
        <w:t xml:space="preserve"> </w:t>
      </w:r>
      <w:r w:rsidR="00EF1296">
        <w:rPr>
          <w:lang w:bidi="he-IL"/>
        </w:rPr>
        <w:t xml:space="preserve">first time in the First Testament </w:t>
      </w:r>
      <w:r>
        <w:rPr>
          <w:lang w:bidi="he-IL"/>
        </w:rPr>
        <w:t xml:space="preserve">Yahweh </w:t>
      </w:r>
      <w:r w:rsidR="005C5B1C">
        <w:rPr>
          <w:lang w:bidi="he-IL"/>
        </w:rPr>
        <w:t xml:space="preserve">declares </w:t>
      </w:r>
      <w:r w:rsidR="003D56BA">
        <w:rPr>
          <w:lang w:bidi="he-IL"/>
        </w:rPr>
        <w:t>“</w:t>
      </w:r>
      <w:r w:rsidR="005C5B1C">
        <w:rPr>
          <w:lang w:bidi="he-IL"/>
        </w:rPr>
        <w:t>I [am] Yahweh.</w:t>
      </w:r>
      <w:r w:rsidR="003D56BA">
        <w:rPr>
          <w:lang w:bidi="he-IL"/>
        </w:rPr>
        <w:t>”</w:t>
      </w:r>
      <w:r w:rsidR="005C5B1C">
        <w:rPr>
          <w:lang w:bidi="he-IL"/>
        </w:rPr>
        <w:t xml:space="preserve"> </w:t>
      </w:r>
      <w:r w:rsidR="001D35A9">
        <w:rPr>
          <w:lang w:bidi="he-IL"/>
        </w:rPr>
        <w:t>In a polytheistic context such a self-introduction might be necessary to indicate who speaks. Here it is</w:t>
      </w:r>
      <w:r w:rsidR="00CC1689">
        <w:rPr>
          <w:lang w:bidi="he-IL"/>
        </w:rPr>
        <w:t xml:space="preserve"> </w:t>
      </w:r>
      <w:r w:rsidR="00AC7A25">
        <w:rPr>
          <w:lang w:bidi="he-IL"/>
        </w:rPr>
        <w:t>the kind of self-introduction that reminds the addressees that they have to take the speaker seriously</w:t>
      </w:r>
      <w:r w:rsidR="00CC1689">
        <w:rPr>
          <w:lang w:bidi="he-IL"/>
        </w:rPr>
        <w:t xml:space="preserve">. But in </w:t>
      </w:r>
      <w:r w:rsidR="00CC1689">
        <w:rPr>
          <w:lang w:bidi="he-IL"/>
        </w:rPr>
        <w:lastRenderedPageBreak/>
        <w:t xml:space="preserve">this instance as in some others, the significance and force </w:t>
      </w:r>
      <w:r w:rsidR="000F0609">
        <w:rPr>
          <w:lang w:bidi="he-IL"/>
        </w:rPr>
        <w:t>of the self-introduction is</w:t>
      </w:r>
      <w:r w:rsidR="00CC1689">
        <w:rPr>
          <w:lang w:bidi="he-IL"/>
        </w:rPr>
        <w:t xml:space="preserve"> increased by the de</w:t>
      </w:r>
      <w:r w:rsidR="000F0609">
        <w:rPr>
          <w:lang w:bidi="he-IL"/>
        </w:rPr>
        <w:t>scription that</w:t>
      </w:r>
      <w:r w:rsidR="005C5B1C">
        <w:rPr>
          <w:lang w:bidi="he-IL"/>
        </w:rPr>
        <w:t xml:space="preserve"> follows: compare</w:t>
      </w:r>
      <w:r w:rsidR="00CC1689">
        <w:rPr>
          <w:lang w:bidi="he-IL"/>
        </w:rPr>
        <w:t xml:space="preserve"> 28:13, but also </w:t>
      </w:r>
      <w:r w:rsidR="005C5B1C">
        <w:rPr>
          <w:lang w:bidi="he-IL"/>
        </w:rPr>
        <w:t xml:space="preserve">and </w:t>
      </w:r>
      <w:r w:rsidR="00CC1689">
        <w:rPr>
          <w:lang w:bidi="he-IL"/>
        </w:rPr>
        <w:t xml:space="preserve">especially Exod 20:2, where Yahweh uses the same verb as here </w:t>
      </w:r>
      <w:r w:rsidR="005C5B1C">
        <w:rPr>
          <w:lang w:bidi="he-IL"/>
        </w:rPr>
        <w:t>(</w:t>
      </w:r>
      <w:r w:rsidR="003D56BA">
        <w:rPr>
          <w:lang w:bidi="he-IL"/>
        </w:rPr>
        <w:t>“</w:t>
      </w:r>
      <w:r w:rsidR="005C5B1C">
        <w:rPr>
          <w:lang w:bidi="he-IL"/>
        </w:rPr>
        <w:t>got you out from</w:t>
      </w:r>
      <w:r w:rsidR="003D56BA">
        <w:rPr>
          <w:lang w:bidi="he-IL"/>
        </w:rPr>
        <w:t>”</w:t>
      </w:r>
      <w:r w:rsidR="005C5B1C">
        <w:rPr>
          <w:lang w:bidi="he-IL"/>
        </w:rPr>
        <w:t xml:space="preserve">) </w:t>
      </w:r>
      <w:r w:rsidR="00CC1689">
        <w:rPr>
          <w:lang w:bidi="he-IL"/>
        </w:rPr>
        <w:t xml:space="preserve">with regard to </w:t>
      </w:r>
      <w:r w:rsidR="005C5B1C">
        <w:rPr>
          <w:lang w:bidi="he-IL"/>
        </w:rPr>
        <w:t>getting Israel</w:t>
      </w:r>
      <w:r w:rsidR="005B0DE2">
        <w:rPr>
          <w:lang w:bidi="he-IL"/>
        </w:rPr>
        <w:t xml:space="preserve"> out of Egypt, that </w:t>
      </w:r>
      <w:r w:rsidR="003D56BA">
        <w:rPr>
          <w:lang w:bidi="he-IL"/>
        </w:rPr>
        <w:t>“</w:t>
      </w:r>
      <w:r w:rsidR="005B0DE2">
        <w:rPr>
          <w:lang w:bidi="he-IL"/>
        </w:rPr>
        <w:t>household of serfs</w:t>
      </w:r>
      <w:r w:rsidR="003D56BA">
        <w:rPr>
          <w:lang w:bidi="he-IL"/>
        </w:rPr>
        <w:t>”</w:t>
      </w:r>
      <w:r w:rsidR="005B0DE2">
        <w:rPr>
          <w:lang w:bidi="he-IL"/>
        </w:rPr>
        <w:t xml:space="preserve"> (cf. v. 13 here).</w:t>
      </w:r>
      <w:r w:rsidR="005C5B1C">
        <w:rPr>
          <w:lang w:bidi="he-IL"/>
        </w:rPr>
        <w:t xml:space="preserve"> </w:t>
      </w:r>
      <w:r w:rsidR="00CC1689">
        <w:rPr>
          <w:lang w:bidi="he-IL"/>
        </w:rPr>
        <w:t xml:space="preserve">Yahweh </w:t>
      </w:r>
      <w:r w:rsidR="00D414B9">
        <w:rPr>
          <w:lang w:bidi="he-IL"/>
        </w:rPr>
        <w:t>goes on to reaffirm the</w:t>
      </w:r>
      <w:r>
        <w:rPr>
          <w:lang w:bidi="he-IL"/>
        </w:rPr>
        <w:t xml:space="preserve"> other promise</w:t>
      </w:r>
      <w:r w:rsidR="005C5B1C">
        <w:rPr>
          <w:lang w:bidi="he-IL"/>
        </w:rPr>
        <w:t>,</w:t>
      </w:r>
      <w:r>
        <w:rPr>
          <w:lang w:bidi="he-IL"/>
        </w:rPr>
        <w:t xml:space="preserve"> about the land, p</w:t>
      </w:r>
      <w:r w:rsidR="00FE1AE3">
        <w:rPr>
          <w:lang w:bidi="he-IL"/>
        </w:rPr>
        <w:t>icking up 11:28, 31; 12:1. I</w:t>
      </w:r>
      <w:r>
        <w:rPr>
          <w:lang w:bidi="he-IL"/>
        </w:rPr>
        <w:t>t is</w:t>
      </w:r>
      <w:r w:rsidR="00D414B9">
        <w:rPr>
          <w:lang w:bidi="he-IL"/>
        </w:rPr>
        <w:t xml:space="preserve"> the first time Genesis has said that Yahweh got</w:t>
      </w:r>
      <w:r w:rsidR="00FE1AE3">
        <w:rPr>
          <w:lang w:bidi="he-IL"/>
        </w:rPr>
        <w:t xml:space="preserve"> </w:t>
      </w:r>
      <w:r>
        <w:rPr>
          <w:lang w:bidi="he-IL"/>
        </w:rPr>
        <w:t xml:space="preserve">Abraham </w:t>
      </w:r>
      <w:r w:rsidR="00FE1AE3">
        <w:rPr>
          <w:lang w:bidi="he-IL"/>
        </w:rPr>
        <w:t xml:space="preserve">out </w:t>
      </w:r>
      <w:r>
        <w:rPr>
          <w:lang w:bidi="he-IL"/>
        </w:rPr>
        <w:t>from Ur</w:t>
      </w:r>
      <w:r w:rsidR="00D414B9">
        <w:rPr>
          <w:lang w:bidi="he-IL"/>
        </w:rPr>
        <w:t xml:space="preserve"> (</w:t>
      </w:r>
      <w:r w:rsidR="00334769">
        <w:rPr>
          <w:lang w:bidi="he-IL"/>
        </w:rPr>
        <w:t>making explicit something implicit in 12:1?)</w:t>
      </w:r>
      <w:r w:rsidR="00D414B9">
        <w:rPr>
          <w:lang w:bidi="he-IL"/>
        </w:rPr>
        <w:t>, and the formulation w</w:t>
      </w:r>
      <w:r w:rsidR="00FE1AE3">
        <w:rPr>
          <w:lang w:bidi="he-IL"/>
        </w:rPr>
        <w:t>ould remind the audience</w:t>
      </w:r>
      <w:r w:rsidR="00D414B9">
        <w:rPr>
          <w:lang w:bidi="he-IL"/>
        </w:rPr>
        <w:t xml:space="preserve"> of another way in which hi</w:t>
      </w:r>
      <w:r w:rsidR="00FE1AE3">
        <w:rPr>
          <w:lang w:bidi="he-IL"/>
        </w:rPr>
        <w:t>s dealings with Abraham anticipated his dealings with Israel in getting them out of Egypt</w:t>
      </w:r>
      <w:r>
        <w:rPr>
          <w:lang w:bidi="he-IL"/>
        </w:rPr>
        <w:t xml:space="preserve">. Yahweh goes on </w:t>
      </w:r>
      <w:r w:rsidR="00334769">
        <w:rPr>
          <w:lang w:bidi="he-IL"/>
        </w:rPr>
        <w:t>to pick up Abraham’s</w:t>
      </w:r>
      <w:r>
        <w:rPr>
          <w:lang w:bidi="he-IL"/>
        </w:rPr>
        <w:t xml:space="preserve"> </w:t>
      </w:r>
      <w:r w:rsidR="003D56BA">
        <w:rPr>
          <w:lang w:bidi="he-IL"/>
        </w:rPr>
        <w:t>“</w:t>
      </w:r>
      <w:r>
        <w:rPr>
          <w:lang w:bidi="he-IL"/>
        </w:rPr>
        <w:t>possession</w:t>
      </w:r>
      <w:r w:rsidR="003D56BA">
        <w:rPr>
          <w:lang w:bidi="he-IL"/>
        </w:rPr>
        <w:t>”</w:t>
      </w:r>
      <w:r w:rsidR="00334769">
        <w:rPr>
          <w:lang w:bidi="he-IL"/>
        </w:rPr>
        <w:t xml:space="preserve"> language</w:t>
      </w:r>
      <w:r w:rsidR="00FE1AE3">
        <w:rPr>
          <w:lang w:bidi="he-IL"/>
        </w:rPr>
        <w:t>, not in connection with</w:t>
      </w:r>
      <w:r>
        <w:rPr>
          <w:lang w:bidi="he-IL"/>
        </w:rPr>
        <w:t xml:space="preserve"> who wil</w:t>
      </w:r>
      <w:r w:rsidR="00FE1AE3">
        <w:rPr>
          <w:lang w:bidi="he-IL"/>
        </w:rPr>
        <w:t>l inherit from Abraham, but</w:t>
      </w:r>
      <w:r>
        <w:rPr>
          <w:lang w:bidi="he-IL"/>
        </w:rPr>
        <w:t xml:space="preserve"> </w:t>
      </w:r>
      <w:r w:rsidR="00FE1AE3">
        <w:rPr>
          <w:lang w:bidi="he-IL"/>
        </w:rPr>
        <w:t xml:space="preserve">with </w:t>
      </w:r>
      <w:r>
        <w:rPr>
          <w:lang w:bidi="he-IL"/>
        </w:rPr>
        <w:t>regard to the secure tenure that Yahweh will give Abraham.</w:t>
      </w:r>
    </w:p>
    <w:p w14:paraId="6A0350AB" w14:textId="77777777" w:rsidR="00A60477" w:rsidRDefault="0066791F" w:rsidP="004F472B">
      <w:pPr>
        <w:rPr>
          <w:lang w:bidi="he-IL"/>
        </w:rPr>
      </w:pPr>
      <w:r>
        <w:rPr>
          <w:lang w:bidi="he-IL"/>
        </w:rPr>
        <w:t>Once again Abraham addresses God as Lord Yahweh (v. 8) and signals to him and to the audience that he is ab</w:t>
      </w:r>
      <w:r w:rsidR="00412819">
        <w:rPr>
          <w:lang w:bidi="he-IL"/>
        </w:rPr>
        <w:t xml:space="preserve">out the say something submissive but bold. </w:t>
      </w:r>
      <w:r w:rsidR="00FE1AE3">
        <w:rPr>
          <w:lang w:bidi="he-IL"/>
        </w:rPr>
        <w:t>If we read the chapter linearly, the implication is that h</w:t>
      </w:r>
      <w:r w:rsidR="00412819">
        <w:rPr>
          <w:lang w:bidi="he-IL"/>
        </w:rPr>
        <w:t xml:space="preserve">is trusting Yahweh over offspring does not carry over into </w:t>
      </w:r>
      <w:r w:rsidR="00A60477">
        <w:rPr>
          <w:lang w:bidi="he-IL"/>
        </w:rPr>
        <w:t xml:space="preserve">immediately </w:t>
      </w:r>
      <w:r w:rsidR="00412819">
        <w:rPr>
          <w:lang w:bidi="he-IL"/>
        </w:rPr>
        <w:t>trusting Yahweh over the land.</w:t>
      </w:r>
      <w:r w:rsidR="00A60477">
        <w:rPr>
          <w:lang w:bidi="he-IL"/>
        </w:rPr>
        <w:t xml:space="preserve"> Please can he have some grounds for believing Yahweh’s promise? </w:t>
      </w:r>
    </w:p>
    <w:p w14:paraId="1C3A9B7F" w14:textId="4B5B4FAE" w:rsidR="004115A7" w:rsidRDefault="00A60477" w:rsidP="004F472B">
      <w:pPr>
        <w:rPr>
          <w:lang w:bidi="he-IL"/>
        </w:rPr>
      </w:pPr>
      <w:r>
        <w:rPr>
          <w:lang w:bidi="he-IL"/>
        </w:rPr>
        <w:t>Yes, he can (v</w:t>
      </w:r>
      <w:r w:rsidR="004115A7">
        <w:rPr>
          <w:lang w:bidi="he-IL"/>
        </w:rPr>
        <w:t>v</w:t>
      </w:r>
      <w:r>
        <w:rPr>
          <w:lang w:bidi="he-IL"/>
        </w:rPr>
        <w:t>. 9</w:t>
      </w:r>
      <w:r w:rsidR="004115A7">
        <w:rPr>
          <w:lang w:bidi="he-IL"/>
        </w:rPr>
        <w:t>-10</w:t>
      </w:r>
      <w:r w:rsidR="00FE1AE3">
        <w:rPr>
          <w:lang w:bidi="he-IL"/>
        </w:rPr>
        <w:t>). Whereas one</w:t>
      </w:r>
      <w:r>
        <w:rPr>
          <w:lang w:bidi="he-IL"/>
        </w:rPr>
        <w:t xml:space="preserve"> might </w:t>
      </w:r>
      <w:r w:rsidR="00FE1AE3">
        <w:rPr>
          <w:lang w:bidi="he-IL"/>
        </w:rPr>
        <w:t xml:space="preserve">have </w:t>
      </w:r>
      <w:r>
        <w:rPr>
          <w:lang w:bidi="he-IL"/>
        </w:rPr>
        <w:t>expect</w:t>
      </w:r>
      <w:r w:rsidR="00FE1AE3">
        <w:rPr>
          <w:lang w:bidi="he-IL"/>
        </w:rPr>
        <w:t>ed</w:t>
      </w:r>
      <w:r>
        <w:rPr>
          <w:lang w:bidi="he-IL"/>
        </w:rPr>
        <w:t xml:space="preserve"> Yahweh to decline or </w:t>
      </w:r>
      <w:r w:rsidR="00FE1AE3">
        <w:rPr>
          <w:lang w:bidi="he-IL"/>
        </w:rPr>
        <w:t xml:space="preserve">to issue a rebuke, </w:t>
      </w:r>
      <w:r>
        <w:rPr>
          <w:lang w:bidi="he-IL"/>
        </w:rPr>
        <w:t xml:space="preserve">we may again compare </w:t>
      </w:r>
      <w:r w:rsidR="00FE1AE3">
        <w:rPr>
          <w:lang w:bidi="he-IL"/>
        </w:rPr>
        <w:t>Abraham and Moses, and Yahweh’s dealing wi</w:t>
      </w:r>
      <w:r w:rsidR="00950976">
        <w:rPr>
          <w:lang w:bidi="he-IL"/>
        </w:rPr>
        <w:t xml:space="preserve">th them: </w:t>
      </w:r>
      <w:r w:rsidR="00FE1AE3">
        <w:rPr>
          <w:lang w:bidi="he-IL"/>
        </w:rPr>
        <w:t xml:space="preserve">Moses </w:t>
      </w:r>
      <w:r>
        <w:rPr>
          <w:lang w:bidi="he-IL"/>
        </w:rPr>
        <w:t>gets away with questioning Yahweh three times before getting scolded for the fourth</w:t>
      </w:r>
      <w:r w:rsidR="00950976">
        <w:rPr>
          <w:lang w:bidi="he-IL"/>
        </w:rPr>
        <w:t xml:space="preserve"> </w:t>
      </w:r>
      <w:r w:rsidR="00950976" w:rsidRPr="00950976">
        <w:rPr>
          <w:lang w:bidi="he-IL"/>
        </w:rPr>
        <w:t>(</w:t>
      </w:r>
      <w:r w:rsidR="00950976">
        <w:rPr>
          <w:lang w:bidi="he-IL"/>
        </w:rPr>
        <w:t>see Exod 3—4)</w:t>
      </w:r>
      <w:r>
        <w:rPr>
          <w:lang w:bidi="he-IL"/>
        </w:rPr>
        <w:t>.</w:t>
      </w:r>
      <w:r w:rsidR="00950976">
        <w:rPr>
          <w:lang w:bidi="he-IL"/>
        </w:rPr>
        <w:t xml:space="preserve"> Although Yahweh’s giving a sign fits his action </w:t>
      </w:r>
      <w:r>
        <w:rPr>
          <w:lang w:bidi="he-IL"/>
        </w:rPr>
        <w:t>on other occasions, t</w:t>
      </w:r>
      <w:r w:rsidR="00334769">
        <w:rPr>
          <w:lang w:bidi="he-IL"/>
        </w:rPr>
        <w:t>here would be no basis for</w:t>
      </w:r>
      <w:r w:rsidRPr="00A60477">
        <w:rPr>
          <w:lang w:bidi="he-IL"/>
        </w:rPr>
        <w:t xml:space="preserve"> predict</w:t>
      </w:r>
      <w:r w:rsidR="00334769">
        <w:rPr>
          <w:lang w:bidi="he-IL"/>
        </w:rPr>
        <w:t>ing</w:t>
      </w:r>
      <w:r w:rsidRPr="00A60477">
        <w:rPr>
          <w:lang w:bidi="he-IL"/>
        </w:rPr>
        <w:t xml:space="preserve"> how Yahweh w</w:t>
      </w:r>
      <w:r>
        <w:rPr>
          <w:lang w:bidi="he-IL"/>
        </w:rPr>
        <w:t xml:space="preserve">ill go about convincing Abraham on this occasion. </w:t>
      </w:r>
      <w:r w:rsidR="006B279A">
        <w:rPr>
          <w:lang w:bidi="he-IL"/>
        </w:rPr>
        <w:t>He is f</w:t>
      </w:r>
      <w:r w:rsidR="004115A7">
        <w:rPr>
          <w:lang w:bidi="he-IL"/>
        </w:rPr>
        <w:t xml:space="preserve">irst </w:t>
      </w:r>
      <w:r w:rsidR="006B279A">
        <w:rPr>
          <w:lang w:bidi="he-IL"/>
        </w:rPr>
        <w:t xml:space="preserve">to assemble </w:t>
      </w:r>
      <w:r w:rsidR="004115A7">
        <w:rPr>
          <w:lang w:bidi="he-IL"/>
        </w:rPr>
        <w:t>nine animals and two birds, which would be an expensive collection</w:t>
      </w:r>
      <w:r w:rsidR="00764588">
        <w:rPr>
          <w:lang w:bidi="he-IL"/>
        </w:rPr>
        <w:t xml:space="preserve"> and give</w:t>
      </w:r>
      <w:r w:rsidR="006B279A">
        <w:rPr>
          <w:lang w:bidi="he-IL"/>
        </w:rPr>
        <w:t>s</w:t>
      </w:r>
      <w:r w:rsidR="00764588">
        <w:rPr>
          <w:lang w:bidi="he-IL"/>
        </w:rPr>
        <w:t xml:space="preserve"> another pointer to the size of Abraham’s </w:t>
      </w:r>
      <w:r w:rsidR="003D56BA">
        <w:rPr>
          <w:lang w:bidi="he-IL"/>
        </w:rPr>
        <w:t>“</w:t>
      </w:r>
      <w:r w:rsidR="00764588">
        <w:rPr>
          <w:lang w:bidi="he-IL"/>
        </w:rPr>
        <w:t>household.</w:t>
      </w:r>
      <w:r w:rsidR="003D56BA">
        <w:rPr>
          <w:lang w:bidi="he-IL"/>
        </w:rPr>
        <w:t>”</w:t>
      </w:r>
      <w:r w:rsidR="00764588">
        <w:rPr>
          <w:lang w:bidi="he-IL"/>
        </w:rPr>
        <w:t xml:space="preserve"> W</w:t>
      </w:r>
      <w:r w:rsidR="00D677A3">
        <w:rPr>
          <w:lang w:bidi="he-IL"/>
        </w:rPr>
        <w:t>e don’t know why the rite involves these particular creatures</w:t>
      </w:r>
      <w:r w:rsidR="00764588">
        <w:rPr>
          <w:lang w:bidi="he-IL"/>
        </w:rPr>
        <w:t>; they would</w:t>
      </w:r>
      <w:r w:rsidR="006B279A">
        <w:rPr>
          <w:lang w:bidi="he-IL"/>
        </w:rPr>
        <w:t xml:space="preserve"> all count as clean but they don’</w:t>
      </w:r>
      <w:r w:rsidR="00764588">
        <w:rPr>
          <w:lang w:bidi="he-IL"/>
        </w:rPr>
        <w:t>t correspond to lists of creatures for sacrifice</w:t>
      </w:r>
      <w:r w:rsidR="005A784D">
        <w:rPr>
          <w:lang w:bidi="he-IL"/>
        </w:rPr>
        <w:t xml:space="preserve"> and</w:t>
      </w:r>
      <w:r w:rsidR="000F0609">
        <w:rPr>
          <w:lang w:bidi="he-IL"/>
        </w:rPr>
        <w:t xml:space="preserve"> Abraham does </w:t>
      </w:r>
      <w:r w:rsidR="005A784D" w:rsidRPr="005A784D">
        <w:rPr>
          <w:lang w:bidi="he-IL"/>
        </w:rPr>
        <w:t>not</w:t>
      </w:r>
      <w:r w:rsidR="000F0609">
        <w:rPr>
          <w:lang w:bidi="he-IL"/>
        </w:rPr>
        <w:t xml:space="preserve"> treat them</w:t>
      </w:r>
      <w:r w:rsidR="005A784D">
        <w:rPr>
          <w:lang w:bidi="he-IL"/>
        </w:rPr>
        <w:t xml:space="preserve"> in the manner of a </w:t>
      </w:r>
      <w:r w:rsidR="00983E16">
        <w:rPr>
          <w:lang w:bidi="he-IL"/>
        </w:rPr>
        <w:t>sacrifice—</w:t>
      </w:r>
      <w:r w:rsidR="00983E16" w:rsidRPr="00983E16">
        <w:rPr>
          <w:lang w:val="en-GB" w:bidi="he-IL"/>
        </w:rPr>
        <w:t>t</w:t>
      </w:r>
      <w:r w:rsidR="00983E16">
        <w:rPr>
          <w:lang w:val="en-GB" w:bidi="he-IL"/>
        </w:rPr>
        <w:t>here will be</w:t>
      </w:r>
      <w:r w:rsidR="00983E16" w:rsidRPr="00983E16">
        <w:rPr>
          <w:lang w:val="en-GB" w:bidi="he-IL"/>
        </w:rPr>
        <w:t xml:space="preserve"> no spattering </w:t>
      </w:r>
      <w:r w:rsidR="00983E16">
        <w:rPr>
          <w:lang w:val="en-GB" w:bidi="he-IL"/>
        </w:rPr>
        <w:t>of blood or offering or burning</w:t>
      </w:r>
      <w:r w:rsidR="00983E16" w:rsidRPr="00983E16">
        <w:rPr>
          <w:vertAlign w:val="superscript"/>
          <w:lang w:val="en-GB" w:bidi="he-IL"/>
        </w:rPr>
        <w:footnoteReference w:id="218"/>
      </w:r>
      <w:r w:rsidR="00983E16" w:rsidRPr="00983E16">
        <w:rPr>
          <w:lang w:bidi="he-IL"/>
        </w:rPr>
        <w:t xml:space="preserve"> </w:t>
      </w:r>
      <w:r w:rsidR="00AA29AE">
        <w:rPr>
          <w:lang w:bidi="he-IL"/>
        </w:rPr>
        <w:t xml:space="preserve">(in </w:t>
      </w:r>
      <w:r w:rsidR="00AA29AE" w:rsidRPr="00AA29AE">
        <w:rPr>
          <w:i/>
          <w:lang w:bidi="he-IL"/>
        </w:rPr>
        <w:t>Jub</w:t>
      </w:r>
      <w:r w:rsidR="005A784D">
        <w:rPr>
          <w:lang w:bidi="he-IL"/>
        </w:rPr>
        <w:t xml:space="preserve"> 14 Abraham builds an altar, pours out their</w:t>
      </w:r>
      <w:r w:rsidR="005A784D" w:rsidRPr="005A784D">
        <w:rPr>
          <w:lang w:bidi="he-IL"/>
        </w:rPr>
        <w:t xml:space="preserve"> b</w:t>
      </w:r>
      <w:r w:rsidR="005A784D">
        <w:rPr>
          <w:lang w:bidi="he-IL"/>
        </w:rPr>
        <w:t>lood on it, and offers them up)</w:t>
      </w:r>
      <w:r w:rsidR="00764588">
        <w:rPr>
          <w:lang w:bidi="he-IL"/>
        </w:rPr>
        <w:t>. Whereas sometimes the First Testament likes to relate how Yahweh giv</w:t>
      </w:r>
      <w:r w:rsidR="000F0609">
        <w:rPr>
          <w:lang w:bidi="he-IL"/>
        </w:rPr>
        <w:t>es instructions that</w:t>
      </w:r>
      <w:r w:rsidR="00764588">
        <w:rPr>
          <w:lang w:bidi="he-IL"/>
        </w:rPr>
        <w:t xml:space="preserve"> are </w:t>
      </w:r>
      <w:r w:rsidR="000F0609">
        <w:rPr>
          <w:lang w:bidi="he-IL"/>
        </w:rPr>
        <w:t xml:space="preserve">then </w:t>
      </w:r>
      <w:r w:rsidR="00764588">
        <w:rPr>
          <w:lang w:bidi="he-IL"/>
        </w:rPr>
        <w:t>fulfilled, here t</w:t>
      </w:r>
      <w:r w:rsidR="004115A7">
        <w:rPr>
          <w:lang w:bidi="he-IL"/>
        </w:rPr>
        <w:t>he narrator skips the instruc</w:t>
      </w:r>
      <w:r w:rsidR="000F0609">
        <w:rPr>
          <w:lang w:bidi="he-IL"/>
        </w:rPr>
        <w:t xml:space="preserve">tions </w:t>
      </w:r>
      <w:r w:rsidR="00764588">
        <w:rPr>
          <w:lang w:bidi="he-IL"/>
        </w:rPr>
        <w:t>to move briskly on to what Abraham does</w:t>
      </w:r>
      <w:r w:rsidR="008144D5">
        <w:rPr>
          <w:lang w:bidi="he-IL"/>
        </w:rPr>
        <w:t>. P</w:t>
      </w:r>
      <w:r w:rsidR="00764588">
        <w:rPr>
          <w:lang w:bidi="he-IL"/>
        </w:rPr>
        <w:t>erhaps</w:t>
      </w:r>
      <w:r w:rsidR="004115A7">
        <w:rPr>
          <w:lang w:bidi="he-IL"/>
        </w:rPr>
        <w:t xml:space="preserve"> </w:t>
      </w:r>
      <w:r w:rsidR="00764588">
        <w:rPr>
          <w:lang w:bidi="he-IL"/>
        </w:rPr>
        <w:t xml:space="preserve">the reason </w:t>
      </w:r>
      <w:r w:rsidR="004115A7">
        <w:rPr>
          <w:lang w:bidi="he-IL"/>
        </w:rPr>
        <w:t>the birds were not cut in h</w:t>
      </w:r>
      <w:r w:rsidR="00764588">
        <w:rPr>
          <w:lang w:bidi="he-IL"/>
        </w:rPr>
        <w:t xml:space="preserve">alf </w:t>
      </w:r>
      <w:r w:rsidR="00CA4AF9">
        <w:rPr>
          <w:lang w:bidi="he-IL"/>
        </w:rPr>
        <w:t>(cf. Lev 1:17)</w:t>
      </w:r>
      <w:r w:rsidR="005A784D">
        <w:rPr>
          <w:lang w:bidi="he-IL"/>
        </w:rPr>
        <w:t xml:space="preserve"> </w:t>
      </w:r>
      <w:r w:rsidR="005A784D" w:rsidRPr="005A784D">
        <w:rPr>
          <w:lang w:bidi="he-IL"/>
        </w:rPr>
        <w:t>was that they were s</w:t>
      </w:r>
      <w:r w:rsidR="005A784D">
        <w:rPr>
          <w:lang w:bidi="he-IL"/>
        </w:rPr>
        <w:t>o small</w:t>
      </w:r>
      <w:r w:rsidR="008144D5">
        <w:rPr>
          <w:lang w:bidi="he-IL"/>
        </w:rPr>
        <w:t xml:space="preserve">; they were perhaps laid opposite each other. </w:t>
      </w:r>
    </w:p>
    <w:p w14:paraId="0F6C15C8" w14:textId="173FA920" w:rsidR="006B279A" w:rsidRDefault="004115A7" w:rsidP="004F472B">
      <w:pPr>
        <w:rPr>
          <w:lang w:bidi="he-IL"/>
        </w:rPr>
      </w:pPr>
      <w:r>
        <w:rPr>
          <w:lang w:bidi="he-IL"/>
        </w:rPr>
        <w:t xml:space="preserve"> Not surprisingly, scavenger birds think</w:t>
      </w:r>
      <w:r w:rsidR="006B279A">
        <w:rPr>
          <w:lang w:bidi="he-IL"/>
        </w:rPr>
        <w:t xml:space="preserve"> they have found their dinner (v. 11</w:t>
      </w:r>
      <w:r>
        <w:rPr>
          <w:lang w:bidi="he-IL"/>
        </w:rPr>
        <w:t>)</w:t>
      </w:r>
      <w:r w:rsidR="003A5AA6">
        <w:rPr>
          <w:lang w:bidi="he-IL"/>
        </w:rPr>
        <w:t xml:space="preserve">. </w:t>
      </w:r>
      <w:r w:rsidR="008B4E12" w:rsidRPr="008B4E12">
        <w:rPr>
          <w:lang w:bidi="he-IL"/>
        </w:rPr>
        <w:t xml:space="preserve">The birds recall the half-bird, half-human </w:t>
      </w:r>
      <w:r w:rsidR="003D56BA">
        <w:rPr>
          <w:lang w:bidi="he-IL"/>
        </w:rPr>
        <w:t>“</w:t>
      </w:r>
      <w:r w:rsidR="008B4E12" w:rsidRPr="008B4E12">
        <w:rPr>
          <w:lang w:bidi="he-IL"/>
        </w:rPr>
        <w:t>snatchers</w:t>
      </w:r>
      <w:r w:rsidR="003D56BA">
        <w:rPr>
          <w:lang w:bidi="he-IL"/>
        </w:rPr>
        <w:t>”</w:t>
      </w:r>
      <w:r w:rsidR="008B4E12" w:rsidRPr="008B4E12">
        <w:rPr>
          <w:lang w:bidi="he-IL"/>
        </w:rPr>
        <w:t xml:space="preserve"> (</w:t>
      </w:r>
      <w:r w:rsidR="003D56BA">
        <w:rPr>
          <w:lang w:bidi="he-IL"/>
        </w:rPr>
        <w:t>“</w:t>
      </w:r>
      <w:r w:rsidR="008B4E12" w:rsidRPr="008B4E12">
        <w:rPr>
          <w:lang w:bidi="he-IL"/>
        </w:rPr>
        <w:t>harpies</w:t>
      </w:r>
      <w:r w:rsidR="003D56BA">
        <w:rPr>
          <w:lang w:bidi="he-IL"/>
        </w:rPr>
        <w:t>”</w:t>
      </w:r>
      <w:r w:rsidR="008B4E12" w:rsidRPr="008B4E12">
        <w:rPr>
          <w:lang w:bidi="he-IL"/>
        </w:rPr>
        <w:t>) of Greek and Roman mythology.</w:t>
      </w:r>
      <w:r w:rsidR="008B4E12" w:rsidRPr="008B4E12">
        <w:rPr>
          <w:vertAlign w:val="superscript"/>
          <w:lang w:bidi="he-IL"/>
        </w:rPr>
        <w:footnoteReference w:id="219"/>
      </w:r>
      <w:r w:rsidR="008B4E12" w:rsidRPr="008B4E12">
        <w:rPr>
          <w:lang w:bidi="he-IL"/>
        </w:rPr>
        <w:t xml:space="preserve"> In th</w:t>
      </w:r>
      <w:r w:rsidR="006B279A">
        <w:rPr>
          <w:lang w:bidi="he-IL"/>
        </w:rPr>
        <w:t xml:space="preserve">e context of Genesis, they </w:t>
      </w:r>
      <w:r w:rsidR="008B4E12" w:rsidRPr="008B4E12">
        <w:rPr>
          <w:lang w:bidi="he-IL"/>
        </w:rPr>
        <w:t xml:space="preserve">recall the </w:t>
      </w:r>
      <w:r w:rsidR="00B155C9">
        <w:rPr>
          <w:lang w:bidi="he-IL"/>
        </w:rPr>
        <w:t xml:space="preserve">fearsome </w:t>
      </w:r>
      <w:r w:rsidR="008B4E12" w:rsidRPr="008B4E12">
        <w:rPr>
          <w:lang w:bidi="he-IL"/>
        </w:rPr>
        <w:t>sphinxes of Gen 3:24</w:t>
      </w:r>
      <w:r w:rsidR="006B279A">
        <w:rPr>
          <w:lang w:bidi="he-IL"/>
        </w:rPr>
        <w:t xml:space="preserve">, if they combined birds’ wings </w:t>
      </w:r>
      <w:r w:rsidR="00B155C9">
        <w:rPr>
          <w:lang w:bidi="he-IL"/>
        </w:rPr>
        <w:t>with animal and/or human features</w:t>
      </w:r>
      <w:r w:rsidR="008B4E12" w:rsidRPr="008B4E12">
        <w:rPr>
          <w:lang w:bidi="he-IL"/>
        </w:rPr>
        <w:t>.</w:t>
      </w:r>
      <w:r w:rsidR="008B4E12">
        <w:rPr>
          <w:lang w:bidi="he-IL"/>
        </w:rPr>
        <w:t xml:space="preserve"> </w:t>
      </w:r>
      <w:r w:rsidR="00B155C9">
        <w:rPr>
          <w:lang w:bidi="he-IL"/>
        </w:rPr>
        <w:t xml:space="preserve">Later references to the screechers </w:t>
      </w:r>
      <w:r w:rsidR="003A5AA6">
        <w:rPr>
          <w:lang w:bidi="he-IL"/>
        </w:rPr>
        <w:t>(Isa 18:6; 46:11; Jer 1</w:t>
      </w:r>
      <w:r w:rsidR="005A784D">
        <w:rPr>
          <w:lang w:bidi="he-IL"/>
        </w:rPr>
        <w:t>2:9; Ez</w:t>
      </w:r>
      <w:r w:rsidR="00B155C9">
        <w:rPr>
          <w:lang w:bidi="he-IL"/>
        </w:rPr>
        <w:t>ek 39:4)</w:t>
      </w:r>
      <w:r w:rsidR="000F0609">
        <w:rPr>
          <w:lang w:bidi="he-IL"/>
        </w:rPr>
        <w:t xml:space="preserve"> </w:t>
      </w:r>
      <w:r w:rsidR="00B155C9">
        <w:rPr>
          <w:lang w:bidi="he-IL"/>
        </w:rPr>
        <w:t>suggest that they</w:t>
      </w:r>
      <w:r w:rsidR="000F0609">
        <w:rPr>
          <w:lang w:bidi="he-IL"/>
        </w:rPr>
        <w:t xml:space="preserve"> might make the audience</w:t>
      </w:r>
      <w:r w:rsidR="006B279A">
        <w:rPr>
          <w:lang w:bidi="he-IL"/>
        </w:rPr>
        <w:t xml:space="preserve"> think of peoples</w:t>
      </w:r>
      <w:r w:rsidR="009744A7">
        <w:rPr>
          <w:lang w:bidi="he-IL"/>
        </w:rPr>
        <w:t xml:space="preserve"> that would attack Abraham’s offspring and Yahweh’s purpose</w:t>
      </w:r>
      <w:r w:rsidR="003A5AA6">
        <w:rPr>
          <w:lang w:bidi="he-IL"/>
        </w:rPr>
        <w:t xml:space="preserve"> for them</w:t>
      </w:r>
      <w:r w:rsidR="0033268D">
        <w:rPr>
          <w:lang w:bidi="he-IL"/>
        </w:rPr>
        <w:t xml:space="preserve"> (cf. TgNeoph</w:t>
      </w:r>
      <w:r w:rsidR="0065383A">
        <w:rPr>
          <w:lang w:bidi="he-IL"/>
        </w:rPr>
        <w:t>, TgPsJ</w:t>
      </w:r>
      <w:r w:rsidR="0033268D">
        <w:rPr>
          <w:lang w:bidi="he-IL"/>
        </w:rPr>
        <w:t>)</w:t>
      </w:r>
      <w:r w:rsidR="00CF46E0">
        <w:rPr>
          <w:lang w:bidi="he-IL"/>
        </w:rPr>
        <w:t>, and vv.</w:t>
      </w:r>
      <w:r w:rsidR="0033268D">
        <w:rPr>
          <w:lang w:bidi="he-IL"/>
        </w:rPr>
        <w:t xml:space="preserve"> 12-20 may support that underst</w:t>
      </w:r>
      <w:r w:rsidR="00CF46E0">
        <w:rPr>
          <w:lang w:bidi="he-IL"/>
        </w:rPr>
        <w:t>anding.</w:t>
      </w:r>
      <w:r w:rsidR="000F0609">
        <w:rPr>
          <w:lang w:bidi="he-IL"/>
        </w:rPr>
        <w:t xml:space="preserve"> </w:t>
      </w:r>
      <w:r w:rsidR="005A784D">
        <w:rPr>
          <w:lang w:bidi="he-IL"/>
        </w:rPr>
        <w:t xml:space="preserve">Whereas the report </w:t>
      </w:r>
      <w:r w:rsidR="008B4E12">
        <w:rPr>
          <w:lang w:bidi="he-IL"/>
        </w:rPr>
        <w:t xml:space="preserve">had </w:t>
      </w:r>
      <w:r w:rsidR="005A784D">
        <w:rPr>
          <w:lang w:bidi="he-IL"/>
        </w:rPr>
        <w:t>proceeded with haste in omitting the instructions</w:t>
      </w:r>
      <w:r w:rsidR="008B4E12">
        <w:rPr>
          <w:lang w:bidi="he-IL"/>
        </w:rPr>
        <w:t xml:space="preserve"> for what Abraham</w:t>
      </w:r>
      <w:r w:rsidR="000F0609">
        <w:rPr>
          <w:lang w:bidi="he-IL"/>
        </w:rPr>
        <w:t xml:space="preserve"> was to do, </w:t>
      </w:r>
      <w:r w:rsidR="006B279A">
        <w:rPr>
          <w:lang w:bidi="he-IL"/>
        </w:rPr>
        <w:t>the account of</w:t>
      </w:r>
      <w:r w:rsidR="008B4E12">
        <w:rPr>
          <w:lang w:bidi="he-IL"/>
        </w:rPr>
        <w:t xml:space="preserve"> the scavengers</w:t>
      </w:r>
      <w:r w:rsidR="00321A6B">
        <w:rPr>
          <w:lang w:bidi="he-IL"/>
        </w:rPr>
        <w:t xml:space="preserve"> adds to the suspense as we </w:t>
      </w:r>
      <w:r w:rsidR="005A784D">
        <w:rPr>
          <w:lang w:bidi="he-IL"/>
        </w:rPr>
        <w:t xml:space="preserve">continue to wait for the response to Abraham’s question and </w:t>
      </w:r>
      <w:r w:rsidR="008B4E12">
        <w:rPr>
          <w:lang w:bidi="he-IL"/>
        </w:rPr>
        <w:t xml:space="preserve">for </w:t>
      </w:r>
      <w:r w:rsidR="005A784D">
        <w:rPr>
          <w:lang w:bidi="he-IL"/>
        </w:rPr>
        <w:t>the event that has</w:t>
      </w:r>
      <w:r w:rsidR="00321A6B">
        <w:rPr>
          <w:lang w:bidi="he-IL"/>
        </w:rPr>
        <w:t xml:space="preserve"> been heralded, though it also anticipates the promise </w:t>
      </w:r>
      <w:r w:rsidR="000F0609">
        <w:rPr>
          <w:lang w:bidi="he-IL"/>
        </w:rPr>
        <w:t>if the scavengers suggest</w:t>
      </w:r>
      <w:r w:rsidR="008B4E12">
        <w:rPr>
          <w:lang w:bidi="he-IL"/>
        </w:rPr>
        <w:t xml:space="preserve"> </w:t>
      </w:r>
      <w:r w:rsidR="00321A6B">
        <w:rPr>
          <w:lang w:bidi="he-IL"/>
        </w:rPr>
        <w:t>t</w:t>
      </w:r>
      <w:r w:rsidR="008B4E12">
        <w:rPr>
          <w:lang w:bidi="he-IL"/>
        </w:rPr>
        <w:t xml:space="preserve">he peoples who will be </w:t>
      </w:r>
      <w:r w:rsidR="00321A6B">
        <w:rPr>
          <w:lang w:bidi="he-IL"/>
        </w:rPr>
        <w:t xml:space="preserve">referred </w:t>
      </w:r>
      <w:r w:rsidR="008B4E12">
        <w:rPr>
          <w:lang w:bidi="he-IL"/>
        </w:rPr>
        <w:t xml:space="preserve">and named </w:t>
      </w:r>
      <w:r w:rsidR="00321A6B">
        <w:rPr>
          <w:lang w:bidi="he-IL"/>
        </w:rPr>
        <w:t>to in v</w:t>
      </w:r>
      <w:r w:rsidR="008B4E12">
        <w:rPr>
          <w:lang w:bidi="he-IL"/>
        </w:rPr>
        <w:t>v. 13,</w:t>
      </w:r>
      <w:r w:rsidR="00321A6B">
        <w:rPr>
          <w:lang w:bidi="he-IL"/>
        </w:rPr>
        <w:t xml:space="preserve"> 16</w:t>
      </w:r>
      <w:r w:rsidR="008B4E12">
        <w:rPr>
          <w:lang w:bidi="he-IL"/>
        </w:rPr>
        <w:t>,</w:t>
      </w:r>
      <w:r w:rsidR="00321A6B">
        <w:rPr>
          <w:lang w:bidi="he-IL"/>
        </w:rPr>
        <w:t xml:space="preserve"> and 19-21. </w:t>
      </w:r>
    </w:p>
    <w:p w14:paraId="408C4770" w14:textId="71DF6FA1" w:rsidR="00341B2B" w:rsidRDefault="006B279A" w:rsidP="004F472B">
      <w:pPr>
        <w:rPr>
          <w:lang w:bidi="he-IL"/>
        </w:rPr>
      </w:pPr>
      <w:r>
        <w:rPr>
          <w:lang w:bidi="he-IL"/>
        </w:rPr>
        <w:t>A</w:t>
      </w:r>
      <w:r w:rsidR="00B155C9">
        <w:rPr>
          <w:lang w:bidi="he-IL"/>
        </w:rPr>
        <w:t xml:space="preserve"> </w:t>
      </w:r>
      <w:r w:rsidR="004115A7">
        <w:rPr>
          <w:lang w:bidi="he-IL"/>
        </w:rPr>
        <w:t xml:space="preserve">moment </w:t>
      </w:r>
      <w:r>
        <w:rPr>
          <w:lang w:bidi="he-IL"/>
        </w:rPr>
        <w:t>comes (v. 12) when Abraham</w:t>
      </w:r>
      <w:r w:rsidR="004115A7">
        <w:rPr>
          <w:lang w:bidi="he-IL"/>
        </w:rPr>
        <w:t xml:space="preserve"> would b</w:t>
      </w:r>
      <w:r>
        <w:rPr>
          <w:lang w:bidi="he-IL"/>
        </w:rPr>
        <w:t>e incapable of driving them away</w:t>
      </w:r>
      <w:r w:rsidR="00B155C9">
        <w:rPr>
          <w:lang w:bidi="he-IL"/>
        </w:rPr>
        <w:t xml:space="preserve"> because he was overcome by a coma</w:t>
      </w:r>
      <w:r w:rsidR="001F67ED">
        <w:rPr>
          <w:lang w:bidi="he-IL"/>
        </w:rPr>
        <w:t xml:space="preserve"> and by darkness</w:t>
      </w:r>
      <w:r w:rsidR="004115A7">
        <w:rPr>
          <w:lang w:bidi="he-IL"/>
        </w:rPr>
        <w:t>. The description of the great dark dread prepares the audience for the fact</w:t>
      </w:r>
      <w:r w:rsidR="005F2DEE">
        <w:rPr>
          <w:lang w:bidi="he-IL"/>
        </w:rPr>
        <w:t xml:space="preserve"> that Yahweh is about to appear, and the narrative</w:t>
      </w:r>
      <w:r w:rsidR="000F0609">
        <w:rPr>
          <w:lang w:bidi="he-IL"/>
        </w:rPr>
        <w:t>’</w:t>
      </w:r>
      <w:r w:rsidR="005F2DEE">
        <w:rPr>
          <w:lang w:bidi="he-IL"/>
        </w:rPr>
        <w:t>s “there” invites us to watch the scene (the dynamic will recur in v. 17).</w:t>
      </w:r>
    </w:p>
    <w:p w14:paraId="609D6CDA" w14:textId="3D9529E5" w:rsidR="004115A7" w:rsidRDefault="00EE1564" w:rsidP="004F472B">
      <w:pPr>
        <w:rPr>
          <w:lang w:bidi="he-IL"/>
        </w:rPr>
      </w:pPr>
      <w:r>
        <w:rPr>
          <w:b/>
          <w:lang w:bidi="he-IL"/>
        </w:rPr>
        <w:t xml:space="preserve">15:13-16. </w:t>
      </w:r>
      <w:proofErr w:type="gramStart"/>
      <w:r w:rsidR="008962FE">
        <w:rPr>
          <w:lang w:bidi="he-IL"/>
        </w:rPr>
        <w:t>You</w:t>
      </w:r>
      <w:proofErr w:type="gramEnd"/>
      <w:r w:rsidR="008962FE">
        <w:rPr>
          <w:lang w:bidi="he-IL"/>
        </w:rPr>
        <w:t xml:space="preserve"> want to </w:t>
      </w:r>
      <w:r w:rsidR="003D56BA">
        <w:rPr>
          <w:lang w:bidi="he-IL"/>
        </w:rPr>
        <w:t>“</w:t>
      </w:r>
      <w:r w:rsidR="008962FE">
        <w:rPr>
          <w:lang w:bidi="he-IL"/>
        </w:rPr>
        <w:t>know</w:t>
      </w:r>
      <w:r w:rsidR="003D56BA">
        <w:rPr>
          <w:lang w:bidi="he-IL"/>
        </w:rPr>
        <w:t>”</w:t>
      </w:r>
      <w:r w:rsidR="008962FE">
        <w:rPr>
          <w:lang w:bidi="he-IL"/>
        </w:rPr>
        <w:t>?</w:t>
      </w:r>
      <w:r>
        <w:rPr>
          <w:lang w:bidi="he-IL"/>
        </w:rPr>
        <w:t xml:space="preserve"> </w:t>
      </w:r>
      <w:r w:rsidR="008962FE">
        <w:rPr>
          <w:lang w:bidi="he-IL"/>
        </w:rPr>
        <w:t xml:space="preserve">You </w:t>
      </w:r>
      <w:r w:rsidR="003C4463">
        <w:rPr>
          <w:lang w:bidi="he-IL"/>
        </w:rPr>
        <w:t>will</w:t>
      </w:r>
      <w:r w:rsidR="008962FE">
        <w:rPr>
          <w:lang w:bidi="he-IL"/>
        </w:rPr>
        <w:t xml:space="preserve"> definitely know</w:t>
      </w:r>
      <w:r w:rsidR="00C92C33">
        <w:rPr>
          <w:lang w:bidi="he-IL"/>
        </w:rPr>
        <w:t xml:space="preserve">. </w:t>
      </w:r>
      <w:r w:rsidR="00341B2B">
        <w:rPr>
          <w:lang w:bidi="he-IL"/>
        </w:rPr>
        <w:t>T</w:t>
      </w:r>
      <w:r w:rsidR="00341B2B" w:rsidRPr="00341B2B">
        <w:rPr>
          <w:lang w:bidi="he-IL"/>
        </w:rPr>
        <w:t>he chapter continues to raise suspense by holding back the description of Yahweh</w:t>
      </w:r>
      <w:r w:rsidR="00341B2B">
        <w:rPr>
          <w:lang w:bidi="he-IL"/>
        </w:rPr>
        <w:t>’s appearing while it first repeats the promise</w:t>
      </w:r>
      <w:r w:rsidR="00B155C9">
        <w:rPr>
          <w:lang w:bidi="he-IL"/>
        </w:rPr>
        <w:t xml:space="preserve"> recalled by v. 7</w:t>
      </w:r>
      <w:r w:rsidR="00341B2B">
        <w:rPr>
          <w:lang w:bidi="he-IL"/>
        </w:rPr>
        <w:t xml:space="preserve">. </w:t>
      </w:r>
      <w:r w:rsidR="00C92C33">
        <w:rPr>
          <w:lang w:bidi="he-IL"/>
        </w:rPr>
        <w:t>As is commonly th</w:t>
      </w:r>
      <w:r w:rsidR="00341B2B">
        <w:rPr>
          <w:lang w:bidi="he-IL"/>
        </w:rPr>
        <w:t>e case, in doing so</w:t>
      </w:r>
      <w:r w:rsidR="006B279A">
        <w:rPr>
          <w:lang w:bidi="he-IL"/>
        </w:rPr>
        <w:t xml:space="preserve"> Yahweh elaborates the promise</w:t>
      </w:r>
      <w:r w:rsidR="00B155C9">
        <w:rPr>
          <w:lang w:bidi="he-IL"/>
        </w:rPr>
        <w:t xml:space="preserve">, but </w:t>
      </w:r>
      <w:r w:rsidR="000F0609">
        <w:rPr>
          <w:lang w:bidi="he-IL"/>
        </w:rPr>
        <w:t xml:space="preserve">in doing so </w:t>
      </w:r>
      <w:r w:rsidR="00CD208D">
        <w:rPr>
          <w:lang w:bidi="he-IL"/>
        </w:rPr>
        <w:t xml:space="preserve">raises suspense further by portraying </w:t>
      </w:r>
      <w:r w:rsidR="003D56BA">
        <w:rPr>
          <w:lang w:bidi="he-IL"/>
        </w:rPr>
        <w:t>“</w:t>
      </w:r>
      <w:r w:rsidR="00CD208D">
        <w:rPr>
          <w:lang w:bidi="he-IL"/>
        </w:rPr>
        <w:t xml:space="preserve">the dark stretch of history which is to be experienced by </w:t>
      </w:r>
      <w:r w:rsidR="00CD208D">
        <w:rPr>
          <w:lang w:bidi="he-IL"/>
        </w:rPr>
        <w:lastRenderedPageBreak/>
        <w:t>Abraham’s descendants before the promise is fulfilled.</w:t>
      </w:r>
      <w:r w:rsidR="003D56BA">
        <w:rPr>
          <w:lang w:bidi="he-IL"/>
        </w:rPr>
        <w:t>”</w:t>
      </w:r>
      <w:r w:rsidR="00CD208D">
        <w:rPr>
          <w:rStyle w:val="FootnoteReference"/>
          <w:lang w:bidi="he-IL"/>
        </w:rPr>
        <w:footnoteReference w:id="220"/>
      </w:r>
      <w:r w:rsidR="00CD208D">
        <w:rPr>
          <w:lang w:bidi="he-IL"/>
        </w:rPr>
        <w:t xml:space="preserve"> </w:t>
      </w:r>
      <w:r w:rsidR="00B155C9">
        <w:rPr>
          <w:lang w:bidi="he-IL"/>
        </w:rPr>
        <w:t xml:space="preserve">The audience knows the identity of the unnamed country </w:t>
      </w:r>
      <w:r w:rsidR="00C92C33">
        <w:rPr>
          <w:lang w:bidi="he-IL"/>
        </w:rPr>
        <w:t>whe</w:t>
      </w:r>
      <w:r w:rsidR="00B94B49">
        <w:rPr>
          <w:lang w:bidi="he-IL"/>
        </w:rPr>
        <w:t xml:space="preserve">re Abraham’s offspring will be </w:t>
      </w:r>
      <w:r w:rsidR="00C92C33">
        <w:rPr>
          <w:lang w:bidi="he-IL"/>
        </w:rPr>
        <w:t>resident</w:t>
      </w:r>
      <w:r w:rsidR="00B94B49">
        <w:rPr>
          <w:lang w:bidi="he-IL"/>
        </w:rPr>
        <w:t xml:space="preserve"> as aliens</w:t>
      </w:r>
      <w:r w:rsidR="00C92C33">
        <w:rPr>
          <w:lang w:bidi="he-IL"/>
        </w:rPr>
        <w:t xml:space="preserve"> (</w:t>
      </w:r>
      <w:r w:rsidR="00C92C33">
        <w:rPr>
          <w:i/>
          <w:lang w:bidi="he-IL"/>
        </w:rPr>
        <w:t>gēr</w:t>
      </w:r>
      <w:r w:rsidR="00B94B49">
        <w:rPr>
          <w:lang w:bidi="he-IL"/>
        </w:rPr>
        <w:t>)</w:t>
      </w:r>
      <w:r w:rsidR="00B155C9">
        <w:rPr>
          <w:lang w:bidi="he-IL"/>
        </w:rPr>
        <w:t>.</w:t>
      </w:r>
      <w:r w:rsidR="006B279A">
        <w:rPr>
          <w:lang w:bidi="he-IL"/>
        </w:rPr>
        <w:t xml:space="preserve"> M</w:t>
      </w:r>
      <w:r w:rsidR="00C92C33">
        <w:rPr>
          <w:lang w:bidi="he-IL"/>
        </w:rPr>
        <w:t>aybe Abraham himself could work it out because he has bee</w:t>
      </w:r>
      <w:r w:rsidR="002708CF">
        <w:rPr>
          <w:lang w:bidi="he-IL"/>
        </w:rPr>
        <w:t xml:space="preserve">n that way before (12:10). </w:t>
      </w:r>
      <w:r w:rsidR="006B279A">
        <w:rPr>
          <w:lang w:bidi="he-IL"/>
        </w:rPr>
        <w:t>A</w:t>
      </w:r>
      <w:r w:rsidR="000F0609">
        <w:rPr>
          <w:lang w:bidi="he-IL"/>
        </w:rPr>
        <w:t xml:space="preserve">t this </w:t>
      </w:r>
      <w:r w:rsidR="00B155C9">
        <w:rPr>
          <w:lang w:bidi="he-IL"/>
        </w:rPr>
        <w:t xml:space="preserve">time </w:t>
      </w:r>
      <w:r w:rsidR="00C92C33">
        <w:rPr>
          <w:lang w:bidi="he-IL"/>
        </w:rPr>
        <w:t xml:space="preserve">he is </w:t>
      </w:r>
      <w:r w:rsidR="00B94B49">
        <w:rPr>
          <w:lang w:bidi="he-IL"/>
        </w:rPr>
        <w:t xml:space="preserve">a </w:t>
      </w:r>
      <w:r w:rsidR="00C92C33">
        <w:rPr>
          <w:lang w:bidi="he-IL"/>
        </w:rPr>
        <w:t xml:space="preserve">resident </w:t>
      </w:r>
      <w:r w:rsidR="006B279A">
        <w:rPr>
          <w:lang w:bidi="he-IL"/>
        </w:rPr>
        <w:t>alien</w:t>
      </w:r>
      <w:r w:rsidR="00B94B49">
        <w:rPr>
          <w:lang w:bidi="he-IL"/>
        </w:rPr>
        <w:t xml:space="preserve"> </w:t>
      </w:r>
      <w:r w:rsidR="00C92C33">
        <w:rPr>
          <w:lang w:bidi="he-IL"/>
        </w:rPr>
        <w:t>in a country</w:t>
      </w:r>
      <w:r w:rsidR="000F0609">
        <w:rPr>
          <w:lang w:bidi="he-IL"/>
        </w:rPr>
        <w:t xml:space="preserve"> that</w:t>
      </w:r>
      <w:r w:rsidR="00B155C9">
        <w:rPr>
          <w:lang w:bidi="he-IL"/>
        </w:rPr>
        <w:t xml:space="preserve"> is not his </w:t>
      </w:r>
      <w:r w:rsidR="002708CF">
        <w:rPr>
          <w:lang w:bidi="he-IL"/>
        </w:rPr>
        <w:t xml:space="preserve">(23:4; 35:27). </w:t>
      </w:r>
      <w:r w:rsidR="00B155C9">
        <w:rPr>
          <w:lang w:bidi="he-IL"/>
        </w:rPr>
        <w:t>But this</w:t>
      </w:r>
      <w:r w:rsidR="00034C3F">
        <w:rPr>
          <w:lang w:bidi="he-IL"/>
        </w:rPr>
        <w:t xml:space="preserve"> </w:t>
      </w:r>
      <w:r w:rsidR="000F0609">
        <w:rPr>
          <w:lang w:bidi="he-IL"/>
        </w:rPr>
        <w:t xml:space="preserve">other </w:t>
      </w:r>
      <w:r w:rsidR="00034C3F">
        <w:rPr>
          <w:lang w:bidi="he-IL"/>
        </w:rPr>
        <w:t>residency will be different: w</w:t>
      </w:r>
      <w:r w:rsidR="002708CF">
        <w:rPr>
          <w:lang w:bidi="he-IL"/>
        </w:rPr>
        <w:t>hereas in Canaan there is no central government that can oppress aliens</w:t>
      </w:r>
      <w:r w:rsidR="00F3641B">
        <w:rPr>
          <w:lang w:bidi="he-IL"/>
        </w:rPr>
        <w:t>, so that</w:t>
      </w:r>
      <w:r w:rsidR="002708CF">
        <w:rPr>
          <w:lang w:bidi="he-IL"/>
        </w:rPr>
        <w:t xml:space="preserve"> they just have to stay the right side of the people in a particular area (e.g., 20:1; 21:23, 34)</w:t>
      </w:r>
      <w:r w:rsidR="00F3641B">
        <w:rPr>
          <w:lang w:bidi="he-IL"/>
        </w:rPr>
        <w:t>, in Egypt there is</w:t>
      </w:r>
      <w:r w:rsidR="00034C3F">
        <w:rPr>
          <w:lang w:bidi="he-IL"/>
        </w:rPr>
        <w:t xml:space="preserve"> a central government and</w:t>
      </w:r>
      <w:r w:rsidR="00F3641B">
        <w:rPr>
          <w:lang w:bidi="he-IL"/>
        </w:rPr>
        <w:t xml:space="preserve"> they will find themsel</w:t>
      </w:r>
      <w:r w:rsidR="003F58C5">
        <w:rPr>
          <w:lang w:bidi="he-IL"/>
        </w:rPr>
        <w:t>ves</w:t>
      </w:r>
      <w:r w:rsidR="00F3641B">
        <w:rPr>
          <w:lang w:bidi="he-IL"/>
        </w:rPr>
        <w:t xml:space="preserve"> in the p</w:t>
      </w:r>
      <w:r w:rsidR="00034C3F">
        <w:rPr>
          <w:lang w:bidi="he-IL"/>
        </w:rPr>
        <w:t>osition of state serfs. It</w:t>
      </w:r>
      <w:r w:rsidR="00F3641B">
        <w:rPr>
          <w:lang w:bidi="he-IL"/>
        </w:rPr>
        <w:t xml:space="preserve"> will humble them (</w:t>
      </w:r>
      <w:r w:rsidR="00F3641B">
        <w:rPr>
          <w:i/>
          <w:lang w:bidi="he-IL"/>
        </w:rPr>
        <w:t xml:space="preserve">‘ānāh </w:t>
      </w:r>
      <w:r w:rsidR="00F3641B">
        <w:rPr>
          <w:lang w:bidi="he-IL"/>
        </w:rPr>
        <w:t>piel)—treat them as people with no rights, and</w:t>
      </w:r>
      <w:r w:rsidR="00034C3F">
        <w:rPr>
          <w:lang w:bidi="he-IL"/>
        </w:rPr>
        <w:t xml:space="preserve"> worse (see Exod 1:11-12). T</w:t>
      </w:r>
      <w:r w:rsidR="00F3641B">
        <w:rPr>
          <w:lang w:bidi="he-IL"/>
        </w:rPr>
        <w:t xml:space="preserve">heir </w:t>
      </w:r>
      <w:r w:rsidR="00034C3F">
        <w:rPr>
          <w:lang w:bidi="he-IL"/>
        </w:rPr>
        <w:t>400-year stay there is</w:t>
      </w:r>
      <w:r w:rsidR="0014247D">
        <w:rPr>
          <w:lang w:bidi="he-IL"/>
        </w:rPr>
        <w:t xml:space="preserve"> approximate</w:t>
      </w:r>
      <w:r w:rsidR="00034C3F">
        <w:rPr>
          <w:lang w:bidi="he-IL"/>
        </w:rPr>
        <w:t>ly</w:t>
      </w:r>
      <w:r w:rsidR="0014247D">
        <w:rPr>
          <w:lang w:bidi="he-IL"/>
        </w:rPr>
        <w:t xml:space="preserve"> equivalent to the 430 years of Exod 12:40-41</w:t>
      </w:r>
      <w:r w:rsidR="00F3641B">
        <w:rPr>
          <w:lang w:bidi="he-IL"/>
        </w:rPr>
        <w:t>.</w:t>
      </w:r>
      <w:r w:rsidR="00321A6B">
        <w:rPr>
          <w:lang w:bidi="he-IL"/>
        </w:rPr>
        <w:t xml:space="preserve"> </w:t>
      </w:r>
      <w:r w:rsidR="00B155C9">
        <w:rPr>
          <w:lang w:bidi="he-IL"/>
        </w:rPr>
        <w:t>If the audience wonders</w:t>
      </w:r>
      <w:r w:rsidR="00B155C9" w:rsidRPr="00B155C9">
        <w:rPr>
          <w:lang w:bidi="he-IL"/>
        </w:rPr>
        <w:t xml:space="preserve"> why it took so long for Israel to gain possession </w:t>
      </w:r>
      <w:r w:rsidR="00575FFC">
        <w:rPr>
          <w:lang w:bidi="he-IL"/>
        </w:rPr>
        <w:t>of Canaan,</w:t>
      </w:r>
      <w:r w:rsidR="00321A6B">
        <w:rPr>
          <w:lang w:bidi="he-IL"/>
        </w:rPr>
        <w:t xml:space="preserve"> Genesis is</w:t>
      </w:r>
      <w:r w:rsidR="00575FFC">
        <w:rPr>
          <w:lang w:bidi="he-IL"/>
        </w:rPr>
        <w:t xml:space="preserve"> providing an answer</w:t>
      </w:r>
      <w:r w:rsidR="00321A6B">
        <w:rPr>
          <w:lang w:bidi="he-IL"/>
        </w:rPr>
        <w:t>.</w:t>
      </w:r>
      <w:r w:rsidR="00575FFC">
        <w:rPr>
          <w:lang w:bidi="he-IL"/>
        </w:rPr>
        <w:t xml:space="preserve"> And if it is wondering about Yahweh’s fulfillment</w:t>
      </w:r>
      <w:r w:rsidR="00D935FA">
        <w:rPr>
          <w:lang w:bidi="he-IL"/>
        </w:rPr>
        <w:t xml:space="preserve"> of </w:t>
      </w:r>
      <w:r w:rsidR="00575FFC">
        <w:rPr>
          <w:lang w:bidi="he-IL"/>
        </w:rPr>
        <w:t>promises</w:t>
      </w:r>
      <w:r w:rsidR="00D935FA">
        <w:rPr>
          <w:lang w:bidi="he-IL"/>
        </w:rPr>
        <w:t xml:space="preserve"> that apply to it</w:t>
      </w:r>
      <w:r w:rsidR="00575FFC">
        <w:rPr>
          <w:lang w:bidi="he-IL"/>
        </w:rPr>
        <w:t xml:space="preserve">, Yahweh’s words imply pointers towards </w:t>
      </w:r>
      <w:r w:rsidR="00D935FA">
        <w:rPr>
          <w:lang w:bidi="he-IL"/>
        </w:rPr>
        <w:t>an answer</w:t>
      </w:r>
      <w:r w:rsidR="00575FFC">
        <w:rPr>
          <w:lang w:bidi="he-IL"/>
        </w:rPr>
        <w:t>.</w:t>
      </w:r>
    </w:p>
    <w:p w14:paraId="1265C6E2" w14:textId="3013610F" w:rsidR="003F58C5" w:rsidRDefault="00575FFC" w:rsidP="004F472B">
      <w:pPr>
        <w:rPr>
          <w:lang w:bidi="he-IL"/>
        </w:rPr>
      </w:pPr>
      <w:r>
        <w:rPr>
          <w:lang w:bidi="he-IL"/>
        </w:rPr>
        <w:t xml:space="preserve">One aspect of the answer is that the years through which </w:t>
      </w:r>
      <w:r w:rsidR="00321A6B">
        <w:rPr>
          <w:lang w:bidi="he-IL"/>
        </w:rPr>
        <w:t>Israel’s ancestors are stuck</w:t>
      </w:r>
      <w:r w:rsidR="003F58C5">
        <w:rPr>
          <w:lang w:bidi="he-IL"/>
        </w:rPr>
        <w:t xml:space="preserve"> </w:t>
      </w:r>
      <w:r>
        <w:rPr>
          <w:lang w:bidi="he-IL"/>
        </w:rPr>
        <w:t xml:space="preserve">in Egypt </w:t>
      </w:r>
      <w:r w:rsidR="003F58C5">
        <w:rPr>
          <w:lang w:bidi="he-IL"/>
        </w:rPr>
        <w:t>will not last forever (v. 14). The job of a judge is to see that deliverance comes to people who are treated as if they have no rights (e.g., Jer 5:28; 22:16), and Yahweh will act as judge (</w:t>
      </w:r>
      <w:r w:rsidR="003F58C5">
        <w:rPr>
          <w:i/>
          <w:lang w:bidi="he-IL"/>
        </w:rPr>
        <w:t>dîn</w:t>
      </w:r>
      <w:r w:rsidR="003F58C5">
        <w:rPr>
          <w:lang w:bidi="he-IL"/>
        </w:rPr>
        <w:t xml:space="preserve">) so that Abraham’s offspring </w:t>
      </w:r>
      <w:r w:rsidR="00D935FA">
        <w:rPr>
          <w:lang w:bidi="he-IL"/>
        </w:rPr>
        <w:t>do get out of the</w:t>
      </w:r>
      <w:r w:rsidR="003F58C5">
        <w:rPr>
          <w:lang w:bidi="he-IL"/>
        </w:rPr>
        <w:t xml:space="preserve"> country</w:t>
      </w:r>
      <w:r w:rsidR="00D935FA">
        <w:rPr>
          <w:lang w:bidi="he-IL"/>
        </w:rPr>
        <w:t xml:space="preserve"> where they have no rights</w:t>
      </w:r>
      <w:r w:rsidR="003F58C5">
        <w:rPr>
          <w:lang w:bidi="he-IL"/>
        </w:rPr>
        <w:t xml:space="preserve">. </w:t>
      </w:r>
      <w:r w:rsidR="00DD0AB9">
        <w:rPr>
          <w:lang w:bidi="he-IL"/>
        </w:rPr>
        <w:t xml:space="preserve">The </w:t>
      </w:r>
      <w:r w:rsidR="00235326">
        <w:rPr>
          <w:lang w:bidi="he-IL"/>
        </w:rPr>
        <w:t>First Te</w:t>
      </w:r>
      <w:r w:rsidR="00DD0AB9">
        <w:rPr>
          <w:lang w:bidi="he-IL"/>
        </w:rPr>
        <w:t>stament would usually us</w:t>
      </w:r>
      <w:r w:rsidR="00DD0AB9" w:rsidRPr="00DD0AB9">
        <w:rPr>
          <w:lang w:bidi="he-IL"/>
        </w:rPr>
        <w:t xml:space="preserve">e the verb </w:t>
      </w:r>
      <w:r w:rsidR="00DD0AB9" w:rsidRPr="00DD0AB9">
        <w:rPr>
          <w:i/>
          <w:lang w:bidi="he-IL"/>
        </w:rPr>
        <w:t>šāpaṭ</w:t>
      </w:r>
      <w:r w:rsidR="00DD0AB9" w:rsidRPr="00DD0AB9">
        <w:rPr>
          <w:lang w:bidi="he-IL"/>
        </w:rPr>
        <w:t xml:space="preserve"> </w:t>
      </w:r>
      <w:r w:rsidR="00DD0AB9">
        <w:rPr>
          <w:lang w:bidi="he-IL"/>
        </w:rPr>
        <w:t>in speaking of such judgment</w:t>
      </w:r>
      <w:r w:rsidR="00235326">
        <w:rPr>
          <w:lang w:bidi="he-IL"/>
        </w:rPr>
        <w:t xml:space="preserve"> (e.g., 16:5; 18:25), but here Yahweh uses the verb </w:t>
      </w:r>
      <w:r w:rsidR="00235326" w:rsidRPr="00235326">
        <w:rPr>
          <w:i/>
          <w:lang w:bidi="he-IL"/>
        </w:rPr>
        <w:t>dîn</w:t>
      </w:r>
      <w:r w:rsidR="00235326" w:rsidRPr="00235326">
        <w:rPr>
          <w:lang w:bidi="he-IL"/>
        </w:rPr>
        <w:t xml:space="preserve"> </w:t>
      </w:r>
      <w:r w:rsidR="00235326">
        <w:rPr>
          <w:lang w:bidi="he-IL"/>
        </w:rPr>
        <w:t xml:space="preserve">in its participial form </w:t>
      </w:r>
      <w:r w:rsidR="00235326">
        <w:rPr>
          <w:i/>
          <w:lang w:bidi="he-IL"/>
        </w:rPr>
        <w:t>dān</w:t>
      </w:r>
      <w:r w:rsidR="00DD0AB9">
        <w:rPr>
          <w:lang w:bidi="he-IL"/>
        </w:rPr>
        <w:t xml:space="preserve"> whi</w:t>
      </w:r>
      <w:r w:rsidR="00235326">
        <w:rPr>
          <w:lang w:bidi="he-IL"/>
        </w:rPr>
        <w:t>ch</w:t>
      </w:r>
      <w:r w:rsidR="00235326">
        <w:rPr>
          <w:i/>
          <w:lang w:bidi="he-IL"/>
        </w:rPr>
        <w:t xml:space="preserve"> </w:t>
      </w:r>
      <w:r w:rsidR="00235326">
        <w:rPr>
          <w:lang w:bidi="he-IL"/>
        </w:rPr>
        <w:t xml:space="preserve">generates a link with the reference to Dan (also </w:t>
      </w:r>
      <w:r w:rsidR="00235326" w:rsidRPr="00235326">
        <w:rPr>
          <w:i/>
          <w:lang w:bidi="he-IL"/>
        </w:rPr>
        <w:t>dān</w:t>
      </w:r>
      <w:r w:rsidR="00235326">
        <w:rPr>
          <w:lang w:bidi="he-IL"/>
        </w:rPr>
        <w:t>) in 14:14.</w:t>
      </w:r>
      <w:r w:rsidR="00235326" w:rsidRPr="00235326">
        <w:rPr>
          <w:i/>
          <w:lang w:bidi="he-IL"/>
        </w:rPr>
        <w:t xml:space="preserve"> </w:t>
      </w:r>
      <w:r w:rsidR="00235326">
        <w:rPr>
          <w:lang w:bidi="he-IL"/>
        </w:rPr>
        <w:t>There follows</w:t>
      </w:r>
      <w:r w:rsidR="003F58C5">
        <w:rPr>
          <w:lang w:bidi="he-IL"/>
        </w:rPr>
        <w:t xml:space="preserve"> another l</w:t>
      </w:r>
      <w:r w:rsidR="00235326">
        <w:rPr>
          <w:lang w:bidi="he-IL"/>
        </w:rPr>
        <w:t>ink with what has preceded. The people</w:t>
      </w:r>
      <w:r w:rsidR="003F58C5">
        <w:rPr>
          <w:lang w:bidi="he-IL"/>
        </w:rPr>
        <w:t xml:space="preserve"> will come o</w:t>
      </w:r>
      <w:r w:rsidR="00DD0AB9">
        <w:rPr>
          <w:lang w:bidi="he-IL"/>
        </w:rPr>
        <w:t xml:space="preserve">ut with much </w:t>
      </w:r>
      <w:r w:rsidR="003D56BA">
        <w:rPr>
          <w:lang w:bidi="he-IL"/>
        </w:rPr>
        <w:t>“</w:t>
      </w:r>
      <w:r w:rsidR="00DD0AB9">
        <w:rPr>
          <w:lang w:bidi="he-IL"/>
        </w:rPr>
        <w:t>property</w:t>
      </w:r>
      <w:r w:rsidR="003D56BA">
        <w:rPr>
          <w:lang w:bidi="he-IL"/>
        </w:rPr>
        <w:t>”</w:t>
      </w:r>
      <w:r w:rsidR="00DD0AB9">
        <w:rPr>
          <w:lang w:bidi="he-IL"/>
        </w:rPr>
        <w:t>—the not-very-</w:t>
      </w:r>
      <w:r w:rsidR="003F58C5">
        <w:rPr>
          <w:lang w:bidi="he-IL"/>
        </w:rPr>
        <w:t>c</w:t>
      </w:r>
      <w:r w:rsidR="00DD0AB9">
        <w:rPr>
          <w:lang w:bidi="he-IL"/>
        </w:rPr>
        <w:t>ommon word which recurred</w:t>
      </w:r>
      <w:r w:rsidR="003F58C5">
        <w:rPr>
          <w:lang w:bidi="he-IL"/>
        </w:rPr>
        <w:t xml:space="preserve"> in the previous chapter (14:11, 12, 16, 21; see also 12:5; 13:6)</w:t>
      </w:r>
      <w:r w:rsidR="00740CDA">
        <w:rPr>
          <w:lang w:bidi="he-IL"/>
        </w:rPr>
        <w:t>. More explicitly than happened</w:t>
      </w:r>
      <w:r w:rsidR="00A735EA">
        <w:rPr>
          <w:lang w:bidi="he-IL"/>
        </w:rPr>
        <w:t xml:space="preserve"> in v. 1, Yahweh brings out into the open the question whether Abraham (and his offspring) can survive by living in th</w:t>
      </w:r>
      <w:r w:rsidR="00034C3F">
        <w:rPr>
          <w:lang w:bidi="he-IL"/>
        </w:rPr>
        <w:t>e unworldly way that Abraham adopted</w:t>
      </w:r>
      <w:r w:rsidR="00A735EA">
        <w:rPr>
          <w:lang w:bidi="he-IL"/>
        </w:rPr>
        <w:t xml:space="preserve"> in refusing to </w:t>
      </w:r>
      <w:r w:rsidR="00034C3F">
        <w:rPr>
          <w:lang w:bidi="he-IL"/>
        </w:rPr>
        <w:t>keep Sodom’s property. T</w:t>
      </w:r>
      <w:r w:rsidR="00DD0AB9">
        <w:rPr>
          <w:lang w:bidi="he-IL"/>
        </w:rPr>
        <w:t>hey will</w:t>
      </w:r>
      <w:r w:rsidR="00034C3F">
        <w:rPr>
          <w:lang w:bidi="he-IL"/>
        </w:rPr>
        <w:t xml:space="preserve"> do more than survive</w:t>
      </w:r>
      <w:r w:rsidR="00740CDA">
        <w:rPr>
          <w:lang w:bidi="he-IL"/>
        </w:rPr>
        <w:t>. Their being</w:t>
      </w:r>
      <w:r w:rsidR="00A735EA">
        <w:rPr>
          <w:lang w:bidi="he-IL"/>
        </w:rPr>
        <w:t xml:space="preserve"> resident aliens at best, state serfs and people with no rights at worst, will not mean that they have lost forever the relative prosperity that the family knew when they came from Harran and whe</w:t>
      </w:r>
      <w:r w:rsidR="00DD0AB9">
        <w:rPr>
          <w:lang w:bidi="he-IL"/>
        </w:rPr>
        <w:t>n they set</w:t>
      </w:r>
      <w:r w:rsidR="004A1D37">
        <w:rPr>
          <w:lang w:bidi="he-IL"/>
        </w:rPr>
        <w:t>tled near Beth E</w:t>
      </w:r>
      <w:r w:rsidR="00A10D11">
        <w:rPr>
          <w:lang w:bidi="he-IL"/>
        </w:rPr>
        <w:t>l and near Mamre</w:t>
      </w:r>
      <w:r w:rsidR="00DD0AB9">
        <w:rPr>
          <w:lang w:bidi="he-IL"/>
        </w:rPr>
        <w:t xml:space="preserve"> </w:t>
      </w:r>
      <w:r w:rsidR="00A735EA">
        <w:rPr>
          <w:lang w:bidi="he-IL"/>
        </w:rPr>
        <w:t>after Abraham’s own Egyptian adventure.</w:t>
      </w:r>
    </w:p>
    <w:p w14:paraId="658B7DDA" w14:textId="03615C5B" w:rsidR="00A735EA" w:rsidRDefault="008A33E7" w:rsidP="004F472B">
      <w:pPr>
        <w:rPr>
          <w:lang w:bidi="he-IL"/>
        </w:rPr>
      </w:pPr>
      <w:r>
        <w:rPr>
          <w:lang w:bidi="he-IL"/>
        </w:rPr>
        <w:t>Yahweh sums up his promise in two bicola (vv. 15-16). The first relates t</w:t>
      </w:r>
      <w:r w:rsidR="00DD0AB9">
        <w:rPr>
          <w:lang w:bidi="he-IL"/>
        </w:rPr>
        <w:t xml:space="preserve">o Abraham himself. He </w:t>
      </w:r>
      <w:r>
        <w:rPr>
          <w:lang w:bidi="he-IL"/>
        </w:rPr>
        <w:t>will not see these events that are centuries away, but he can relax and kn</w:t>
      </w:r>
      <w:r w:rsidR="00DD0AB9">
        <w:rPr>
          <w:lang w:bidi="he-IL"/>
        </w:rPr>
        <w:t>ow that they are going to come about</w:t>
      </w:r>
      <w:r w:rsidR="00740CDA">
        <w:rPr>
          <w:lang w:bidi="he-IL"/>
        </w:rPr>
        <w:t xml:space="preserve">. In the </w:t>
      </w:r>
      <w:r>
        <w:rPr>
          <w:lang w:bidi="he-IL"/>
        </w:rPr>
        <w:t xml:space="preserve">parallel cola, first Yahweh speaks not neutrally or solemnly about Abraham </w:t>
      </w:r>
      <w:r w:rsidR="003D56BA">
        <w:rPr>
          <w:lang w:bidi="he-IL"/>
        </w:rPr>
        <w:t>“</w:t>
      </w:r>
      <w:r w:rsidR="00DD0AB9">
        <w:rPr>
          <w:lang w:bidi="he-IL"/>
        </w:rPr>
        <w:t>departing</w:t>
      </w:r>
      <w:r w:rsidR="003D56BA">
        <w:rPr>
          <w:lang w:bidi="he-IL"/>
        </w:rPr>
        <w:t>”</w:t>
      </w:r>
      <w:r w:rsidR="00DD0AB9">
        <w:rPr>
          <w:lang w:bidi="he-IL"/>
        </w:rPr>
        <w:t xml:space="preserve"> </w:t>
      </w:r>
      <w:r w:rsidR="00272F4D">
        <w:rPr>
          <w:lang w:bidi="he-IL"/>
        </w:rPr>
        <w:t>(as Abraham did in v. 2)</w:t>
      </w:r>
      <w:r w:rsidR="00DD0AB9">
        <w:rPr>
          <w:lang w:bidi="he-IL"/>
        </w:rPr>
        <w:t xml:space="preserve"> or about his </w:t>
      </w:r>
      <w:r w:rsidR="003D56BA">
        <w:rPr>
          <w:lang w:bidi="he-IL"/>
        </w:rPr>
        <w:t>“</w:t>
      </w:r>
      <w:r>
        <w:rPr>
          <w:lang w:bidi="he-IL"/>
        </w:rPr>
        <w:t>dying</w:t>
      </w:r>
      <w:r w:rsidR="00DD0AB9">
        <w:rPr>
          <w:lang w:bidi="he-IL"/>
        </w:rPr>
        <w:t>,</w:t>
      </w:r>
      <w:r w:rsidR="003D56BA">
        <w:rPr>
          <w:lang w:bidi="he-IL"/>
        </w:rPr>
        <w:t>”</w:t>
      </w:r>
      <w:r>
        <w:rPr>
          <w:lang w:bidi="he-IL"/>
        </w:rPr>
        <w:t xml:space="preserve"> but positively or encouragingly about his joining his ancestors. It’s a slightly audacious way to speak of death, because while Abraham and Sarah’s descendants will join them in the tomb tha</w:t>
      </w:r>
      <w:r w:rsidR="00A10D11">
        <w:rPr>
          <w:lang w:bidi="he-IL"/>
        </w:rPr>
        <w:t>t Abraham will acquire in Mamre</w:t>
      </w:r>
      <w:r>
        <w:rPr>
          <w:lang w:bidi="he-IL"/>
        </w:rPr>
        <w:t xml:space="preserve"> (Gen 23), Abraham and Sarah will not join their ancestors who were bur</w:t>
      </w:r>
      <w:r w:rsidR="00DD0AB9">
        <w:rPr>
          <w:lang w:bidi="he-IL"/>
        </w:rPr>
        <w:t xml:space="preserve">ied hundreds of miles away. Perhaps the assumption is that </w:t>
      </w:r>
      <w:r w:rsidR="008144D5">
        <w:rPr>
          <w:lang w:bidi="he-IL"/>
        </w:rPr>
        <w:t xml:space="preserve">in Sheol they will join them. However, </w:t>
      </w:r>
      <w:r>
        <w:rPr>
          <w:lang w:bidi="he-IL"/>
        </w:rPr>
        <w:t>the stress lies on the expressio</w:t>
      </w:r>
      <w:r w:rsidR="00DD0AB9">
        <w:rPr>
          <w:lang w:bidi="he-IL"/>
        </w:rPr>
        <w:t>n that follows. Abraham will pass away</w:t>
      </w:r>
      <w:r>
        <w:rPr>
          <w:lang w:bidi="he-IL"/>
        </w:rPr>
        <w:t xml:space="preserve"> </w:t>
      </w:r>
      <w:r>
        <w:rPr>
          <w:i/>
          <w:lang w:bidi="he-IL"/>
        </w:rPr>
        <w:t>bᵉšālôm</w:t>
      </w:r>
      <w:r>
        <w:rPr>
          <w:lang w:bidi="he-IL"/>
        </w:rPr>
        <w:t xml:space="preserve">: not </w:t>
      </w:r>
      <w:r w:rsidR="00740CDA">
        <w:rPr>
          <w:lang w:bidi="he-IL"/>
        </w:rPr>
        <w:t xml:space="preserve">merely </w:t>
      </w:r>
      <w:r w:rsidR="003D56BA">
        <w:rPr>
          <w:lang w:bidi="he-IL"/>
        </w:rPr>
        <w:t>“</w:t>
      </w:r>
      <w:r>
        <w:rPr>
          <w:lang w:bidi="he-IL"/>
        </w:rPr>
        <w:t>in peace</w:t>
      </w:r>
      <w:r w:rsidR="003D56BA">
        <w:rPr>
          <w:lang w:bidi="he-IL"/>
        </w:rPr>
        <w:t>”</w:t>
      </w:r>
      <w:r>
        <w:rPr>
          <w:lang w:bidi="he-IL"/>
        </w:rPr>
        <w:t xml:space="preserve"> but with things going well for the rest of his life until the end, which they pretty much do (cf. the promise to Hezekiah, Isa 39:</w:t>
      </w:r>
      <w:r w:rsidR="002D5130">
        <w:rPr>
          <w:lang w:bidi="he-IL"/>
        </w:rPr>
        <w:t>8).</w:t>
      </w:r>
      <w:r w:rsidR="00727890">
        <w:rPr>
          <w:lang w:bidi="he-IL"/>
        </w:rPr>
        <w:t xml:space="preserve"> </w:t>
      </w:r>
      <w:r w:rsidR="005D2A8B">
        <w:rPr>
          <w:lang w:bidi="he-IL"/>
        </w:rPr>
        <w:t xml:space="preserve">The word </w:t>
      </w:r>
      <w:r w:rsidR="005D2A8B" w:rsidRPr="005D2A8B">
        <w:rPr>
          <w:i/>
          <w:lang w:bidi="he-IL"/>
        </w:rPr>
        <w:t>šālôm</w:t>
      </w:r>
      <w:r w:rsidR="005D2A8B" w:rsidRPr="005D2A8B">
        <w:rPr>
          <w:lang w:bidi="he-IL"/>
        </w:rPr>
        <w:t xml:space="preserve"> </w:t>
      </w:r>
      <w:r w:rsidR="005D2A8B">
        <w:rPr>
          <w:lang w:bidi="he-IL"/>
        </w:rPr>
        <w:t xml:space="preserve">makes a link with the reference to Melchizedek as king of </w:t>
      </w:r>
      <w:r w:rsidR="005D2A8B">
        <w:rPr>
          <w:i/>
          <w:lang w:bidi="he-IL"/>
        </w:rPr>
        <w:t>šālē</w:t>
      </w:r>
      <w:r w:rsidR="005D2A8B" w:rsidRPr="005D2A8B">
        <w:rPr>
          <w:i/>
          <w:lang w:bidi="he-IL"/>
        </w:rPr>
        <w:t>m</w:t>
      </w:r>
      <w:r w:rsidR="005D2A8B" w:rsidRPr="005D2A8B">
        <w:rPr>
          <w:lang w:bidi="he-IL"/>
        </w:rPr>
        <w:t xml:space="preserve"> </w:t>
      </w:r>
      <w:r w:rsidR="005D2A8B">
        <w:rPr>
          <w:lang w:bidi="he-IL"/>
        </w:rPr>
        <w:t>in 14:18. Abraham</w:t>
      </w:r>
      <w:r w:rsidR="00272F4D">
        <w:rPr>
          <w:lang w:bidi="he-IL"/>
        </w:rPr>
        <w:t xml:space="preserve"> will </w:t>
      </w:r>
      <w:r w:rsidR="002760D4">
        <w:rPr>
          <w:lang w:bidi="he-IL"/>
        </w:rPr>
        <w:t>come to the grave</w:t>
      </w:r>
      <w:r w:rsidR="002D5130">
        <w:rPr>
          <w:lang w:bidi="he-IL"/>
        </w:rPr>
        <w:t xml:space="preserve"> in </w:t>
      </w:r>
      <w:r w:rsidR="002760D4">
        <w:rPr>
          <w:lang w:bidi="he-IL"/>
        </w:rPr>
        <w:t>a good old age (175, which one might see as equivalent to</w:t>
      </w:r>
      <w:r w:rsidR="002D5130">
        <w:rPr>
          <w:lang w:bidi="he-IL"/>
        </w:rPr>
        <w:t xml:space="preserve"> 80 or 90</w:t>
      </w:r>
      <w:r w:rsidR="00272F4D">
        <w:rPr>
          <w:lang w:bidi="he-IL"/>
        </w:rPr>
        <w:t xml:space="preserve"> in our</w:t>
      </w:r>
      <w:r w:rsidR="00096333">
        <w:rPr>
          <w:lang w:bidi="he-IL"/>
        </w:rPr>
        <w:t xml:space="preserve"> terms</w:t>
      </w:r>
      <w:r w:rsidR="002D5130">
        <w:rPr>
          <w:lang w:bidi="he-IL"/>
        </w:rPr>
        <w:t>)</w:t>
      </w:r>
      <w:r w:rsidR="002760D4">
        <w:rPr>
          <w:lang w:bidi="he-IL"/>
        </w:rPr>
        <w:t>, like a shock of grain going up to the threshin</w:t>
      </w:r>
      <w:r w:rsidR="00D154C5">
        <w:rPr>
          <w:lang w:bidi="he-IL"/>
        </w:rPr>
        <w:t>g floor at its season (Job 5:26).</w:t>
      </w:r>
      <w:r w:rsidR="002760D4">
        <w:rPr>
          <w:rStyle w:val="FootnoteReference"/>
          <w:lang w:bidi="he-IL"/>
        </w:rPr>
        <w:footnoteReference w:id="221"/>
      </w:r>
      <w:r w:rsidR="00D154C5">
        <w:rPr>
          <w:lang w:bidi="he-IL"/>
        </w:rPr>
        <w:t xml:space="preserve"> Gen 25:7-10 relate the fulfillment of the </w:t>
      </w:r>
      <w:r w:rsidR="00272F4D">
        <w:rPr>
          <w:lang w:bidi="he-IL"/>
        </w:rPr>
        <w:t xml:space="preserve">promise when Abraham is </w:t>
      </w:r>
      <w:r w:rsidR="002760D4">
        <w:rPr>
          <w:lang w:bidi="he-IL"/>
        </w:rPr>
        <w:t xml:space="preserve">buried </w:t>
      </w:r>
      <w:r w:rsidR="002D5130">
        <w:rPr>
          <w:lang w:bidi="he-IL"/>
        </w:rPr>
        <w:t>by his two ol</w:t>
      </w:r>
      <w:r w:rsidR="00272F4D">
        <w:rPr>
          <w:lang w:bidi="he-IL"/>
        </w:rPr>
        <w:t xml:space="preserve">dest sons and </w:t>
      </w:r>
      <w:r w:rsidR="002D5130">
        <w:rPr>
          <w:lang w:bidi="he-IL"/>
        </w:rPr>
        <w:t>join</w:t>
      </w:r>
      <w:r w:rsidR="00D154C5">
        <w:rPr>
          <w:lang w:bidi="he-IL"/>
        </w:rPr>
        <w:t>s</w:t>
      </w:r>
      <w:r w:rsidR="00272F4D">
        <w:rPr>
          <w:lang w:bidi="he-IL"/>
        </w:rPr>
        <w:t xml:space="preserve"> Sarah</w:t>
      </w:r>
      <w:r w:rsidR="002D5130">
        <w:rPr>
          <w:lang w:bidi="he-IL"/>
        </w:rPr>
        <w:t>.</w:t>
      </w:r>
    </w:p>
    <w:p w14:paraId="3368056A" w14:textId="39CD815B" w:rsidR="002D5130" w:rsidRDefault="002D5130" w:rsidP="004F472B">
      <w:pPr>
        <w:rPr>
          <w:lang w:bidi="he-IL"/>
        </w:rPr>
      </w:pPr>
      <w:r>
        <w:rPr>
          <w:lang w:bidi="he-IL"/>
        </w:rPr>
        <w:t>It is not quite so clear that the com</w:t>
      </w:r>
      <w:r w:rsidR="00096333">
        <w:rPr>
          <w:lang w:bidi="he-IL"/>
        </w:rPr>
        <w:t>panion summary promise about Abraham’s</w:t>
      </w:r>
      <w:r>
        <w:rPr>
          <w:lang w:bidi="he-IL"/>
        </w:rPr>
        <w:t xml:space="preserve"> offspring (v. 16) is a poetic line; it scans as 4-5 in MT and the cola are complementary but </w:t>
      </w:r>
      <w:r w:rsidR="00096333">
        <w:rPr>
          <w:lang w:bidi="he-IL"/>
        </w:rPr>
        <w:t xml:space="preserve">they </w:t>
      </w:r>
      <w:r>
        <w:rPr>
          <w:lang w:bidi="he-IL"/>
        </w:rPr>
        <w:t>show paralle</w:t>
      </w:r>
      <w:r w:rsidR="00096333">
        <w:rPr>
          <w:lang w:bidi="he-IL"/>
        </w:rPr>
        <w:t>lism only in the closing word in</w:t>
      </w:r>
      <w:r>
        <w:rPr>
          <w:lang w:bidi="he-IL"/>
        </w:rPr>
        <w:t xml:space="preserve"> each. But I will giv</w:t>
      </w:r>
      <w:r w:rsidR="00096333">
        <w:rPr>
          <w:lang w:bidi="he-IL"/>
        </w:rPr>
        <w:t>e it the benefit of the doubt, and t</w:t>
      </w:r>
      <w:r>
        <w:rPr>
          <w:lang w:bidi="he-IL"/>
        </w:rPr>
        <w:t xml:space="preserve">aking it as poetic may </w:t>
      </w:r>
      <w:r w:rsidR="00096333">
        <w:rPr>
          <w:lang w:bidi="he-IL"/>
        </w:rPr>
        <w:t>provide support for</w:t>
      </w:r>
      <w:r>
        <w:rPr>
          <w:lang w:bidi="he-IL"/>
        </w:rPr>
        <w:t xml:space="preserve"> understanding four generations </w:t>
      </w:r>
      <w:r w:rsidR="00272F4D">
        <w:rPr>
          <w:lang w:bidi="he-IL"/>
        </w:rPr>
        <w:t>as a figurative expression for</w:t>
      </w:r>
      <w:r>
        <w:rPr>
          <w:lang w:bidi="he-IL"/>
        </w:rPr>
        <w:t xml:space="preserve"> four </w:t>
      </w:r>
      <w:r w:rsidR="005D6B6A">
        <w:rPr>
          <w:lang w:bidi="he-IL"/>
        </w:rPr>
        <w:t xml:space="preserve">lifetimes and thus four </w:t>
      </w:r>
      <w:r>
        <w:rPr>
          <w:lang w:bidi="he-IL"/>
        </w:rPr>
        <w:t>centuries (cf. v. 1</w:t>
      </w:r>
      <w:r w:rsidR="003B1C0B">
        <w:rPr>
          <w:lang w:bidi="he-IL"/>
        </w:rPr>
        <w:t>3)</w:t>
      </w:r>
      <w:r w:rsidR="00096333">
        <w:rPr>
          <w:lang w:bidi="he-IL"/>
        </w:rPr>
        <w:t>—though alternatively t</w:t>
      </w:r>
      <w:r w:rsidR="00096333" w:rsidRPr="00096333">
        <w:rPr>
          <w:lang w:bidi="he-IL"/>
        </w:rPr>
        <w:t xml:space="preserve">he four generations might stretch from Levi to Moses (via </w:t>
      </w:r>
      <w:r w:rsidR="00096333" w:rsidRPr="00096333">
        <w:rPr>
          <w:lang w:bidi="he-IL"/>
        </w:rPr>
        <w:lastRenderedPageBreak/>
        <w:t>Kohat and Amram).</w:t>
      </w:r>
      <w:r w:rsidR="00096333" w:rsidRPr="00096333">
        <w:rPr>
          <w:vertAlign w:val="superscript"/>
          <w:lang w:bidi="he-IL"/>
        </w:rPr>
        <w:footnoteReference w:id="222"/>
      </w:r>
      <w:r w:rsidR="00096333">
        <w:rPr>
          <w:lang w:bidi="he-IL"/>
        </w:rPr>
        <w:t xml:space="preserve"> </w:t>
      </w:r>
      <w:r w:rsidR="003B1C0B">
        <w:rPr>
          <w:lang w:bidi="he-IL"/>
        </w:rPr>
        <w:t xml:space="preserve">The second colon </w:t>
      </w:r>
      <w:r w:rsidR="000F77A4">
        <w:rPr>
          <w:lang w:bidi="he-IL"/>
        </w:rPr>
        <w:t>notes that Yahweh’s</w:t>
      </w:r>
      <w:r w:rsidR="003B1C0B">
        <w:rPr>
          <w:lang w:bidi="he-IL"/>
        </w:rPr>
        <w:t xml:space="preserve"> fulfillment of his promises to Abraham has to work along with being fair in his treatment of the </w:t>
      </w:r>
      <w:r w:rsidR="000F77A4">
        <w:rPr>
          <w:lang w:bidi="he-IL"/>
        </w:rPr>
        <w:t xml:space="preserve">people in country at the moment; </w:t>
      </w:r>
      <w:r w:rsidR="003B1C0B">
        <w:rPr>
          <w:lang w:bidi="he-IL"/>
        </w:rPr>
        <w:t xml:space="preserve">in this context </w:t>
      </w:r>
      <w:r w:rsidR="003D56BA">
        <w:rPr>
          <w:lang w:bidi="he-IL"/>
        </w:rPr>
        <w:t>“</w:t>
      </w:r>
      <w:r w:rsidR="000F77A4">
        <w:rPr>
          <w:lang w:bidi="he-IL"/>
        </w:rPr>
        <w:t>Amorites</w:t>
      </w:r>
      <w:r w:rsidR="003D56BA">
        <w:rPr>
          <w:lang w:bidi="he-IL"/>
        </w:rPr>
        <w:t>”</w:t>
      </w:r>
      <w:r w:rsidR="000F77A4">
        <w:rPr>
          <w:lang w:bidi="he-IL"/>
        </w:rPr>
        <w:t xml:space="preserve"> is </w:t>
      </w:r>
      <w:r w:rsidR="003B1C0B">
        <w:rPr>
          <w:lang w:bidi="he-IL"/>
        </w:rPr>
        <w:t xml:space="preserve">a general term for the pre-Israelite inhabitants of the land, as </w:t>
      </w:r>
      <w:r w:rsidR="003D56BA">
        <w:rPr>
          <w:lang w:bidi="he-IL"/>
        </w:rPr>
        <w:t>“</w:t>
      </w:r>
      <w:r w:rsidR="000F77A4">
        <w:rPr>
          <w:lang w:bidi="he-IL"/>
        </w:rPr>
        <w:t>Canaanites</w:t>
      </w:r>
      <w:r w:rsidR="003D56BA">
        <w:rPr>
          <w:lang w:bidi="he-IL"/>
        </w:rPr>
        <w:t>”</w:t>
      </w:r>
      <w:r w:rsidR="000F77A4">
        <w:rPr>
          <w:lang w:bidi="he-IL"/>
        </w:rPr>
        <w:t xml:space="preserve"> often is. </w:t>
      </w:r>
      <w:r w:rsidR="00383346">
        <w:rPr>
          <w:lang w:bidi="he-IL"/>
        </w:rPr>
        <w:t xml:space="preserve">But the allusion to them as Amorite takes up the references to the Amorite in 14:7 and 13. </w:t>
      </w:r>
      <w:r w:rsidR="000F77A4">
        <w:rPr>
          <w:lang w:bidi="he-IL"/>
        </w:rPr>
        <w:t xml:space="preserve">Yahweh cannot simply throw </w:t>
      </w:r>
      <w:r w:rsidR="00096333">
        <w:rPr>
          <w:lang w:bidi="he-IL"/>
        </w:rPr>
        <w:t>out the cur</w:t>
      </w:r>
      <w:r w:rsidR="00272F4D">
        <w:rPr>
          <w:lang w:bidi="he-IL"/>
        </w:rPr>
        <w:t>rent inhabitants of the country</w:t>
      </w:r>
      <w:r w:rsidR="000F77A4">
        <w:rPr>
          <w:lang w:bidi="he-IL"/>
        </w:rPr>
        <w:t xml:space="preserve"> in favor of Abraham’s offspring</w:t>
      </w:r>
      <w:r w:rsidR="00096333">
        <w:rPr>
          <w:lang w:bidi="he-IL"/>
        </w:rPr>
        <w:t xml:space="preserve"> whom he wishes to favor, even for the sake of his own purpose for the world as a whole. The Amorites must and will</w:t>
      </w:r>
      <w:r w:rsidR="000F77A4">
        <w:rPr>
          <w:lang w:bidi="he-IL"/>
        </w:rPr>
        <w:t xml:space="preserve"> have lots of time to turn from </w:t>
      </w:r>
      <w:r w:rsidR="00096333">
        <w:rPr>
          <w:lang w:bidi="he-IL"/>
        </w:rPr>
        <w:t>their waywardness</w:t>
      </w:r>
      <w:r w:rsidR="000F77A4">
        <w:rPr>
          <w:lang w:bidi="he-IL"/>
        </w:rPr>
        <w:t xml:space="preserve"> before Yahweh will be able to say, </w:t>
      </w:r>
      <w:r w:rsidR="003D56BA">
        <w:rPr>
          <w:lang w:bidi="he-IL"/>
        </w:rPr>
        <w:t>“</w:t>
      </w:r>
      <w:r w:rsidR="000F77A4">
        <w:rPr>
          <w:lang w:bidi="he-IL"/>
        </w:rPr>
        <w:t>That’s it.</w:t>
      </w:r>
      <w:r w:rsidR="003D56BA">
        <w:rPr>
          <w:lang w:bidi="he-IL"/>
        </w:rPr>
        <w:t>”</w:t>
      </w:r>
      <w:r w:rsidR="000F77A4">
        <w:rPr>
          <w:lang w:bidi="he-IL"/>
        </w:rPr>
        <w:t xml:space="preserve"> In a parallelism between the two lines of Yahweh’s promise, </w:t>
      </w:r>
      <w:r w:rsidR="005D2A8B">
        <w:rPr>
          <w:lang w:bidi="he-IL"/>
        </w:rPr>
        <w:t xml:space="preserve">the </w:t>
      </w:r>
      <w:r w:rsidR="00740CDA">
        <w:rPr>
          <w:lang w:bidi="he-IL"/>
        </w:rPr>
        <w:t xml:space="preserve">allusion to </w:t>
      </w:r>
      <w:r w:rsidR="000F77A4" w:rsidRPr="000F77A4">
        <w:rPr>
          <w:lang w:bidi="he-IL"/>
        </w:rPr>
        <w:t>Amorite</w:t>
      </w:r>
      <w:r w:rsidR="000F77A4">
        <w:rPr>
          <w:lang w:bidi="he-IL"/>
        </w:rPr>
        <w:t xml:space="preserve"> waywardness being </w:t>
      </w:r>
      <w:r w:rsidR="003D56BA">
        <w:rPr>
          <w:lang w:bidi="he-IL"/>
        </w:rPr>
        <w:t>“</w:t>
      </w:r>
      <w:r w:rsidR="000F77A4">
        <w:rPr>
          <w:lang w:bidi="he-IL"/>
        </w:rPr>
        <w:t>complete</w:t>
      </w:r>
      <w:r w:rsidR="003D56BA">
        <w:rPr>
          <w:lang w:bidi="he-IL"/>
        </w:rPr>
        <w:t>”</w:t>
      </w:r>
      <w:r w:rsidR="000F77A4">
        <w:rPr>
          <w:lang w:bidi="he-IL"/>
        </w:rPr>
        <w:t xml:space="preserve"> (</w:t>
      </w:r>
      <w:r w:rsidR="000F77A4">
        <w:rPr>
          <w:i/>
          <w:lang w:bidi="he-IL"/>
        </w:rPr>
        <w:t>šālē</w:t>
      </w:r>
      <w:r w:rsidR="000F77A4" w:rsidRPr="000F77A4">
        <w:rPr>
          <w:i/>
          <w:lang w:bidi="he-IL"/>
        </w:rPr>
        <w:t>m</w:t>
      </w:r>
      <w:r w:rsidR="000F77A4">
        <w:rPr>
          <w:lang w:bidi="he-IL"/>
        </w:rPr>
        <w:t>)</w:t>
      </w:r>
      <w:r w:rsidR="005D2A8B">
        <w:rPr>
          <w:lang w:bidi="he-IL"/>
        </w:rPr>
        <w:t xml:space="preserve"> pairs with the</w:t>
      </w:r>
      <w:r w:rsidR="005D2A8B" w:rsidRPr="005D2A8B">
        <w:rPr>
          <w:lang w:bidi="he-IL"/>
        </w:rPr>
        <w:t xml:space="preserve"> allusion to </w:t>
      </w:r>
      <w:r w:rsidR="003D56BA">
        <w:rPr>
          <w:lang w:bidi="he-IL"/>
        </w:rPr>
        <w:t>“</w:t>
      </w:r>
      <w:r w:rsidR="005D2A8B" w:rsidRPr="005D2A8B">
        <w:rPr>
          <w:lang w:bidi="he-IL"/>
        </w:rPr>
        <w:t>things being well</w:t>
      </w:r>
      <w:r w:rsidR="003D56BA">
        <w:rPr>
          <w:lang w:bidi="he-IL"/>
        </w:rPr>
        <w:t>”</w:t>
      </w:r>
      <w:r w:rsidR="005D2A8B" w:rsidRPr="005D2A8B">
        <w:rPr>
          <w:lang w:bidi="he-IL"/>
        </w:rPr>
        <w:t xml:space="preserve"> for Abraham (</w:t>
      </w:r>
      <w:r w:rsidR="005D2A8B" w:rsidRPr="005D2A8B">
        <w:rPr>
          <w:i/>
          <w:lang w:bidi="he-IL"/>
        </w:rPr>
        <w:t>šālôm</w:t>
      </w:r>
      <w:r w:rsidR="005D2A8B">
        <w:rPr>
          <w:lang w:bidi="he-IL"/>
        </w:rPr>
        <w:t>), as well as linkin</w:t>
      </w:r>
      <w:r w:rsidR="00893501">
        <w:rPr>
          <w:lang w:bidi="he-IL"/>
        </w:rPr>
        <w:t>g with the reference to the town</w:t>
      </w:r>
      <w:r w:rsidR="005D2A8B">
        <w:rPr>
          <w:lang w:bidi="he-IL"/>
        </w:rPr>
        <w:t xml:space="preserve"> of </w:t>
      </w:r>
      <w:r w:rsidR="005D2A8B" w:rsidRPr="005D2A8B">
        <w:rPr>
          <w:i/>
          <w:lang w:bidi="he-IL"/>
        </w:rPr>
        <w:t>šālēm</w:t>
      </w:r>
      <w:r w:rsidR="005D2A8B">
        <w:rPr>
          <w:lang w:bidi="he-IL"/>
        </w:rPr>
        <w:t xml:space="preserve"> in 14:18</w:t>
      </w:r>
      <w:r w:rsidR="000F77A4">
        <w:rPr>
          <w:lang w:bidi="he-IL"/>
        </w:rPr>
        <w:t>.</w:t>
      </w:r>
      <w:r w:rsidR="00727890">
        <w:rPr>
          <w:lang w:bidi="he-IL"/>
        </w:rPr>
        <w:t xml:space="preserve"> </w:t>
      </w:r>
      <w:r w:rsidR="00CD208D">
        <w:rPr>
          <w:lang w:bidi="he-IL"/>
        </w:rPr>
        <w:t xml:space="preserve">Lev 18:24-28 will specify (in </w:t>
      </w:r>
      <w:r w:rsidR="005D2A8B">
        <w:rPr>
          <w:lang w:bidi="he-IL"/>
        </w:rPr>
        <w:t>the context of Lev 18</w:t>
      </w:r>
      <w:r w:rsidR="00096333">
        <w:rPr>
          <w:lang w:bidi="he-IL"/>
        </w:rPr>
        <w:t xml:space="preserve"> as a whole</w:t>
      </w:r>
      <w:r w:rsidR="00740CDA">
        <w:rPr>
          <w:lang w:bidi="he-IL"/>
        </w:rPr>
        <w:t xml:space="preserve">) that the </w:t>
      </w:r>
      <w:r w:rsidR="00CD208D">
        <w:rPr>
          <w:lang w:bidi="he-IL"/>
        </w:rPr>
        <w:t xml:space="preserve">waywardness </w:t>
      </w:r>
      <w:r w:rsidR="006632DF">
        <w:rPr>
          <w:lang w:bidi="he-IL"/>
        </w:rPr>
        <w:t>of the country’s pre-Isr</w:t>
      </w:r>
      <w:r w:rsidR="00740CDA">
        <w:rPr>
          <w:lang w:bidi="he-IL"/>
        </w:rPr>
        <w:t>a</w:t>
      </w:r>
      <w:r w:rsidR="006632DF">
        <w:rPr>
          <w:lang w:bidi="he-IL"/>
        </w:rPr>
        <w:t>e</w:t>
      </w:r>
      <w:r w:rsidR="00740CDA">
        <w:rPr>
          <w:lang w:bidi="he-IL"/>
        </w:rPr>
        <w:t>lite inhabitants</w:t>
      </w:r>
      <w:r w:rsidR="006632DF">
        <w:rPr>
          <w:rStyle w:val="FootnoteReference"/>
          <w:lang w:bidi="he-IL"/>
        </w:rPr>
        <w:footnoteReference w:id="223"/>
      </w:r>
      <w:r w:rsidR="00740CDA">
        <w:rPr>
          <w:lang w:bidi="he-IL"/>
        </w:rPr>
        <w:t xml:space="preserve"> </w:t>
      </w:r>
      <w:r w:rsidR="00096333">
        <w:rPr>
          <w:lang w:bidi="he-IL"/>
        </w:rPr>
        <w:t>may lie</w:t>
      </w:r>
      <w:r w:rsidR="00CD208D">
        <w:rPr>
          <w:lang w:bidi="he-IL"/>
        </w:rPr>
        <w:t xml:space="preserve"> in the way they conduct their marital, family, and sexual lives, which defile the country and will make it v</w:t>
      </w:r>
      <w:r w:rsidR="00272F4D">
        <w:rPr>
          <w:lang w:bidi="he-IL"/>
        </w:rPr>
        <w:t xml:space="preserve">omit them out, </w:t>
      </w:r>
      <w:r w:rsidR="00096333">
        <w:rPr>
          <w:lang w:bidi="he-IL"/>
        </w:rPr>
        <w:t>as it will</w:t>
      </w:r>
      <w:r w:rsidR="00CD208D">
        <w:rPr>
          <w:lang w:bidi="he-IL"/>
        </w:rPr>
        <w:t xml:space="preserve"> do to A</w:t>
      </w:r>
      <w:r w:rsidR="00272F4D">
        <w:rPr>
          <w:lang w:bidi="he-IL"/>
        </w:rPr>
        <w:t xml:space="preserve">braham’s descendants </w:t>
      </w:r>
      <w:r w:rsidR="00CD208D">
        <w:rPr>
          <w:lang w:bidi="he-IL"/>
        </w:rPr>
        <w:t>if they live the same way.</w:t>
      </w:r>
    </w:p>
    <w:p w14:paraId="38A47898" w14:textId="77777777" w:rsidR="005946B3" w:rsidRPr="005946B3" w:rsidRDefault="00EE1564" w:rsidP="005946B3">
      <w:pPr>
        <w:rPr>
          <w:rFonts w:eastAsiaTheme="minorHAnsi" w:cs="Minion-Regular"/>
        </w:rPr>
      </w:pPr>
      <w:r>
        <w:rPr>
          <w:b/>
          <w:lang w:bidi="he-IL"/>
        </w:rPr>
        <w:t xml:space="preserve">15:17-20. </w:t>
      </w:r>
      <w:r w:rsidR="00096333">
        <w:rPr>
          <w:b/>
          <w:lang w:bidi="he-IL"/>
        </w:rPr>
        <w:t xml:space="preserve">To </w:t>
      </w:r>
      <w:r w:rsidR="00096333">
        <w:rPr>
          <w:lang w:bidi="he-IL"/>
        </w:rPr>
        <w:t xml:space="preserve">Abraham’s question </w:t>
      </w:r>
      <w:r w:rsidR="003D56BA">
        <w:rPr>
          <w:lang w:bidi="he-IL"/>
        </w:rPr>
        <w:t>“</w:t>
      </w:r>
      <w:r w:rsidR="00096333">
        <w:rPr>
          <w:lang w:bidi="he-IL"/>
        </w:rPr>
        <w:t>how may I know,</w:t>
      </w:r>
      <w:r w:rsidR="003D56BA">
        <w:rPr>
          <w:lang w:bidi="he-IL"/>
        </w:rPr>
        <w:t>”</w:t>
      </w:r>
      <w:r w:rsidR="00096333">
        <w:rPr>
          <w:lang w:bidi="he-IL"/>
        </w:rPr>
        <w:t xml:space="preserve"> </w:t>
      </w:r>
      <w:r>
        <w:rPr>
          <w:lang w:bidi="he-IL"/>
        </w:rPr>
        <w:t xml:space="preserve">Yahweh’s response so far has again been simply been to restate the promise in </w:t>
      </w:r>
      <w:r w:rsidRPr="00EE1564">
        <w:rPr>
          <w:lang w:val="en-GB" w:bidi="he-IL"/>
        </w:rPr>
        <w:t>ultra-high definition rainbow</w:t>
      </w:r>
      <w:r w:rsidRPr="00EE1564">
        <w:rPr>
          <w:lang w:bidi="he-IL"/>
        </w:rPr>
        <w:t xml:space="preserve"> colors</w:t>
      </w:r>
      <w:r w:rsidR="00983E16">
        <w:rPr>
          <w:lang w:val="en-GB" w:bidi="he-IL"/>
        </w:rPr>
        <w:t>, thereby simply raising</w:t>
      </w:r>
      <w:r>
        <w:rPr>
          <w:lang w:val="en-GB" w:bidi="he-IL"/>
        </w:rPr>
        <w:t xml:space="preserve"> suspense</w:t>
      </w:r>
      <w:r w:rsidR="00272F4D">
        <w:rPr>
          <w:lang w:val="en-GB" w:bidi="he-IL"/>
        </w:rPr>
        <w:t>. A</w:t>
      </w:r>
      <w:r w:rsidR="0041452B">
        <w:rPr>
          <w:lang w:val="en-GB" w:bidi="he-IL"/>
        </w:rPr>
        <w:t xml:space="preserve">s it gets dark there comes </w:t>
      </w:r>
      <w:r>
        <w:rPr>
          <w:lang w:val="en-GB" w:bidi="he-IL"/>
        </w:rPr>
        <w:t xml:space="preserve">the sign for which vv. 9-12 made the preparations. </w:t>
      </w:r>
      <w:r w:rsidR="00655671">
        <w:rPr>
          <w:lang w:val="en-GB" w:bidi="he-IL"/>
        </w:rPr>
        <w:t>The preparations presuppose that the making of a commitment between two parties can involve the tearing apar</w:t>
      </w:r>
      <w:r w:rsidR="00983E16">
        <w:rPr>
          <w:lang w:val="en-GB" w:bidi="he-IL"/>
        </w:rPr>
        <w:t>t of an animal which implies</w:t>
      </w:r>
      <w:r w:rsidR="00655671">
        <w:rPr>
          <w:lang w:val="en-GB" w:bidi="he-IL"/>
        </w:rPr>
        <w:t xml:space="preserve"> an enacted prayer: if I do not keep my commitment to t</w:t>
      </w:r>
      <w:r w:rsidR="00272F4D">
        <w:rPr>
          <w:lang w:val="en-GB" w:bidi="he-IL"/>
        </w:rPr>
        <w:t>his pact, may I be torn apart like this animal</w:t>
      </w:r>
      <w:r w:rsidR="00655671">
        <w:rPr>
          <w:lang w:val="en-GB" w:bidi="he-IL"/>
        </w:rPr>
        <w:t xml:space="preserve"> (see Jer 34:18-19).</w:t>
      </w:r>
      <w:r w:rsidR="00272F4D">
        <w:rPr>
          <w:lang w:val="en-GB" w:bidi="he-IL"/>
        </w:rPr>
        <w:t xml:space="preserve"> </w:t>
      </w:r>
      <w:r w:rsidR="00983E16">
        <w:rPr>
          <w:lang w:val="en-GB" w:bidi="he-IL"/>
        </w:rPr>
        <w:t>Middle Eastern treaties refer to</w:t>
      </w:r>
      <w:r w:rsidR="005B0DE2">
        <w:rPr>
          <w:lang w:val="en-GB" w:bidi="he-IL"/>
        </w:rPr>
        <w:t xml:space="preserve"> such </w:t>
      </w:r>
      <w:r w:rsidR="00B82684">
        <w:rPr>
          <w:lang w:val="en-GB" w:bidi="he-IL"/>
        </w:rPr>
        <w:t xml:space="preserve">rites </w:t>
      </w:r>
      <w:r w:rsidR="00983E16">
        <w:rPr>
          <w:lang w:val="en-GB" w:bidi="he-IL"/>
        </w:rPr>
        <w:t xml:space="preserve">and </w:t>
      </w:r>
      <w:r w:rsidR="00B82684">
        <w:rPr>
          <w:lang w:val="en-GB" w:bidi="he-IL"/>
        </w:rPr>
        <w:t>prayers.</w:t>
      </w:r>
      <w:r w:rsidR="005C57C9">
        <w:rPr>
          <w:rStyle w:val="FootnoteReference"/>
          <w:lang w:val="en-GB" w:bidi="he-IL"/>
        </w:rPr>
        <w:footnoteReference w:id="224"/>
      </w:r>
      <w:r w:rsidR="00655671">
        <w:rPr>
          <w:lang w:val="en-GB" w:bidi="he-IL"/>
        </w:rPr>
        <w:t xml:space="preserve"> </w:t>
      </w:r>
      <w:r w:rsidR="00983E16">
        <w:rPr>
          <w:lang w:val="en-GB" w:bidi="he-IL"/>
        </w:rPr>
        <w:t xml:space="preserve">In an eighth-century </w:t>
      </w:r>
      <w:r w:rsidR="00B82684">
        <w:rPr>
          <w:lang w:val="en-GB" w:bidi="he-IL"/>
        </w:rPr>
        <w:t xml:space="preserve">inscription from Sefire near Aleppo, for instance, Matti’el the king of Arpad declares, </w:t>
      </w:r>
      <w:r w:rsidR="003D56BA">
        <w:rPr>
          <w:lang w:val="en-GB" w:bidi="he-IL"/>
        </w:rPr>
        <w:t>“</w:t>
      </w:r>
      <w:r w:rsidR="00B82684">
        <w:rPr>
          <w:lang w:val="en-GB" w:bidi="he-IL"/>
        </w:rPr>
        <w:t xml:space="preserve">[As] this calf is cut up, thus Matti’el and his nobles </w:t>
      </w:r>
      <w:r w:rsidR="00B03019">
        <w:rPr>
          <w:lang w:val="en-GB" w:bidi="he-IL"/>
        </w:rPr>
        <w:t>will</w:t>
      </w:r>
      <w:r w:rsidR="00B82684">
        <w:rPr>
          <w:lang w:val="en-GB" w:bidi="he-IL"/>
        </w:rPr>
        <w:t xml:space="preserve"> be cut up.</w:t>
      </w:r>
      <w:r w:rsidR="003D56BA">
        <w:rPr>
          <w:lang w:val="en-GB" w:bidi="he-IL"/>
        </w:rPr>
        <w:t>”</w:t>
      </w:r>
      <w:r w:rsidR="00B82684">
        <w:rPr>
          <w:rStyle w:val="FootnoteReference"/>
          <w:lang w:val="en-GB" w:bidi="he-IL"/>
        </w:rPr>
        <w:footnoteReference w:id="225"/>
      </w:r>
      <w:r w:rsidR="00B82684">
        <w:rPr>
          <w:lang w:val="en-GB" w:bidi="he-IL"/>
        </w:rPr>
        <w:t xml:space="preserve"> </w:t>
      </w:r>
      <w:r w:rsidR="00655671">
        <w:rPr>
          <w:lang w:val="en-GB" w:bidi="he-IL"/>
        </w:rPr>
        <w:t>Here t</w:t>
      </w:r>
      <w:r>
        <w:rPr>
          <w:lang w:val="en-GB" w:bidi="he-IL"/>
        </w:rPr>
        <w:t xml:space="preserve">he </w:t>
      </w:r>
      <w:r w:rsidR="00655671">
        <w:rPr>
          <w:lang w:val="en-GB" w:bidi="he-IL"/>
        </w:rPr>
        <w:t xml:space="preserve">smoking </w:t>
      </w:r>
      <w:r w:rsidR="001A7694">
        <w:rPr>
          <w:lang w:val="en-GB" w:bidi="he-IL"/>
        </w:rPr>
        <w:t>oven</w:t>
      </w:r>
      <w:r>
        <w:rPr>
          <w:lang w:val="en-GB" w:bidi="he-IL"/>
        </w:rPr>
        <w:t xml:space="preserve"> </w:t>
      </w:r>
      <w:r w:rsidR="00655671">
        <w:rPr>
          <w:lang w:val="en-GB" w:bidi="he-IL"/>
        </w:rPr>
        <w:t xml:space="preserve">which can also be described as a blazing torch </w:t>
      </w:r>
      <w:r>
        <w:rPr>
          <w:lang w:val="en-GB" w:bidi="he-IL"/>
        </w:rPr>
        <w:t>represents Yahweh himself</w:t>
      </w:r>
      <w:r w:rsidR="0041452B">
        <w:rPr>
          <w:lang w:val="en-GB" w:bidi="he-IL"/>
        </w:rPr>
        <w:t xml:space="preserve">, though Genesis does not quite say that Yahweh </w:t>
      </w:r>
      <w:r w:rsidR="0041452B">
        <w:rPr>
          <w:i/>
          <w:lang w:val="en-GB" w:bidi="he-IL"/>
        </w:rPr>
        <w:t xml:space="preserve">is </w:t>
      </w:r>
      <w:r w:rsidR="001A7694">
        <w:rPr>
          <w:lang w:val="en-GB" w:bidi="he-IL"/>
        </w:rPr>
        <w:t>the oven or the torch</w:t>
      </w:r>
      <w:r w:rsidR="0041452B">
        <w:rPr>
          <w:lang w:val="en-GB" w:bidi="he-IL"/>
        </w:rPr>
        <w:t xml:space="preserve">. </w:t>
      </w:r>
      <w:r w:rsidR="00272F4D">
        <w:rPr>
          <w:lang w:val="en-GB" w:bidi="he-IL"/>
        </w:rPr>
        <w:t>It</w:t>
      </w:r>
      <w:r w:rsidR="00272F4D" w:rsidRPr="00272F4D">
        <w:rPr>
          <w:lang w:val="en-GB" w:bidi="he-IL"/>
        </w:rPr>
        <w:t xml:space="preserve"> might convey to Abraham the message, “keep well away, this is dangerous.” </w:t>
      </w:r>
      <w:r w:rsidR="001A7694">
        <w:rPr>
          <w:lang w:val="en-GB" w:bidi="he-IL"/>
        </w:rPr>
        <w:t>While the description might make the audience think o</w:t>
      </w:r>
      <w:r w:rsidR="00587F9E">
        <w:rPr>
          <w:lang w:val="en-GB" w:bidi="he-IL"/>
        </w:rPr>
        <w:t xml:space="preserve">f the </w:t>
      </w:r>
      <w:r w:rsidR="001A7694">
        <w:rPr>
          <w:lang w:val="en-GB" w:bidi="he-IL"/>
        </w:rPr>
        <w:t xml:space="preserve">fire and cloud pillar at </w:t>
      </w:r>
      <w:r w:rsidR="00587F9E">
        <w:rPr>
          <w:lang w:val="en-GB" w:bidi="he-IL"/>
        </w:rPr>
        <w:t xml:space="preserve">the exodus or </w:t>
      </w:r>
      <w:r w:rsidR="00587F9E" w:rsidRPr="00587F9E">
        <w:rPr>
          <w:lang w:val="en-GB" w:bidi="he-IL"/>
        </w:rPr>
        <w:t>the fiery and cloudy appearing of Yahweh at Sinai</w:t>
      </w:r>
      <w:r w:rsidR="00587F9E">
        <w:rPr>
          <w:lang w:val="en-GB" w:bidi="he-IL"/>
        </w:rPr>
        <w:t>, the wording is distinctive to this passage</w:t>
      </w:r>
      <w:r w:rsidR="001A7694">
        <w:rPr>
          <w:lang w:val="en-GB" w:bidi="he-IL"/>
        </w:rPr>
        <w:t xml:space="preserve">. </w:t>
      </w:r>
      <w:r w:rsidR="001A58D6" w:rsidRPr="001A58D6">
        <w:rPr>
          <w:lang w:val="en-GB" w:bidi="he-IL"/>
        </w:rPr>
        <w:t>“All this is mystifying and is surely meant to be so.”</w:t>
      </w:r>
      <w:r w:rsidR="001A58D6" w:rsidRPr="001A58D6">
        <w:rPr>
          <w:vertAlign w:val="superscript"/>
          <w:lang w:val="en-GB" w:bidi="he-IL"/>
        </w:rPr>
        <w:footnoteReference w:id="226"/>
      </w:r>
      <w:r w:rsidR="001A58D6" w:rsidRPr="001A58D6">
        <w:rPr>
          <w:lang w:val="en-GB" w:bidi="he-IL"/>
        </w:rPr>
        <w:t xml:space="preserve"> </w:t>
      </w:r>
      <w:r w:rsidR="001A58D6">
        <w:rPr>
          <w:lang w:val="en-GB" w:bidi="he-IL"/>
        </w:rPr>
        <w:t xml:space="preserve">But </w:t>
      </w:r>
      <w:r w:rsidR="00983E16">
        <w:rPr>
          <w:lang w:val="en-GB" w:bidi="he-IL"/>
        </w:rPr>
        <w:t>Yahweh is submitting himself to a</w:t>
      </w:r>
      <w:r w:rsidR="00810D1F">
        <w:rPr>
          <w:lang w:val="en-GB" w:bidi="he-IL"/>
        </w:rPr>
        <w:t xml:space="preserve"> familiar human </w:t>
      </w:r>
      <w:r w:rsidR="00CB6912">
        <w:rPr>
          <w:lang w:val="en-GB" w:bidi="he-IL"/>
        </w:rPr>
        <w:t xml:space="preserve">ceremony. </w:t>
      </w:r>
      <w:r w:rsidR="00655671">
        <w:rPr>
          <w:lang w:val="en-GB" w:bidi="he-IL"/>
        </w:rPr>
        <w:t>His passing between the parts of the animals is his enacted prayer that he may be torn apart like them if he does</w:t>
      </w:r>
      <w:r w:rsidR="00983E16">
        <w:rPr>
          <w:lang w:val="en-GB" w:bidi="he-IL"/>
        </w:rPr>
        <w:t xml:space="preserve"> not keep his promise</w:t>
      </w:r>
      <w:r w:rsidR="00655671">
        <w:rPr>
          <w:lang w:val="en-GB" w:bidi="he-IL"/>
        </w:rPr>
        <w:t xml:space="preserve">. </w:t>
      </w:r>
      <w:r w:rsidR="003D56BA">
        <w:rPr>
          <w:lang w:val="en-GB" w:bidi="he-IL"/>
        </w:rPr>
        <w:t>“</w:t>
      </w:r>
      <w:r w:rsidR="005946B3" w:rsidRPr="005946B3">
        <w:rPr>
          <w:rFonts w:eastAsiaTheme="minorHAnsi" w:cs="Minion-Regular"/>
        </w:rPr>
        <w:t>It is an extraordinary summi</w:t>
      </w:r>
      <w:r w:rsidR="001A58D6">
        <w:rPr>
          <w:rFonts w:eastAsiaTheme="minorHAnsi" w:cs="Minion-Regular"/>
        </w:rPr>
        <w:t>t in the narrative,</w:t>
      </w:r>
      <w:r w:rsidR="003D56BA">
        <w:rPr>
          <w:rFonts w:eastAsiaTheme="minorHAnsi" w:cs="Minion-Regular"/>
        </w:rPr>
        <w:t>”</w:t>
      </w:r>
      <w:r w:rsidR="005946B3">
        <w:rPr>
          <w:rStyle w:val="FootnoteReference"/>
          <w:rFonts w:eastAsiaTheme="minorHAnsi" w:cs="Minion-Regular"/>
        </w:rPr>
        <w:footnoteReference w:id="227"/>
      </w:r>
      <w:r w:rsidR="005946B3">
        <w:rPr>
          <w:rFonts w:eastAsiaTheme="minorHAnsi" w:cs="Minion-Regular"/>
        </w:rPr>
        <w:t xml:space="preserve"> </w:t>
      </w:r>
      <w:r w:rsidR="001A58D6" w:rsidRPr="001A58D6">
        <w:rPr>
          <w:rFonts w:eastAsiaTheme="minorHAnsi" w:cs="Minion-Regular"/>
          <w:lang w:val="en-GB"/>
        </w:rPr>
        <w:t>the most profound self-humbling of God in the First Testament.</w:t>
      </w:r>
      <w:r w:rsidR="001A58D6" w:rsidRPr="001A58D6">
        <w:rPr>
          <w:rFonts w:eastAsiaTheme="minorHAnsi" w:cs="Minion-Regular"/>
          <w:vertAlign w:val="superscript"/>
          <w:lang w:val="en-GB"/>
        </w:rPr>
        <w:footnoteReference w:id="228"/>
      </w:r>
      <w:r w:rsidR="001A58D6" w:rsidRPr="001A58D6">
        <w:rPr>
          <w:rFonts w:eastAsiaTheme="minorHAnsi" w:cs="Minion-Regular"/>
          <w:lang w:val="en-GB"/>
        </w:rPr>
        <w:t xml:space="preserve"> </w:t>
      </w:r>
      <w:r w:rsidR="005946B3">
        <w:rPr>
          <w:rFonts w:eastAsiaTheme="minorHAnsi" w:cs="Minion-Regular"/>
        </w:rPr>
        <w:t>No wonder Abraham trusted in Yahweh and deemed it as faithfulness on his part.</w:t>
      </w:r>
    </w:p>
    <w:p w14:paraId="18B324D4" w14:textId="55883871" w:rsidR="00655671" w:rsidRDefault="00655671" w:rsidP="004F472B">
      <w:pPr>
        <w:rPr>
          <w:lang w:val="en-GB" w:bidi="he-IL"/>
        </w:rPr>
      </w:pPr>
      <w:r>
        <w:rPr>
          <w:lang w:val="en-GB" w:bidi="he-IL"/>
        </w:rPr>
        <w:t xml:space="preserve">Thus </w:t>
      </w:r>
      <w:r w:rsidR="00983E16">
        <w:rPr>
          <w:lang w:val="en-GB" w:bidi="he-IL"/>
        </w:rPr>
        <w:t xml:space="preserve">(the narrator comments) </w:t>
      </w:r>
      <w:r>
        <w:rPr>
          <w:lang w:val="en-GB" w:bidi="he-IL"/>
        </w:rPr>
        <w:t xml:space="preserve">Yahweh </w:t>
      </w:r>
      <w:r w:rsidR="003D56BA">
        <w:rPr>
          <w:lang w:val="en-GB" w:bidi="he-IL"/>
        </w:rPr>
        <w:t>“</w:t>
      </w:r>
      <w:r w:rsidR="00430D37">
        <w:rPr>
          <w:lang w:val="en-GB" w:bidi="he-IL"/>
        </w:rPr>
        <w:t>solemnized a pact with Abraham</w:t>
      </w:r>
      <w:r w:rsidR="003D56BA">
        <w:rPr>
          <w:lang w:val="en-GB" w:bidi="he-IL"/>
        </w:rPr>
        <w:t>”</w:t>
      </w:r>
      <w:r>
        <w:rPr>
          <w:lang w:val="en-GB" w:bidi="he-IL"/>
        </w:rPr>
        <w:t xml:space="preserve"> </w:t>
      </w:r>
      <w:r w:rsidR="00430D37">
        <w:rPr>
          <w:lang w:val="en-GB" w:bidi="he-IL"/>
        </w:rPr>
        <w:t xml:space="preserve">(v. 18). </w:t>
      </w:r>
      <w:r w:rsidR="00972108">
        <w:rPr>
          <w:lang w:val="en-GB" w:bidi="he-IL"/>
        </w:rPr>
        <w:t xml:space="preserve">Abraham has a pact with </w:t>
      </w:r>
      <w:r w:rsidR="00972108" w:rsidRPr="00972108">
        <w:rPr>
          <w:lang w:val="en-GB" w:bidi="he-IL"/>
        </w:rPr>
        <w:t>Mam</w:t>
      </w:r>
      <w:r w:rsidR="00972108">
        <w:rPr>
          <w:lang w:val="en-GB" w:bidi="he-IL"/>
        </w:rPr>
        <w:t>re,</w:t>
      </w:r>
      <w:r w:rsidR="00972108">
        <w:rPr>
          <w:lang w:bidi="he-IL"/>
        </w:rPr>
        <w:t xml:space="preserve"> Esh</w:t>
      </w:r>
      <w:r w:rsidR="00972108" w:rsidRPr="00972108">
        <w:rPr>
          <w:lang w:bidi="he-IL"/>
        </w:rPr>
        <w:t>kol</w:t>
      </w:r>
      <w:r w:rsidR="00972108">
        <w:rPr>
          <w:lang w:val="en-GB" w:bidi="he-IL"/>
        </w:rPr>
        <w:t>, and</w:t>
      </w:r>
      <w:r w:rsidR="00972108" w:rsidRPr="00972108">
        <w:rPr>
          <w:lang w:val="en-GB" w:bidi="he-IL"/>
        </w:rPr>
        <w:t xml:space="preserve"> Aner</w:t>
      </w:r>
      <w:r w:rsidR="00972108">
        <w:rPr>
          <w:lang w:val="en-GB" w:bidi="he-IL"/>
        </w:rPr>
        <w:t xml:space="preserve"> (14:13)</w:t>
      </w:r>
      <w:r w:rsidR="00972108" w:rsidRPr="00972108">
        <w:rPr>
          <w:lang w:val="en-GB" w:bidi="he-IL"/>
        </w:rPr>
        <w:t xml:space="preserve">; </w:t>
      </w:r>
      <w:r w:rsidR="00972108">
        <w:rPr>
          <w:lang w:val="en-GB" w:bidi="he-IL"/>
        </w:rPr>
        <w:t xml:space="preserve">Yahweh now offers him a different one. </w:t>
      </w:r>
      <w:r>
        <w:rPr>
          <w:lang w:val="en-GB" w:bidi="he-IL"/>
        </w:rPr>
        <w:t>Liter</w:t>
      </w:r>
      <w:r w:rsidR="00972108">
        <w:rPr>
          <w:lang w:val="en-GB" w:bidi="he-IL"/>
        </w:rPr>
        <w:t>ally, Yahweh</w:t>
      </w:r>
      <w:r>
        <w:rPr>
          <w:lang w:val="en-GB" w:bidi="he-IL"/>
        </w:rPr>
        <w:t xml:space="preserve"> </w:t>
      </w:r>
      <w:r w:rsidR="003D56BA">
        <w:rPr>
          <w:lang w:val="en-GB" w:bidi="he-IL"/>
        </w:rPr>
        <w:t>“</w:t>
      </w:r>
      <w:r>
        <w:rPr>
          <w:lang w:val="en-GB" w:bidi="he-IL"/>
        </w:rPr>
        <w:t>cut</w:t>
      </w:r>
      <w:r w:rsidR="003D56BA">
        <w:rPr>
          <w:lang w:val="en-GB" w:bidi="he-IL"/>
        </w:rPr>
        <w:t>”</w:t>
      </w:r>
      <w:r>
        <w:rPr>
          <w:lang w:val="en-GB" w:bidi="he-IL"/>
        </w:rPr>
        <w:t xml:space="preserve"> the pact; one can see why this is a regular expression for the formal making of a </w:t>
      </w:r>
      <w:r w:rsidR="001A58D6">
        <w:rPr>
          <w:lang w:val="en-GB" w:bidi="he-IL"/>
        </w:rPr>
        <w:t>“</w:t>
      </w:r>
      <w:r>
        <w:rPr>
          <w:lang w:val="en-GB" w:bidi="he-IL"/>
        </w:rPr>
        <w:t>pact</w:t>
      </w:r>
      <w:r w:rsidR="001A58D6">
        <w:rPr>
          <w:lang w:val="en-GB" w:bidi="he-IL"/>
        </w:rPr>
        <w:t>”</w:t>
      </w:r>
      <w:r>
        <w:rPr>
          <w:lang w:val="en-GB" w:bidi="he-IL"/>
        </w:rPr>
        <w:t xml:space="preserve"> or covenant</w:t>
      </w:r>
      <w:r w:rsidR="00983E16">
        <w:rPr>
          <w:lang w:val="en-GB" w:bidi="he-IL"/>
        </w:rPr>
        <w:t>.</w:t>
      </w:r>
      <w:r w:rsidR="006632DF">
        <w:rPr>
          <w:rStyle w:val="FootnoteReference"/>
          <w:lang w:val="en-GB" w:bidi="he-IL"/>
        </w:rPr>
        <w:footnoteReference w:id="229"/>
      </w:r>
      <w:r w:rsidR="00983E16">
        <w:rPr>
          <w:lang w:val="en-GB" w:bidi="he-IL"/>
        </w:rPr>
        <w:t xml:space="preserve"> Like Yahweh’s</w:t>
      </w:r>
      <w:r>
        <w:rPr>
          <w:lang w:val="en-GB" w:bidi="he-IL"/>
        </w:rPr>
        <w:t xml:space="preserve"> pact</w:t>
      </w:r>
      <w:r w:rsidR="00983E16">
        <w:rPr>
          <w:lang w:val="en-GB" w:bidi="he-IL"/>
        </w:rPr>
        <w:t xml:space="preserve"> with Noah</w:t>
      </w:r>
      <w:r>
        <w:rPr>
          <w:lang w:val="en-GB" w:bidi="he-IL"/>
        </w:rPr>
        <w:t xml:space="preserve">, it is made </w:t>
      </w:r>
      <w:r w:rsidR="003D56BA">
        <w:rPr>
          <w:lang w:val="en-GB" w:bidi="he-IL"/>
        </w:rPr>
        <w:t>“</w:t>
      </w:r>
      <w:r>
        <w:rPr>
          <w:lang w:val="en-GB" w:bidi="he-IL"/>
        </w:rPr>
        <w:t>with</w:t>
      </w:r>
      <w:r w:rsidR="003D56BA">
        <w:rPr>
          <w:lang w:val="en-GB" w:bidi="he-IL"/>
        </w:rPr>
        <w:t>”</w:t>
      </w:r>
      <w:r>
        <w:rPr>
          <w:lang w:val="en-GB" w:bidi="he-IL"/>
        </w:rPr>
        <w:t xml:space="preserve"> Abraham, despite the fact that Abraham </w:t>
      </w:r>
      <w:r w:rsidR="006632DF">
        <w:rPr>
          <w:lang w:val="en-GB" w:bidi="he-IL"/>
        </w:rPr>
        <w:t>is not required to do anything to</w:t>
      </w:r>
      <w:r w:rsidR="001A58D6">
        <w:rPr>
          <w:lang w:val="en-GB" w:bidi="he-IL"/>
        </w:rPr>
        <w:t xml:space="preserve"> make the pact work. S</w:t>
      </w:r>
      <w:r w:rsidR="00983E16">
        <w:rPr>
          <w:lang w:val="en-GB" w:bidi="he-IL"/>
        </w:rPr>
        <w:t>ay</w:t>
      </w:r>
      <w:r w:rsidR="001A58D6">
        <w:rPr>
          <w:lang w:val="en-GB" w:bidi="he-IL"/>
        </w:rPr>
        <w:t>ing</w:t>
      </w:r>
      <w:r w:rsidR="00983E16">
        <w:rPr>
          <w:lang w:val="en-GB" w:bidi="he-IL"/>
        </w:rPr>
        <w:t xml:space="preserve"> that Yahweh </w:t>
      </w:r>
      <w:r>
        <w:rPr>
          <w:lang w:val="en-GB" w:bidi="he-IL"/>
        </w:rPr>
        <w:t>solemnize</w:t>
      </w:r>
      <w:r w:rsidR="00430D37">
        <w:rPr>
          <w:lang w:val="en-GB" w:bidi="he-IL"/>
        </w:rPr>
        <w:t>d a</w:t>
      </w:r>
      <w:r>
        <w:rPr>
          <w:lang w:val="en-GB" w:bidi="he-IL"/>
        </w:rPr>
        <w:t xml:space="preserve"> pact </w:t>
      </w:r>
      <w:r w:rsidRPr="00655671">
        <w:rPr>
          <w:i/>
          <w:lang w:val="en-GB" w:bidi="he-IL"/>
        </w:rPr>
        <w:t>for</w:t>
      </w:r>
      <w:r>
        <w:rPr>
          <w:lang w:val="en-GB" w:bidi="he-IL"/>
        </w:rPr>
        <w:t xml:space="preserve"> Abraham</w:t>
      </w:r>
      <w:r w:rsidR="00983E16">
        <w:rPr>
          <w:lang w:val="en-GB" w:bidi="he-IL"/>
        </w:rPr>
        <w:t xml:space="preserve"> would b</w:t>
      </w:r>
      <w:r w:rsidR="001A58D6">
        <w:rPr>
          <w:lang w:val="en-GB" w:bidi="he-IL"/>
        </w:rPr>
        <w:t>e more logical; o</w:t>
      </w:r>
      <w:r w:rsidR="00DC57A3">
        <w:rPr>
          <w:lang w:val="en-GB" w:bidi="he-IL"/>
        </w:rPr>
        <w:t>nly Yahweh walked between the pieces of the creatures and enacted the self-curse</w:t>
      </w:r>
      <w:r w:rsidR="001A58D6">
        <w:rPr>
          <w:lang w:val="en-GB" w:bidi="he-IL"/>
        </w:rPr>
        <w:t xml:space="preserve">. </w:t>
      </w:r>
      <w:r w:rsidR="00430D37">
        <w:rPr>
          <w:lang w:val="en-GB" w:bidi="he-IL"/>
        </w:rPr>
        <w:t>Yahweh goes on to summarize once mor</w:t>
      </w:r>
      <w:r w:rsidR="001A58D6">
        <w:rPr>
          <w:lang w:val="en-GB" w:bidi="he-IL"/>
        </w:rPr>
        <w:t>e both aspects of the promise as he speaks</w:t>
      </w:r>
      <w:r w:rsidR="00430D37">
        <w:rPr>
          <w:lang w:val="en-GB" w:bidi="he-IL"/>
        </w:rPr>
        <w:t xml:space="preserve"> of giving the </w:t>
      </w:r>
      <w:r w:rsidR="00430D37">
        <w:rPr>
          <w:i/>
          <w:lang w:val="en-GB" w:bidi="he-IL"/>
        </w:rPr>
        <w:t>country</w:t>
      </w:r>
      <w:r w:rsidR="00430D37">
        <w:rPr>
          <w:lang w:val="en-GB" w:bidi="he-IL"/>
        </w:rPr>
        <w:t xml:space="preserve"> to Abraham’s </w:t>
      </w:r>
      <w:r w:rsidR="00430D37">
        <w:rPr>
          <w:i/>
          <w:lang w:val="en-GB" w:bidi="he-IL"/>
        </w:rPr>
        <w:t>offspring</w:t>
      </w:r>
      <w:r w:rsidR="00430D37">
        <w:rPr>
          <w:lang w:val="en-GB" w:bidi="he-IL"/>
        </w:rPr>
        <w:t xml:space="preserve">. They are two aspects </w:t>
      </w:r>
      <w:r w:rsidR="001A58D6">
        <w:rPr>
          <w:lang w:val="en-GB" w:bidi="he-IL"/>
        </w:rPr>
        <w:t xml:space="preserve">of one commitment. The reprise again </w:t>
      </w:r>
      <w:r w:rsidR="00430D37">
        <w:rPr>
          <w:lang w:val="en-GB" w:bidi="he-IL"/>
        </w:rPr>
        <w:t xml:space="preserve">adds yet </w:t>
      </w:r>
      <w:r w:rsidR="00430D37">
        <w:rPr>
          <w:lang w:val="en-GB" w:bidi="he-IL"/>
        </w:rPr>
        <w:lastRenderedPageBreak/>
        <w:t>more hi</w:t>
      </w:r>
      <w:r w:rsidR="003D5AD1">
        <w:rPr>
          <w:lang w:val="en-GB" w:bidi="he-IL"/>
        </w:rPr>
        <w:t>gh definition. First, t</w:t>
      </w:r>
      <w:r w:rsidR="00430D37">
        <w:rPr>
          <w:lang w:val="en-GB" w:bidi="he-IL"/>
        </w:rPr>
        <w:t>he outward bounds of the land will extend</w:t>
      </w:r>
      <w:r w:rsidR="00AF1D48">
        <w:rPr>
          <w:lang w:val="en-GB" w:bidi="he-IL"/>
        </w:rPr>
        <w:t xml:space="preserve"> hyperbolically from the Nile to the Euphrates.</w:t>
      </w:r>
      <w:r w:rsidR="00997FF4">
        <w:rPr>
          <w:rStyle w:val="FootnoteReference"/>
          <w:lang w:val="en-GB" w:bidi="he-IL"/>
        </w:rPr>
        <w:footnoteReference w:id="230"/>
      </w:r>
      <w:r w:rsidR="00AF1D48">
        <w:rPr>
          <w:lang w:val="en-GB" w:bidi="he-IL"/>
        </w:rPr>
        <w:t xml:space="preserve"> </w:t>
      </w:r>
      <w:r w:rsidR="00495324" w:rsidRPr="00495324">
        <w:rPr>
          <w:lang w:val="en-GB" w:bidi="he-IL"/>
        </w:rPr>
        <w:t xml:space="preserve">The expression </w:t>
      </w:r>
      <w:r w:rsidR="003D56BA">
        <w:rPr>
          <w:lang w:val="en-GB" w:bidi="he-IL"/>
        </w:rPr>
        <w:t>“</w:t>
      </w:r>
      <w:r w:rsidR="00495324" w:rsidRPr="00495324">
        <w:rPr>
          <w:lang w:val="en-GB" w:bidi="he-IL"/>
        </w:rPr>
        <w:t>the Egyptian River</w:t>
      </w:r>
      <w:r w:rsidR="003D56BA">
        <w:rPr>
          <w:lang w:val="en-GB" w:bidi="he-IL"/>
        </w:rPr>
        <w:t>”</w:t>
      </w:r>
      <w:r w:rsidR="00495324">
        <w:rPr>
          <w:lang w:val="en-GB" w:bidi="he-IL"/>
        </w:rPr>
        <w:t xml:space="preserve"> comes only here; t</w:t>
      </w:r>
      <w:r w:rsidR="00495324" w:rsidRPr="00495324">
        <w:rPr>
          <w:lang w:val="en-GB" w:bidi="he-IL"/>
        </w:rPr>
        <w:t xml:space="preserve">he </w:t>
      </w:r>
      <w:r w:rsidR="00495324">
        <w:rPr>
          <w:lang w:val="en-GB" w:bidi="he-IL"/>
        </w:rPr>
        <w:t>usual</w:t>
      </w:r>
      <w:r w:rsidR="00495324" w:rsidRPr="00495324">
        <w:rPr>
          <w:lang w:val="en-GB" w:bidi="he-IL"/>
        </w:rPr>
        <w:t xml:space="preserve"> word for the Nile is </w:t>
      </w:r>
      <w:r w:rsidR="00495324" w:rsidRPr="00495324">
        <w:rPr>
          <w:i/>
          <w:lang w:val="en-GB" w:bidi="he-IL"/>
        </w:rPr>
        <w:t>hayyᵉ’ōr</w:t>
      </w:r>
      <w:r w:rsidR="00495324" w:rsidRPr="00495324">
        <w:rPr>
          <w:lang w:val="en-GB" w:bidi="he-IL"/>
        </w:rPr>
        <w:t xml:space="preserve"> (cf. 41:1-2) but its eastern branch is apparently </w:t>
      </w:r>
      <w:r w:rsidR="00495324" w:rsidRPr="00495324">
        <w:rPr>
          <w:i/>
          <w:lang w:val="en-GB" w:bidi="he-IL"/>
        </w:rPr>
        <w:t>haššîḥôr</w:t>
      </w:r>
      <w:r w:rsidR="00495324" w:rsidRPr="00495324">
        <w:rPr>
          <w:lang w:val="en-GB" w:bidi="he-IL"/>
        </w:rPr>
        <w:t xml:space="preserve">, which can be seen as the edge of the </w:t>
      </w:r>
      <w:proofErr w:type="gramStart"/>
      <w:r w:rsidR="00495324" w:rsidRPr="00495324">
        <w:rPr>
          <w:lang w:val="en-GB" w:bidi="he-IL"/>
        </w:rPr>
        <w:t>promised land</w:t>
      </w:r>
      <w:proofErr w:type="gramEnd"/>
      <w:r w:rsidR="00495324" w:rsidRPr="00495324">
        <w:rPr>
          <w:i/>
          <w:lang w:val="en-GB" w:bidi="he-IL"/>
        </w:rPr>
        <w:t xml:space="preserve"> </w:t>
      </w:r>
      <w:r w:rsidR="00495324" w:rsidRPr="00495324">
        <w:rPr>
          <w:lang w:val="en-GB" w:bidi="he-IL"/>
        </w:rPr>
        <w:t>(Josh 13:3</w:t>
      </w:r>
      <w:r w:rsidR="00495324">
        <w:rPr>
          <w:lang w:val="en-GB" w:bidi="he-IL"/>
        </w:rPr>
        <w:t>; 1 Chron 13:5</w:t>
      </w:r>
      <w:r w:rsidR="00495324" w:rsidRPr="00495324">
        <w:rPr>
          <w:lang w:val="en-GB" w:bidi="he-IL"/>
        </w:rPr>
        <w:t xml:space="preserve">). </w:t>
      </w:r>
      <w:r w:rsidR="00495324">
        <w:rPr>
          <w:lang w:val="en-GB" w:bidi="he-IL"/>
        </w:rPr>
        <w:t>In the terms of literal geography, t</w:t>
      </w:r>
      <w:r w:rsidR="00BB3396">
        <w:rPr>
          <w:lang w:val="en-GB" w:bidi="he-IL"/>
        </w:rPr>
        <w:t>he southern boundary</w:t>
      </w:r>
      <w:r w:rsidR="00BF3B01">
        <w:rPr>
          <w:lang w:val="en-GB" w:bidi="he-IL"/>
        </w:rPr>
        <w:t xml:space="preserve"> will</w:t>
      </w:r>
      <w:r w:rsidR="00495324">
        <w:rPr>
          <w:lang w:val="en-GB" w:bidi="he-IL"/>
        </w:rPr>
        <w:t xml:space="preserve"> be </w:t>
      </w:r>
      <w:r w:rsidR="00BB3396">
        <w:rPr>
          <w:lang w:val="en-GB" w:bidi="he-IL"/>
        </w:rPr>
        <w:t>the Egyptian Wadi (that is, Wadi El-</w:t>
      </w:r>
      <w:r w:rsidR="00A156E9">
        <w:rPr>
          <w:lang w:val="en-GB" w:bidi="he-IL"/>
        </w:rPr>
        <w:t xml:space="preserve">Arish, just </w:t>
      </w:r>
      <w:r w:rsidR="00BB3396">
        <w:rPr>
          <w:lang w:val="en-GB" w:bidi="he-IL"/>
        </w:rPr>
        <w:t>south of the m</w:t>
      </w:r>
      <w:r w:rsidR="00A156E9">
        <w:rPr>
          <w:lang w:val="en-GB" w:bidi="he-IL"/>
        </w:rPr>
        <w:t>o</w:t>
      </w:r>
      <w:r w:rsidR="00BB3396">
        <w:rPr>
          <w:lang w:val="en-GB" w:bidi="he-IL"/>
        </w:rPr>
        <w:t xml:space="preserve">dern border between </w:t>
      </w:r>
      <w:r w:rsidR="00495324">
        <w:rPr>
          <w:lang w:val="en-GB" w:bidi="he-IL"/>
        </w:rPr>
        <w:t xml:space="preserve">Gaza </w:t>
      </w:r>
      <w:r w:rsidR="00A156E9">
        <w:rPr>
          <w:lang w:val="en-GB" w:bidi="he-IL"/>
        </w:rPr>
        <w:t>and Egypt</w:t>
      </w:r>
      <w:r w:rsidR="00BB3396">
        <w:rPr>
          <w:lang w:val="en-GB" w:bidi="he-IL"/>
        </w:rPr>
        <w:t>)</w:t>
      </w:r>
      <w:r w:rsidR="00A156E9">
        <w:rPr>
          <w:lang w:val="en-GB" w:bidi="he-IL"/>
        </w:rPr>
        <w:t>, as in passages such as Num 34:5; Josh 15:4</w:t>
      </w:r>
      <w:r w:rsidR="00BF3B01">
        <w:rPr>
          <w:lang w:val="en-GB" w:bidi="he-IL"/>
        </w:rPr>
        <w:t xml:space="preserve">; 1 Kings 8:65. </w:t>
      </w:r>
      <w:r w:rsidR="00DC6C4D">
        <w:rPr>
          <w:lang w:val="en-GB" w:bidi="he-IL"/>
        </w:rPr>
        <w:t>While the First Testament never</w:t>
      </w:r>
      <w:r w:rsidR="00383AB7">
        <w:rPr>
          <w:lang w:val="en-GB" w:bidi="he-IL"/>
        </w:rPr>
        <w:t xml:space="preserve"> pictures Egypt as </w:t>
      </w:r>
      <w:r w:rsidR="00DC6C4D">
        <w:rPr>
          <w:lang w:val="en-GB" w:bidi="he-IL"/>
        </w:rPr>
        <w:t>an actual part of the</w:t>
      </w:r>
      <w:r w:rsidR="00DC6C4D" w:rsidRPr="00DC6C4D">
        <w:rPr>
          <w:lang w:val="en-GB" w:bidi="he-IL"/>
        </w:rPr>
        <w:t xml:space="preserve"> sho</w:t>
      </w:r>
      <w:r w:rsidR="00DC6C4D">
        <w:rPr>
          <w:lang w:val="en-GB" w:bidi="he-IL"/>
        </w:rPr>
        <w:t xml:space="preserve">rt-lived </w:t>
      </w:r>
      <w:r w:rsidR="00383AB7">
        <w:rPr>
          <w:lang w:val="en-GB" w:bidi="he-IL"/>
        </w:rPr>
        <w:t>Israelite empire, it does so picture land as far as the Euphrates</w:t>
      </w:r>
      <w:r w:rsidR="00DC6C4D">
        <w:rPr>
          <w:lang w:val="en-GB" w:bidi="he-IL"/>
        </w:rPr>
        <w:t xml:space="preserve">—that is, including Syria (see </w:t>
      </w:r>
      <w:r w:rsidR="00383AB7">
        <w:rPr>
          <w:lang w:val="en-GB" w:bidi="he-IL"/>
        </w:rPr>
        <w:t>1 Kings 4:21-25 [5:1-5]</w:t>
      </w:r>
      <w:r w:rsidR="00DC6C4D">
        <w:rPr>
          <w:lang w:val="en-GB" w:bidi="he-IL"/>
        </w:rPr>
        <w:t>; 1 Chron 18:3; cf. Deut 1:7; Josh 1:4</w:t>
      </w:r>
      <w:r w:rsidR="00383AB7">
        <w:rPr>
          <w:lang w:val="en-GB" w:bidi="he-IL"/>
        </w:rPr>
        <w:t>).</w:t>
      </w:r>
      <w:r w:rsidR="00495324">
        <w:rPr>
          <w:lang w:val="en-GB" w:bidi="he-IL"/>
        </w:rPr>
        <w:t xml:space="preserve"> But p</w:t>
      </w:r>
      <w:r w:rsidR="00495324" w:rsidRPr="00495324">
        <w:rPr>
          <w:lang w:val="en-GB" w:bidi="he-IL"/>
        </w:rPr>
        <w:t xml:space="preserve">erhaps the expression </w:t>
      </w:r>
      <w:r w:rsidR="00495324">
        <w:rPr>
          <w:lang w:val="en-GB" w:bidi="he-IL"/>
        </w:rPr>
        <w:t xml:space="preserve">in v. 17 </w:t>
      </w:r>
      <w:r w:rsidR="00495324" w:rsidRPr="00495324">
        <w:rPr>
          <w:lang w:val="en-GB" w:bidi="he-IL"/>
        </w:rPr>
        <w:t>denotes the land between that of Mesopotamia and that of Egypt.</w:t>
      </w:r>
    </w:p>
    <w:p w14:paraId="2B98A90A" w14:textId="54533483" w:rsidR="00383AB7" w:rsidRDefault="00495324" w:rsidP="004F472B">
      <w:pPr>
        <w:rPr>
          <w:lang w:val="en-GB" w:bidi="he-IL"/>
        </w:rPr>
      </w:pPr>
      <w:r>
        <w:rPr>
          <w:lang w:val="en-GB" w:bidi="he-IL"/>
        </w:rPr>
        <w:t>I</w:t>
      </w:r>
      <w:r w:rsidR="00430D37">
        <w:rPr>
          <w:lang w:val="en-GB" w:bidi="he-IL"/>
        </w:rPr>
        <w:t>nternally (vv. 18-20), it will mean taking</w:t>
      </w:r>
      <w:r w:rsidR="0026560F">
        <w:rPr>
          <w:lang w:val="en-GB" w:bidi="he-IL"/>
        </w:rPr>
        <w:t xml:space="preserve"> over the land of ten peoples; the</w:t>
      </w:r>
      <w:r w:rsidR="0026560F" w:rsidRPr="0026560F">
        <w:rPr>
          <w:lang w:val="en-GB" w:bidi="he-IL"/>
        </w:rPr>
        <w:t xml:space="preserve"> list is the first and most comprehensive of the many such lists in the First Testament. </w:t>
      </w:r>
      <w:r w:rsidR="0026560F">
        <w:rPr>
          <w:lang w:val="en-GB" w:bidi="he-IL"/>
        </w:rPr>
        <w:t xml:space="preserve">The Qenites </w:t>
      </w:r>
      <w:r w:rsidR="00374998">
        <w:rPr>
          <w:lang w:val="en-GB" w:bidi="he-IL"/>
        </w:rPr>
        <w:t>lived south of Judah</w:t>
      </w:r>
      <w:r w:rsidR="00DD5D57">
        <w:rPr>
          <w:lang w:val="en-GB" w:bidi="he-IL"/>
        </w:rPr>
        <w:t xml:space="preserve"> and were the group to whom Moses’</w:t>
      </w:r>
      <w:r w:rsidR="005166DC">
        <w:rPr>
          <w:lang w:val="en-GB" w:bidi="he-IL"/>
        </w:rPr>
        <w:t>s</w:t>
      </w:r>
      <w:r w:rsidR="00DD5D57">
        <w:rPr>
          <w:lang w:val="en-GB" w:bidi="he-IL"/>
        </w:rPr>
        <w:t xml:space="preserve"> father-in-law belonged (Judg 1:16); t</w:t>
      </w:r>
      <w:r w:rsidR="0026560F" w:rsidRPr="0026560F">
        <w:rPr>
          <w:lang w:val="en-GB" w:bidi="he-IL"/>
        </w:rPr>
        <w:t xml:space="preserve">he Qenizzites </w:t>
      </w:r>
      <w:r w:rsidR="0026560F">
        <w:rPr>
          <w:lang w:val="en-GB" w:bidi="he-IL"/>
        </w:rPr>
        <w:t xml:space="preserve">lived </w:t>
      </w:r>
      <w:r w:rsidR="0026560F" w:rsidRPr="0026560F">
        <w:rPr>
          <w:lang w:val="en-GB" w:bidi="he-IL"/>
        </w:rPr>
        <w:t>in souther</w:t>
      </w:r>
      <w:r w:rsidR="00DD5D57">
        <w:rPr>
          <w:lang w:val="en-GB" w:bidi="he-IL"/>
        </w:rPr>
        <w:t>n Judah to judge from Num 32:12; the Qadmonites appear only here but their</w:t>
      </w:r>
      <w:r w:rsidR="0026560F" w:rsidRPr="0026560F">
        <w:rPr>
          <w:lang w:val="en-GB" w:bidi="he-IL"/>
        </w:rPr>
        <w:t xml:space="preserve"> name suggests they are easterners.</w:t>
      </w:r>
      <w:r w:rsidR="0026560F">
        <w:rPr>
          <w:lang w:val="en-GB" w:bidi="he-IL"/>
        </w:rPr>
        <w:t xml:space="preserve"> Genesis has already mentioned </w:t>
      </w:r>
      <w:r w:rsidR="009432E5">
        <w:rPr>
          <w:lang w:val="en-GB" w:bidi="he-IL"/>
        </w:rPr>
        <w:t>the Hitti</w:t>
      </w:r>
      <w:r w:rsidR="0026560F">
        <w:rPr>
          <w:lang w:val="en-GB" w:bidi="he-IL"/>
        </w:rPr>
        <w:t>t</w:t>
      </w:r>
      <w:r w:rsidR="009432E5">
        <w:rPr>
          <w:lang w:val="en-GB" w:bidi="he-IL"/>
        </w:rPr>
        <w:t xml:space="preserve">es (10:15), Perizzites (13:7), Repa’ites (14:5), Amorites (10:16), Canaanites (9:18), Girgashites </w:t>
      </w:r>
      <w:r w:rsidR="0026560F">
        <w:rPr>
          <w:lang w:val="en-GB" w:bidi="he-IL"/>
        </w:rPr>
        <w:t xml:space="preserve">(10:16, and Yebusites (10:16). </w:t>
      </w:r>
      <w:r>
        <w:rPr>
          <w:lang w:val="en-GB" w:bidi="he-IL"/>
        </w:rPr>
        <w:t>T</w:t>
      </w:r>
      <w:r w:rsidR="00383AB7">
        <w:rPr>
          <w:lang w:val="en-GB" w:bidi="he-IL"/>
        </w:rPr>
        <w:t>hese peoples nowhere near comprised all the peoples of the a</w:t>
      </w:r>
      <w:r>
        <w:rPr>
          <w:lang w:val="en-GB" w:bidi="he-IL"/>
        </w:rPr>
        <w:t>rea from Egypt to the Euphrates;</w:t>
      </w:r>
      <w:r w:rsidR="00383AB7">
        <w:rPr>
          <w:lang w:val="en-GB" w:bidi="he-IL"/>
        </w:rPr>
        <w:t xml:space="preserve"> 1 Kings 4:</w:t>
      </w:r>
      <w:r w:rsidR="00DC6C4D">
        <w:rPr>
          <w:lang w:val="en-GB" w:bidi="he-IL"/>
        </w:rPr>
        <w:t xml:space="preserve">21-25 </w:t>
      </w:r>
      <w:r w:rsidR="00DC6C4D" w:rsidRPr="00DC6C4D">
        <w:rPr>
          <w:lang w:val="en-GB" w:bidi="he-IL"/>
        </w:rPr>
        <w:t xml:space="preserve">[5:1-5] </w:t>
      </w:r>
      <w:r w:rsidR="00DC6C4D">
        <w:rPr>
          <w:lang w:val="en-GB" w:bidi="he-IL"/>
        </w:rPr>
        <w:t>implies a distinction between</w:t>
      </w:r>
      <w:r w:rsidR="00F216B9">
        <w:rPr>
          <w:lang w:val="en-GB" w:bidi="he-IL"/>
        </w:rPr>
        <w:t xml:space="preserve"> that</w:t>
      </w:r>
      <w:r w:rsidR="00383AB7">
        <w:rPr>
          <w:lang w:val="en-GB" w:bidi="he-IL"/>
        </w:rPr>
        <w:t xml:space="preserve"> </w:t>
      </w:r>
      <w:r w:rsidR="00F216B9">
        <w:rPr>
          <w:lang w:val="en-GB" w:bidi="he-IL"/>
        </w:rPr>
        <w:t xml:space="preserve">larger </w:t>
      </w:r>
      <w:r w:rsidR="00383AB7">
        <w:rPr>
          <w:lang w:val="en-GB" w:bidi="he-IL"/>
        </w:rPr>
        <w:t xml:space="preserve">area </w:t>
      </w:r>
      <w:r w:rsidR="00F216B9">
        <w:rPr>
          <w:lang w:val="en-GB" w:bidi="he-IL"/>
        </w:rPr>
        <w:t xml:space="preserve">that </w:t>
      </w:r>
      <w:r w:rsidR="00383AB7">
        <w:rPr>
          <w:lang w:val="en-GB" w:bidi="he-IL"/>
        </w:rPr>
        <w:t xml:space="preserve">Solomon ruled and the </w:t>
      </w:r>
      <w:r w:rsidR="00F216B9">
        <w:rPr>
          <w:lang w:val="en-GB" w:bidi="he-IL"/>
        </w:rPr>
        <w:t xml:space="preserve">smaller </w:t>
      </w:r>
      <w:r w:rsidR="00383AB7">
        <w:rPr>
          <w:lang w:val="en-GB" w:bidi="he-IL"/>
        </w:rPr>
        <w:t xml:space="preserve">area </w:t>
      </w:r>
      <w:r w:rsidR="00F216B9">
        <w:rPr>
          <w:lang w:val="en-GB" w:bidi="he-IL"/>
        </w:rPr>
        <w:t xml:space="preserve">within it (which had once been the territory of these peoples) </w:t>
      </w:r>
      <w:r w:rsidR="00383AB7">
        <w:rPr>
          <w:lang w:val="en-GB" w:bidi="he-IL"/>
        </w:rPr>
        <w:t xml:space="preserve">where the Israelites themselves </w:t>
      </w:r>
      <w:r w:rsidR="00F216B9">
        <w:rPr>
          <w:lang w:val="en-GB" w:bidi="he-IL"/>
        </w:rPr>
        <w:t xml:space="preserve">actually </w:t>
      </w:r>
      <w:r w:rsidR="00383AB7">
        <w:rPr>
          <w:lang w:val="en-GB" w:bidi="he-IL"/>
        </w:rPr>
        <w:t>lived.</w:t>
      </w:r>
    </w:p>
    <w:p w14:paraId="1A99BE2D" w14:textId="77777777" w:rsidR="00A10CC9" w:rsidRDefault="00B652E3" w:rsidP="00A10CC9">
      <w:pPr>
        <w:pStyle w:val="Heading2"/>
        <w:rPr>
          <w:lang w:bidi="he-IL"/>
        </w:rPr>
      </w:pPr>
      <w:r>
        <w:rPr>
          <w:lang w:bidi="he-IL"/>
        </w:rPr>
        <w:t xml:space="preserve">The Promise of </w:t>
      </w:r>
      <w:r w:rsidR="0063741A">
        <w:rPr>
          <w:lang w:bidi="he-IL"/>
        </w:rPr>
        <w:t>La</w:t>
      </w:r>
      <w:r>
        <w:rPr>
          <w:lang w:bidi="he-IL"/>
        </w:rPr>
        <w:t xml:space="preserve">nd </w:t>
      </w:r>
    </w:p>
    <w:p w14:paraId="180F6FC0" w14:textId="365D82A7" w:rsidR="00E83B3D" w:rsidRDefault="005758B0" w:rsidP="005758B0">
      <w:pPr>
        <w:rPr>
          <w:lang w:bidi="he-IL"/>
        </w:rPr>
      </w:pPr>
      <w:r w:rsidRPr="00CC7A81">
        <w:rPr>
          <w:bCs/>
          <w:lang w:bidi="he-IL"/>
        </w:rPr>
        <w:t xml:space="preserve">God makes an age-long pact with Abraham’s offspring, that they will enjoy his blessing, that they will be fruitful, that he will be God for them, </w:t>
      </w:r>
      <w:r w:rsidRPr="00CC7A81">
        <w:rPr>
          <w:lang w:bidi="he-IL"/>
        </w:rPr>
        <w:t>and that they will possess the land of Canaan. The First Testament assumes throughout that these promises hold, even though t</w:t>
      </w:r>
      <w:r>
        <w:rPr>
          <w:lang w:bidi="he-IL"/>
        </w:rPr>
        <w:t xml:space="preserve">hey are often belied by events. </w:t>
      </w:r>
      <w:r w:rsidR="00B652E3">
        <w:rPr>
          <w:lang w:bidi="he-IL"/>
        </w:rPr>
        <w:t xml:space="preserve">The promise to give the land of Canaan to Abraham’s offspring first surfaced in 12:7, became a promise in perpetuity in </w:t>
      </w:r>
      <w:r w:rsidR="006632DF">
        <w:rPr>
          <w:lang w:bidi="he-IL"/>
        </w:rPr>
        <w:t xml:space="preserve">13:15, in 15:18-20 explicitly </w:t>
      </w:r>
      <w:r w:rsidR="00B652E3">
        <w:rPr>
          <w:lang w:bidi="he-IL"/>
        </w:rPr>
        <w:t xml:space="preserve">comes </w:t>
      </w:r>
      <w:r w:rsidR="006632DF">
        <w:rPr>
          <w:lang w:bidi="he-IL"/>
        </w:rPr>
        <w:t xml:space="preserve">to designate </w:t>
      </w:r>
      <w:r w:rsidR="00B652E3">
        <w:rPr>
          <w:lang w:bidi="he-IL"/>
        </w:rPr>
        <w:t>the land currently occupied by ten peoples, but also in 15:16 has a significant</w:t>
      </w:r>
      <w:r w:rsidR="003D5AD1">
        <w:rPr>
          <w:lang w:bidi="he-IL"/>
        </w:rPr>
        <w:t xml:space="preserve"> rid</w:t>
      </w:r>
      <w:r w:rsidR="00B16B76">
        <w:rPr>
          <w:lang w:bidi="he-IL"/>
        </w:rPr>
        <w:t xml:space="preserve">er attached to it. </w:t>
      </w:r>
      <w:r w:rsidR="00CC7A81">
        <w:rPr>
          <w:lang w:bidi="he-IL"/>
        </w:rPr>
        <w:t xml:space="preserve">While </w:t>
      </w:r>
      <w:r w:rsidR="003B1C0B">
        <w:rPr>
          <w:lang w:bidi="he-IL"/>
        </w:rPr>
        <w:t xml:space="preserve">God can do what he likes with the world </w:t>
      </w:r>
      <w:r w:rsidR="002E5EBC">
        <w:rPr>
          <w:lang w:bidi="he-IL"/>
        </w:rPr>
        <w:t>(see Amos 9:7; Rom 9:17-18),</w:t>
      </w:r>
      <w:r w:rsidR="00CC7A81">
        <w:rPr>
          <w:lang w:bidi="he-IL"/>
        </w:rPr>
        <w:t xml:space="preserve"> he</w:t>
      </w:r>
      <w:r w:rsidR="003B1C0B">
        <w:rPr>
          <w:lang w:bidi="he-IL"/>
        </w:rPr>
        <w:t xml:space="preserve"> also recognizes a commitment to act in a fair way</w:t>
      </w:r>
      <w:r w:rsidR="002E5EBC">
        <w:rPr>
          <w:lang w:bidi="he-IL"/>
        </w:rPr>
        <w:t xml:space="preserve"> with people</w:t>
      </w:r>
      <w:r w:rsidR="003B1C0B">
        <w:rPr>
          <w:lang w:bidi="he-IL"/>
        </w:rPr>
        <w:t>.</w:t>
      </w:r>
      <w:r w:rsidR="00DC6BFE">
        <w:rPr>
          <w:lang w:bidi="he-IL"/>
        </w:rPr>
        <w:t xml:space="preserve"> </w:t>
      </w:r>
      <w:r w:rsidR="002E5EBC">
        <w:rPr>
          <w:lang w:bidi="he-IL"/>
        </w:rPr>
        <w:t xml:space="preserve">In this </w:t>
      </w:r>
      <w:r w:rsidR="00B16B76">
        <w:rPr>
          <w:lang w:bidi="he-IL"/>
        </w:rPr>
        <w:t>connection Gen 15:</w:t>
      </w:r>
      <w:r w:rsidR="0063741A">
        <w:rPr>
          <w:lang w:bidi="he-IL"/>
        </w:rPr>
        <w:t>1</w:t>
      </w:r>
      <w:r w:rsidR="002E5EBC">
        <w:rPr>
          <w:lang w:bidi="he-IL"/>
        </w:rPr>
        <w:t xml:space="preserve">6 is </w:t>
      </w:r>
      <w:r w:rsidR="003D56BA">
        <w:rPr>
          <w:lang w:bidi="he-IL"/>
        </w:rPr>
        <w:t>“</w:t>
      </w:r>
      <w:r w:rsidR="002E5EBC">
        <w:rPr>
          <w:lang w:bidi="he-IL"/>
        </w:rPr>
        <w:t>o</w:t>
      </w:r>
      <w:r w:rsidR="00DC6BFE">
        <w:rPr>
          <w:lang w:bidi="he-IL"/>
        </w:rPr>
        <w:t>ne of the pivotal sayings of the Old Testament.</w:t>
      </w:r>
      <w:r w:rsidR="003D56BA">
        <w:rPr>
          <w:lang w:bidi="he-IL"/>
        </w:rPr>
        <w:t>”</w:t>
      </w:r>
      <w:r w:rsidR="00DC6BFE">
        <w:rPr>
          <w:rStyle w:val="FootnoteReference"/>
          <w:lang w:bidi="he-IL"/>
        </w:rPr>
        <w:footnoteReference w:id="231"/>
      </w:r>
      <w:r w:rsidR="002E5EBC">
        <w:rPr>
          <w:lang w:bidi="he-IL"/>
        </w:rPr>
        <w:t xml:space="preserve"> </w:t>
      </w:r>
      <w:r w:rsidR="00B16B76">
        <w:rPr>
          <w:lang w:bidi="he-IL"/>
        </w:rPr>
        <w:t xml:space="preserve">God does not commission Israel to charge </w:t>
      </w:r>
      <w:r w:rsidR="00CC7A81">
        <w:rPr>
          <w:lang w:bidi="he-IL"/>
        </w:rPr>
        <w:t xml:space="preserve">into Canaan just because he wants </w:t>
      </w:r>
      <w:r w:rsidR="00B16B76">
        <w:rPr>
          <w:lang w:bidi="he-IL"/>
        </w:rPr>
        <w:t>to throw the Ca</w:t>
      </w:r>
      <w:r w:rsidR="00CC7A81">
        <w:rPr>
          <w:lang w:bidi="he-IL"/>
        </w:rPr>
        <w:t>naanites out</w:t>
      </w:r>
      <w:r w:rsidR="00B16B76">
        <w:rPr>
          <w:lang w:bidi="he-IL"/>
        </w:rPr>
        <w:t xml:space="preserve">. Nor does Israel </w:t>
      </w:r>
      <w:r w:rsidR="00E40187">
        <w:rPr>
          <w:lang w:bidi="he-IL"/>
        </w:rPr>
        <w:t xml:space="preserve">simply make up the idea </w:t>
      </w:r>
      <w:r w:rsidR="00B16B76">
        <w:rPr>
          <w:lang w:bidi="he-IL"/>
        </w:rPr>
        <w:t>that God has commissioned them to charge into Canaan</w:t>
      </w:r>
      <w:r w:rsidR="00E40187">
        <w:rPr>
          <w:lang w:bidi="he-IL"/>
        </w:rPr>
        <w:t xml:space="preserve">—or if they do, they recognize that their action needs a moral rationale, and if the rationale is phony, their argument collapses. </w:t>
      </w:r>
    </w:p>
    <w:p w14:paraId="05DA5C80" w14:textId="402CB5B1" w:rsidR="00E83B3D" w:rsidRDefault="0048700D" w:rsidP="00E83B3D">
      <w:pPr>
        <w:rPr>
          <w:lang w:bidi="he-IL"/>
        </w:rPr>
      </w:pPr>
      <w:r>
        <w:rPr>
          <w:lang w:bidi="he-IL"/>
        </w:rPr>
        <w:t xml:space="preserve">In Gen 15:16 </w:t>
      </w:r>
      <w:r w:rsidR="002E5EBC">
        <w:rPr>
          <w:lang w:bidi="he-IL"/>
        </w:rPr>
        <w:t>God also recognizes a commitment to act i</w:t>
      </w:r>
      <w:r>
        <w:rPr>
          <w:lang w:bidi="he-IL"/>
        </w:rPr>
        <w:t>n a long-tempered way. Gen 15</w:t>
      </w:r>
      <w:r w:rsidR="00E83B3D">
        <w:rPr>
          <w:lang w:bidi="he-IL"/>
        </w:rPr>
        <w:t xml:space="preserve"> offers</w:t>
      </w:r>
      <w:r w:rsidR="009361C1">
        <w:rPr>
          <w:lang w:bidi="he-IL"/>
        </w:rPr>
        <w:t xml:space="preserve"> one clue to the reason</w:t>
      </w:r>
      <w:r w:rsidR="002E5EBC">
        <w:rPr>
          <w:lang w:bidi="he-IL"/>
        </w:rPr>
        <w:t>s</w:t>
      </w:r>
      <w:r w:rsidR="009361C1">
        <w:rPr>
          <w:lang w:bidi="he-IL"/>
        </w:rPr>
        <w:t xml:space="preserve"> why God’s promise</w:t>
      </w:r>
      <w:r w:rsidR="002E5EBC">
        <w:rPr>
          <w:lang w:bidi="he-IL"/>
        </w:rPr>
        <w:t>s do not find fulfill</w:t>
      </w:r>
      <w:r w:rsidR="00F216B9">
        <w:rPr>
          <w:lang w:bidi="he-IL"/>
        </w:rPr>
        <w:t>ment</w:t>
      </w:r>
      <w:r w:rsidR="00E83B3D">
        <w:rPr>
          <w:lang w:bidi="he-IL"/>
        </w:rPr>
        <w:t>, at least for a long time</w:t>
      </w:r>
      <w:r w:rsidR="00F216B9">
        <w:rPr>
          <w:lang w:bidi="he-IL"/>
        </w:rPr>
        <w:t xml:space="preserve">. God </w:t>
      </w:r>
      <w:r w:rsidR="002E5EBC">
        <w:rPr>
          <w:lang w:bidi="he-IL"/>
        </w:rPr>
        <w:t>effect</w:t>
      </w:r>
      <w:r w:rsidR="00F216B9">
        <w:rPr>
          <w:lang w:bidi="he-IL"/>
        </w:rPr>
        <w:t>s</w:t>
      </w:r>
      <w:r w:rsidR="002E5EBC">
        <w:rPr>
          <w:lang w:bidi="he-IL"/>
        </w:rPr>
        <w:t xml:space="preserve"> his purpose </w:t>
      </w:r>
      <w:r w:rsidR="00F216B9">
        <w:rPr>
          <w:lang w:bidi="he-IL"/>
        </w:rPr>
        <w:t xml:space="preserve">not </w:t>
      </w:r>
      <w:r w:rsidR="002E5EBC">
        <w:rPr>
          <w:lang w:bidi="he-IL"/>
        </w:rPr>
        <w:t xml:space="preserve">unilaterally but in interaction with nations and individuals, modifying or rescheduling his intentions in light of how human beings act. Second Peter 3 sees this commitment as lying behind the delay in Jesus’s </w:t>
      </w:r>
      <w:r w:rsidR="00AD62DB">
        <w:rPr>
          <w:lang w:bidi="he-IL"/>
        </w:rPr>
        <w:t>appearing.</w:t>
      </w:r>
      <w:r w:rsidR="00E83B3D">
        <w:rPr>
          <w:lang w:bidi="he-IL"/>
        </w:rPr>
        <w:t xml:space="preserve"> </w:t>
      </w:r>
    </w:p>
    <w:p w14:paraId="0A41572E" w14:textId="4A012BF2" w:rsidR="00E83B3D" w:rsidRDefault="00E83B3D" w:rsidP="00E83B3D">
      <w:pPr>
        <w:rPr>
          <w:lang w:val="en-GB" w:bidi="he-IL"/>
        </w:rPr>
      </w:pPr>
      <w:r w:rsidRPr="00B16B76">
        <w:rPr>
          <w:lang w:val="en-GB" w:bidi="he-IL"/>
        </w:rPr>
        <w:t xml:space="preserve">The comment about waywardness in 15:16 </w:t>
      </w:r>
      <w:r>
        <w:rPr>
          <w:lang w:val="en-GB" w:bidi="he-IL"/>
        </w:rPr>
        <w:t xml:space="preserve">would raise tricky questions for Israel itself. </w:t>
      </w:r>
      <w:r w:rsidRPr="00B16B76">
        <w:rPr>
          <w:lang w:val="en-GB" w:bidi="he-IL"/>
        </w:rPr>
        <w:t xml:space="preserve">Was the promise </w:t>
      </w:r>
      <w:r>
        <w:rPr>
          <w:lang w:val="en-GB" w:bidi="he-IL"/>
        </w:rPr>
        <w:t xml:space="preserve">of the land to Abraham’s offspring </w:t>
      </w:r>
      <w:r w:rsidRPr="00B16B76">
        <w:rPr>
          <w:lang w:val="en-GB" w:bidi="he-IL"/>
        </w:rPr>
        <w:t>implicitly conditional, so that Abraham’s descendants could be deemed to have forfeited it by their waywardness?</w:t>
      </w:r>
      <w:r>
        <w:rPr>
          <w:lang w:val="en-GB" w:bidi="he-IL"/>
        </w:rPr>
        <w:t xml:space="preserve"> They do get thrown out of the land in 721 and 587 on such a basis. </w:t>
      </w:r>
      <w:r w:rsidR="0048700D">
        <w:rPr>
          <w:lang w:val="en-GB" w:bidi="he-IL"/>
        </w:rPr>
        <w:t>Yet they come back to at least part of the land.</w:t>
      </w:r>
    </w:p>
    <w:p w14:paraId="004CE893" w14:textId="2EA3EF55" w:rsidR="00E83B3D" w:rsidRDefault="00E83B3D" w:rsidP="00E83B3D">
      <w:pPr>
        <w:rPr>
          <w:lang w:val="en-GB" w:bidi="he-IL"/>
        </w:rPr>
      </w:pPr>
      <w:r>
        <w:rPr>
          <w:lang w:bidi="he-IL"/>
        </w:rPr>
        <w:t xml:space="preserve">Further, </w:t>
      </w:r>
      <w:r w:rsidR="00B16B76" w:rsidRPr="00B16B76">
        <w:rPr>
          <w:lang w:val="en-GB" w:bidi="he-IL"/>
        </w:rPr>
        <w:t xml:space="preserve">Abraham’s offspring were destined to become a big people, and they did so; then through Jesus they became an </w:t>
      </w:r>
      <w:r>
        <w:rPr>
          <w:lang w:val="en-GB" w:bidi="he-IL"/>
        </w:rPr>
        <w:t>exponentially bigger people. And</w:t>
      </w:r>
      <w:r w:rsidR="00B16B76" w:rsidRPr="00B16B76">
        <w:rPr>
          <w:lang w:val="en-GB" w:bidi="he-IL"/>
        </w:rPr>
        <w:t xml:space="preserve"> this new version of Abraham’s people is not a nation and it does not have a land. So what has happened to the </w:t>
      </w:r>
      <w:r w:rsidR="00E40187">
        <w:rPr>
          <w:lang w:val="en-GB" w:bidi="he-IL"/>
        </w:rPr>
        <w:t xml:space="preserve">promise to give his people the land, and to do so </w:t>
      </w:r>
      <w:r w:rsidR="00B16B76" w:rsidRPr="00B16B76">
        <w:rPr>
          <w:lang w:val="en-GB" w:bidi="he-IL"/>
        </w:rPr>
        <w:t>“permanently” (</w:t>
      </w:r>
      <w:r w:rsidR="00B16B76" w:rsidRPr="00B16B76">
        <w:rPr>
          <w:i/>
          <w:lang w:val="en-GB" w:bidi="he-IL"/>
        </w:rPr>
        <w:t>‘ad-‘ôlām</w:t>
      </w:r>
      <w:r w:rsidR="00B16B76" w:rsidRPr="00B16B76">
        <w:rPr>
          <w:lang w:val="en-GB" w:bidi="he-IL"/>
        </w:rPr>
        <w:t xml:space="preserve">)? </w:t>
      </w:r>
      <w:r w:rsidR="0048700D" w:rsidRPr="00B16B76">
        <w:rPr>
          <w:lang w:val="en-GB" w:bidi="he-IL"/>
        </w:rPr>
        <w:t xml:space="preserve">Did God change his mind without telling anyone? </w:t>
      </w:r>
      <w:r w:rsidRPr="00B16B76">
        <w:rPr>
          <w:lang w:val="en-GB" w:bidi="he-IL"/>
        </w:rPr>
        <w:t xml:space="preserve">Do we </w:t>
      </w:r>
      <w:r w:rsidRPr="00B16B76">
        <w:rPr>
          <w:lang w:val="en-GB" w:bidi="he-IL"/>
        </w:rPr>
        <w:lastRenderedPageBreak/>
        <w:t xml:space="preserve">read too much into the “permanently”? Can we qualify it without qualifying the idea that Yahweh is God and that he enfolds his people “permanently” (Pss 90:2; 103:17; 125:2)? </w:t>
      </w:r>
      <w:r w:rsidR="0048700D">
        <w:rPr>
          <w:lang w:val="en-GB" w:bidi="he-IL"/>
        </w:rPr>
        <w:t xml:space="preserve">But </w:t>
      </w:r>
      <w:r w:rsidR="00B16B76" w:rsidRPr="00B16B76">
        <w:rPr>
          <w:lang w:val="en-GB" w:bidi="he-IL"/>
        </w:rPr>
        <w:t>Isa 32:14, 17 has an interesting “permanently” followed by a limiting “until” which perhaps hint</w:t>
      </w:r>
      <w:r w:rsidR="005758B0">
        <w:rPr>
          <w:lang w:val="en-GB" w:bidi="he-IL"/>
        </w:rPr>
        <w:t xml:space="preserve">s that Yahweh can or would </w:t>
      </w:r>
      <w:r w:rsidR="00B16B76" w:rsidRPr="00B16B76">
        <w:rPr>
          <w:lang w:val="en-GB" w:bidi="he-IL"/>
        </w:rPr>
        <w:t xml:space="preserve">qualify or change his “permanently” </w:t>
      </w:r>
      <w:r w:rsidR="005758B0">
        <w:rPr>
          <w:lang w:val="en-GB" w:bidi="he-IL"/>
        </w:rPr>
        <w:t xml:space="preserve">only </w:t>
      </w:r>
      <w:r w:rsidR="00B16B76" w:rsidRPr="00B16B76">
        <w:rPr>
          <w:lang w:val="en-GB" w:bidi="he-IL"/>
        </w:rPr>
        <w:t>in order to put some</w:t>
      </w:r>
      <w:r>
        <w:rPr>
          <w:lang w:val="en-GB" w:bidi="he-IL"/>
        </w:rPr>
        <w:t>thing better in its place. D</w:t>
      </w:r>
      <w:r w:rsidR="00B16B76" w:rsidRPr="00B16B76">
        <w:rPr>
          <w:lang w:val="en-GB" w:bidi="he-IL"/>
        </w:rPr>
        <w:t xml:space="preserve">id </w:t>
      </w:r>
      <w:r>
        <w:rPr>
          <w:lang w:val="en-GB" w:bidi="he-IL"/>
        </w:rPr>
        <w:t>he do so through Jesus?</w:t>
      </w:r>
    </w:p>
    <w:p w14:paraId="2422F199" w14:textId="362DE8C4" w:rsidR="00800A5E" w:rsidRDefault="00800A5E" w:rsidP="00800A5E">
      <w:pPr>
        <w:rPr>
          <w:lang w:bidi="he-IL"/>
        </w:rPr>
      </w:pPr>
      <w:r>
        <w:rPr>
          <w:lang w:bidi="he-IL"/>
        </w:rPr>
        <w:t>Through Jesus God more-than fulfills</w:t>
      </w:r>
      <w:r w:rsidR="00CC7A81">
        <w:rPr>
          <w:lang w:bidi="he-IL"/>
        </w:rPr>
        <w:t xml:space="preserve"> the promise of blessing by means of</w:t>
      </w:r>
      <w:r>
        <w:rPr>
          <w:lang w:bidi="he-IL"/>
        </w:rPr>
        <w:t xml:space="preserve"> the gift of the Holy Spirit and more-than fulfils the promise of fruitfulness through the giving of the Holy Spirit to the Gentiles. He threatens that the Jewish </w:t>
      </w:r>
      <w:r w:rsidR="00E83B3D">
        <w:rPr>
          <w:lang w:bidi="he-IL"/>
        </w:rPr>
        <w:t>people may be cast off, but it</w:t>
      </w:r>
      <w:r>
        <w:rPr>
          <w:lang w:bidi="he-IL"/>
        </w:rPr>
        <w:t xml:space="preserve"> seems to be a casting off only of the generation that</w:t>
      </w:r>
      <w:r w:rsidR="0048700D">
        <w:rPr>
          <w:lang w:bidi="he-IL"/>
        </w:rPr>
        <w:t xml:space="preserve"> declines to recognize Jesus. God’</w:t>
      </w:r>
      <w:r>
        <w:rPr>
          <w:lang w:bidi="he-IL"/>
        </w:rPr>
        <w:t>s commitment to the Jewish people still stands. That fact would imply that his promise regarding the land of Canaan still stands, because a relationship to the land is integral to the being of Israel. The New Testament does not give any indication that this promise concerning the land no longer applies, in the way that it indicates t</w:t>
      </w:r>
      <w:r w:rsidR="0048700D">
        <w:rPr>
          <w:lang w:bidi="he-IL"/>
        </w:rPr>
        <w:t xml:space="preserve">hat rules about circumcision, and about </w:t>
      </w:r>
      <w:r>
        <w:rPr>
          <w:lang w:bidi="he-IL"/>
        </w:rPr>
        <w:t xml:space="preserve">cleanness and taboo no longer apply. Jesus confirms God’s commitment to the Jewish people rather than terminating it, and the land is an aspect of that commitment. Thus the Jewish people’s freedom since the late nineteenth century to return to the land has seemed </w:t>
      </w:r>
      <w:proofErr w:type="gramStart"/>
      <w:r>
        <w:rPr>
          <w:lang w:bidi="he-IL"/>
        </w:rPr>
        <w:t>to</w:t>
      </w:r>
      <w:proofErr w:type="gramEnd"/>
      <w:r>
        <w:rPr>
          <w:lang w:bidi="he-IL"/>
        </w:rPr>
        <w:t xml:space="preserve"> </w:t>
      </w:r>
      <w:r w:rsidRPr="001F5FC5">
        <w:rPr>
          <w:lang w:bidi="he-IL"/>
        </w:rPr>
        <w:t xml:space="preserve">many Jewish and Christian people </w:t>
      </w:r>
      <w:r>
        <w:rPr>
          <w:lang w:bidi="he-IL"/>
        </w:rPr>
        <w:t>to be a process whereby God has been faithful to this promise. This view need not imply affirmation of the policies of the State of Israel. Nor need it imply sidestepping the implications of Gen 15:16.</w:t>
      </w:r>
    </w:p>
    <w:p w14:paraId="6F675FB5" w14:textId="4329BB2B" w:rsidR="00E83B3D" w:rsidRDefault="0048700D" w:rsidP="00E83B3D">
      <w:pPr>
        <w:rPr>
          <w:lang w:val="en-GB" w:bidi="he-IL"/>
        </w:rPr>
      </w:pPr>
      <w:r>
        <w:rPr>
          <w:lang w:val="en-GB" w:bidi="he-IL"/>
        </w:rPr>
        <w:t>T</w:t>
      </w:r>
      <w:r w:rsidR="00E83B3D" w:rsidRPr="00B16B76">
        <w:rPr>
          <w:lang w:val="en-GB" w:bidi="he-IL"/>
        </w:rPr>
        <w:t>he New Testament hardly implies that the gift of Jesus and of the Holy Spirit</w:t>
      </w:r>
      <w:r w:rsidR="00E83B3D">
        <w:rPr>
          <w:lang w:val="en-GB" w:bidi="he-IL"/>
        </w:rPr>
        <w:t xml:space="preserve"> replaces the gift of the land. T</w:t>
      </w:r>
      <w:r w:rsidR="00E83B3D" w:rsidRPr="00B16B76">
        <w:rPr>
          <w:lang w:val="en-GB" w:bidi="he-IL"/>
        </w:rPr>
        <w:t xml:space="preserve">he notion of Israel as a distinctive people does not disappear, and that notion is hard to make sense of without its having the notion of a land attached. You need land in order to </w:t>
      </w:r>
      <w:r w:rsidR="00E83B3D">
        <w:rPr>
          <w:lang w:val="en-GB" w:bidi="he-IL"/>
        </w:rPr>
        <w:t xml:space="preserve">be a people and </w:t>
      </w:r>
      <w:r w:rsidR="00E83B3D" w:rsidRPr="00B16B76">
        <w:rPr>
          <w:lang w:val="en-GB" w:bidi="he-IL"/>
        </w:rPr>
        <w:t xml:space="preserve">live. </w:t>
      </w:r>
      <w:r w:rsidR="00E83B3D">
        <w:rPr>
          <w:lang w:val="en-GB" w:bidi="he-IL"/>
        </w:rPr>
        <w:t>A</w:t>
      </w:r>
      <w:r w:rsidR="00E83B3D" w:rsidRPr="00B16B76">
        <w:rPr>
          <w:lang w:val="en-GB" w:bidi="he-IL"/>
        </w:rPr>
        <w:t>s long as th</w:t>
      </w:r>
      <w:r w:rsidR="00E83B3D">
        <w:rPr>
          <w:lang w:val="en-GB" w:bidi="he-IL"/>
        </w:rPr>
        <w:t>ere is still an Israel which is a definable people</w:t>
      </w:r>
      <w:r w:rsidR="00E83B3D" w:rsidRPr="00B16B76">
        <w:rPr>
          <w:lang w:val="en-GB" w:bidi="he-IL"/>
        </w:rPr>
        <w:t>, God’s permanent promise of the land is surely part of God’s continuing commitment to it—though that consideration no more overrides questions about the rights of other people who have some claim on this land</w:t>
      </w:r>
      <w:r w:rsidR="00727890">
        <w:rPr>
          <w:lang w:val="en-GB" w:bidi="he-IL"/>
        </w:rPr>
        <w:t xml:space="preserve"> </w:t>
      </w:r>
      <w:r w:rsidR="00E83B3D" w:rsidRPr="00B16B76">
        <w:rPr>
          <w:lang w:val="en-GB" w:bidi="he-IL"/>
        </w:rPr>
        <w:t>than was the case in Abraham’s day.</w:t>
      </w:r>
      <w:r w:rsidR="00E83B3D">
        <w:rPr>
          <w:lang w:val="en-GB" w:bidi="he-IL"/>
        </w:rPr>
        <w:t xml:space="preserve"> </w:t>
      </w:r>
      <w:r w:rsidR="00E83B3D" w:rsidRPr="00CC7A81">
        <w:rPr>
          <w:lang w:val="en-GB" w:bidi="he-IL"/>
        </w:rPr>
        <w:t>Further, for the wider Israel which includes Gentiles who believe in Jesus, this land where Jesus liv</w:t>
      </w:r>
      <w:r>
        <w:rPr>
          <w:lang w:val="en-GB" w:bidi="he-IL"/>
        </w:rPr>
        <w:t xml:space="preserve">ed, died, and rose could </w:t>
      </w:r>
      <w:r w:rsidR="00E83B3D" w:rsidRPr="00CC7A81">
        <w:rPr>
          <w:lang w:val="en-GB" w:bidi="he-IL"/>
        </w:rPr>
        <w:t>never lose its importance—as the phenomenon of pilgrimage suggests.</w:t>
      </w:r>
    </w:p>
    <w:p w14:paraId="11687544" w14:textId="77777777" w:rsidR="00E83B3D" w:rsidRDefault="00E83B3D" w:rsidP="00800A5E">
      <w:pPr>
        <w:rPr>
          <w:lang w:bidi="he-IL"/>
        </w:rPr>
      </w:pPr>
    </w:p>
    <w:p w14:paraId="6B9B3074" w14:textId="77777777" w:rsidR="00E40187" w:rsidRDefault="00E40187">
      <w:pPr>
        <w:spacing w:after="200" w:line="276" w:lineRule="auto"/>
        <w:ind w:firstLine="0"/>
        <w:rPr>
          <w:rFonts w:asciiTheme="majorHAnsi" w:eastAsiaTheme="majorEastAsia" w:hAnsiTheme="majorHAnsi" w:cstheme="majorBidi"/>
          <w:b/>
          <w:bCs/>
          <w:sz w:val="28"/>
          <w:szCs w:val="28"/>
          <w:lang w:bidi="he-IL"/>
        </w:rPr>
      </w:pPr>
      <w:r>
        <w:rPr>
          <w:lang w:bidi="he-IL"/>
        </w:rPr>
        <w:br w:type="page"/>
      </w:r>
    </w:p>
    <w:p w14:paraId="3B9EC2FC" w14:textId="77777777" w:rsidR="00AD62DB" w:rsidRDefault="00C127F9" w:rsidP="00AD62DB">
      <w:pPr>
        <w:pStyle w:val="Heading1"/>
        <w:rPr>
          <w:lang w:bidi="he-IL"/>
        </w:rPr>
      </w:pPr>
      <w:r>
        <w:rPr>
          <w:lang w:bidi="he-IL"/>
        </w:rPr>
        <w:lastRenderedPageBreak/>
        <w:t>Genesis 16:1-16—</w:t>
      </w:r>
      <w:r w:rsidR="003D56BA">
        <w:rPr>
          <w:lang w:bidi="he-IL"/>
        </w:rPr>
        <w:t>”</w:t>
      </w:r>
      <w:r>
        <w:rPr>
          <w:lang w:bidi="he-IL"/>
        </w:rPr>
        <w:t>But Saray</w:t>
      </w:r>
      <w:r w:rsidR="00AD62DB">
        <w:rPr>
          <w:lang w:bidi="he-IL"/>
        </w:rPr>
        <w:t>…</w:t>
      </w:r>
      <w:r w:rsidR="003D56BA">
        <w:rPr>
          <w:lang w:bidi="he-IL"/>
        </w:rPr>
        <w:t>”</w:t>
      </w:r>
    </w:p>
    <w:p w14:paraId="54AB064D" w14:textId="77777777" w:rsidR="00AD62DB" w:rsidRDefault="00AD62DB" w:rsidP="00AD62DB">
      <w:pPr>
        <w:pStyle w:val="ListParagraph"/>
        <w:ind w:left="720" w:firstLine="0"/>
        <w:rPr>
          <w:lang w:bidi="he-IL"/>
        </w:rPr>
      </w:pPr>
    </w:p>
    <w:p w14:paraId="401DA020" w14:textId="77777777" w:rsidR="00141055" w:rsidRPr="00DA695A" w:rsidRDefault="00141055" w:rsidP="00141055">
      <w:pPr>
        <w:pStyle w:val="Heading2"/>
        <w:rPr>
          <w:lang w:bidi="he-IL"/>
        </w:rPr>
      </w:pPr>
      <w:r>
        <w:rPr>
          <w:lang w:bidi="he-IL"/>
        </w:rPr>
        <w:t>Overview</w:t>
      </w:r>
    </w:p>
    <w:p w14:paraId="4B94B188" w14:textId="77777777" w:rsidR="006D676D" w:rsidRDefault="00F1779E" w:rsidP="006D676D">
      <w:pPr>
        <w:pStyle w:val="ListParagraph"/>
        <w:ind w:left="0" w:firstLine="720"/>
        <w:rPr>
          <w:lang w:bidi="he-IL"/>
        </w:rPr>
      </w:pPr>
      <w:r>
        <w:rPr>
          <w:lang w:bidi="he-IL"/>
        </w:rPr>
        <w:t>For some chapters now</w:t>
      </w:r>
      <w:r w:rsidR="00C127F9">
        <w:rPr>
          <w:lang w:bidi="he-IL"/>
        </w:rPr>
        <w:t xml:space="preserve">, Genesis </w:t>
      </w:r>
      <w:r w:rsidR="004B24A6">
        <w:rPr>
          <w:lang w:bidi="he-IL"/>
        </w:rPr>
        <w:t>will focus</w:t>
      </w:r>
      <w:r w:rsidR="00C127F9">
        <w:rPr>
          <w:lang w:bidi="he-IL"/>
        </w:rPr>
        <w:t xml:space="preserve"> more resolutely on the que</w:t>
      </w:r>
      <w:r w:rsidR="006D676D">
        <w:rPr>
          <w:lang w:bidi="he-IL"/>
        </w:rPr>
        <w:t>stion of offspring for Abraham and Sarah</w:t>
      </w:r>
      <w:r w:rsidR="006D676D" w:rsidRPr="006D676D">
        <w:rPr>
          <w:lang w:bidi="he-IL"/>
        </w:rPr>
        <w:t xml:space="preserve">. </w:t>
      </w:r>
      <w:r w:rsidR="006D676D">
        <w:rPr>
          <w:lang w:bidi="he-IL"/>
        </w:rPr>
        <w:t xml:space="preserve">In </w:t>
      </w:r>
      <w:r w:rsidR="004B24A6">
        <w:rPr>
          <w:lang w:bidi="he-IL"/>
        </w:rPr>
        <w:t xml:space="preserve">Gen 16, in </w:t>
      </w:r>
      <w:r w:rsidR="006D676D">
        <w:rPr>
          <w:lang w:bidi="he-IL"/>
        </w:rPr>
        <w:t>terms of plot:</w:t>
      </w:r>
    </w:p>
    <w:p w14:paraId="226B9A4E" w14:textId="77777777" w:rsidR="006D676D" w:rsidRDefault="006D676D" w:rsidP="006D676D">
      <w:pPr>
        <w:pStyle w:val="ListParagraph"/>
        <w:ind w:left="0" w:firstLine="720"/>
        <w:rPr>
          <w:lang w:bidi="he-IL"/>
        </w:rPr>
      </w:pPr>
      <w:r w:rsidRPr="006D676D">
        <w:rPr>
          <w:lang w:bidi="he-IL"/>
        </w:rPr>
        <w:t xml:space="preserve"> </w:t>
      </w:r>
    </w:p>
    <w:p w14:paraId="150B6B65" w14:textId="6093B5D4" w:rsidR="006D676D" w:rsidRDefault="006D676D" w:rsidP="006D676D">
      <w:pPr>
        <w:pStyle w:val="ListParagraph"/>
        <w:numPr>
          <w:ilvl w:val="0"/>
          <w:numId w:val="21"/>
        </w:numPr>
        <w:ind w:left="720"/>
        <w:rPr>
          <w:lang w:bidi="he-IL"/>
        </w:rPr>
      </w:pPr>
      <w:r>
        <w:rPr>
          <w:lang w:bidi="he-IL"/>
        </w:rPr>
        <w:t>(a)</w:t>
      </w:r>
      <w:r w:rsidR="00727890">
        <w:rPr>
          <w:lang w:bidi="he-IL"/>
        </w:rPr>
        <w:t xml:space="preserve"> </w:t>
      </w:r>
      <w:r>
        <w:rPr>
          <w:lang w:bidi="he-IL"/>
        </w:rPr>
        <w:t xml:space="preserve">Whereas </w:t>
      </w:r>
      <w:r w:rsidR="00880E7B">
        <w:rPr>
          <w:lang w:bidi="he-IL"/>
        </w:rPr>
        <w:t>Gen 15 raised Abraham’s question</w:t>
      </w:r>
      <w:r>
        <w:rPr>
          <w:lang w:bidi="he-IL"/>
        </w:rPr>
        <w:t xml:space="preserve"> about having offspring (</w:t>
      </w:r>
      <w:r w:rsidR="003D56BA">
        <w:rPr>
          <w:lang w:bidi="he-IL"/>
        </w:rPr>
        <w:t>“</w:t>
      </w:r>
      <w:r>
        <w:rPr>
          <w:lang w:bidi="he-IL"/>
        </w:rPr>
        <w:t>W</w:t>
      </w:r>
      <w:r w:rsidRPr="00862D66">
        <w:rPr>
          <w:lang w:bidi="he-IL"/>
        </w:rPr>
        <w:t>hat will Yahweh do?</w:t>
      </w:r>
      <w:r w:rsidR="003D56BA">
        <w:rPr>
          <w:lang w:bidi="he-IL"/>
        </w:rPr>
        <w:t>”</w:t>
      </w:r>
      <w:r>
        <w:rPr>
          <w:lang w:bidi="he-IL"/>
        </w:rPr>
        <w:t xml:space="preserve">), Gen 16 raises Sarah’s question: </w:t>
      </w:r>
      <w:r w:rsidR="003D56BA">
        <w:rPr>
          <w:lang w:bidi="he-IL"/>
        </w:rPr>
        <w:t>“</w:t>
      </w:r>
      <w:r>
        <w:rPr>
          <w:lang w:bidi="he-IL"/>
        </w:rPr>
        <w:t>W</w:t>
      </w:r>
      <w:r w:rsidR="003C4463">
        <w:rPr>
          <w:lang w:bidi="he-IL"/>
        </w:rPr>
        <w:t>hat are</w:t>
      </w:r>
      <w:r w:rsidRPr="00862D66">
        <w:rPr>
          <w:lang w:bidi="he-IL"/>
        </w:rPr>
        <w:t xml:space="preserve"> we </w:t>
      </w:r>
      <w:r w:rsidR="003C4463">
        <w:rPr>
          <w:lang w:bidi="he-IL"/>
        </w:rPr>
        <w:t xml:space="preserve">to </w:t>
      </w:r>
      <w:r w:rsidRPr="00862D66">
        <w:rPr>
          <w:lang w:bidi="he-IL"/>
        </w:rPr>
        <w:t>do?</w:t>
      </w:r>
      <w:r w:rsidR="003D56BA">
        <w:rPr>
          <w:lang w:bidi="he-IL"/>
        </w:rPr>
        <w:t>”</w:t>
      </w:r>
      <w:r>
        <w:rPr>
          <w:lang w:bidi="he-IL"/>
        </w:rPr>
        <w:t xml:space="preserve"> </w:t>
      </w:r>
    </w:p>
    <w:p w14:paraId="7223B8FC" w14:textId="3AEADB6C" w:rsidR="006D676D" w:rsidRDefault="00880E7B" w:rsidP="006D676D">
      <w:pPr>
        <w:pStyle w:val="ListParagraph"/>
        <w:numPr>
          <w:ilvl w:val="0"/>
          <w:numId w:val="31"/>
        </w:numPr>
        <w:rPr>
          <w:lang w:bidi="he-IL"/>
        </w:rPr>
      </w:pPr>
      <w:r>
        <w:rPr>
          <w:lang w:bidi="he-IL"/>
        </w:rPr>
        <w:t>And she provides an</w:t>
      </w:r>
      <w:r w:rsidR="006D676D">
        <w:rPr>
          <w:lang w:bidi="he-IL"/>
        </w:rPr>
        <w:t xml:space="preserve"> answer: </w:t>
      </w:r>
      <w:r w:rsidR="003D56BA">
        <w:rPr>
          <w:lang w:bidi="he-IL"/>
        </w:rPr>
        <w:t>“</w:t>
      </w:r>
      <w:r w:rsidR="006D676D">
        <w:rPr>
          <w:lang w:bidi="he-IL"/>
        </w:rPr>
        <w:t>Let’s see if Hagar can have a baby.</w:t>
      </w:r>
      <w:r w:rsidR="003D56BA">
        <w:rPr>
          <w:lang w:bidi="he-IL"/>
        </w:rPr>
        <w:t>”</w:t>
      </w:r>
      <w:r w:rsidR="006D676D">
        <w:rPr>
          <w:lang w:bidi="he-IL"/>
        </w:rPr>
        <w:t xml:space="preserve"> </w:t>
      </w:r>
    </w:p>
    <w:p w14:paraId="5F7C9DB2" w14:textId="06401CEC" w:rsidR="008223DA" w:rsidRDefault="006D676D" w:rsidP="008223DA">
      <w:pPr>
        <w:pStyle w:val="ListParagraph"/>
        <w:numPr>
          <w:ilvl w:val="0"/>
          <w:numId w:val="21"/>
        </w:numPr>
        <w:ind w:left="720"/>
        <w:rPr>
          <w:lang w:bidi="he-IL"/>
        </w:rPr>
      </w:pPr>
      <w:r>
        <w:rPr>
          <w:lang w:bidi="he-IL"/>
        </w:rPr>
        <w:t>(a)</w:t>
      </w:r>
      <w:r w:rsidR="00727890">
        <w:rPr>
          <w:lang w:bidi="he-IL"/>
        </w:rPr>
        <w:t xml:space="preserve"> </w:t>
      </w:r>
      <w:r>
        <w:rPr>
          <w:lang w:bidi="he-IL"/>
        </w:rPr>
        <w:t>The trouble is that Hagar’s pregnancy divides the two women and leads to</w:t>
      </w:r>
      <w:r w:rsidR="004B24A6">
        <w:rPr>
          <w:lang w:bidi="he-IL"/>
        </w:rPr>
        <w:t xml:space="preserve"> Hagar’s running </w:t>
      </w:r>
      <w:r>
        <w:rPr>
          <w:lang w:bidi="he-IL"/>
        </w:rPr>
        <w:t xml:space="preserve">away. </w:t>
      </w:r>
    </w:p>
    <w:p w14:paraId="4ABAA322" w14:textId="77777777" w:rsidR="006D676D" w:rsidRDefault="008223DA" w:rsidP="008223DA">
      <w:pPr>
        <w:pStyle w:val="ListParagraph"/>
        <w:ind w:left="720" w:firstLine="0"/>
        <w:rPr>
          <w:lang w:bidi="he-IL"/>
        </w:rPr>
      </w:pPr>
      <w:r>
        <w:rPr>
          <w:lang w:bidi="he-IL"/>
        </w:rPr>
        <w:t xml:space="preserve">(b) </w:t>
      </w:r>
      <w:r w:rsidR="006D676D">
        <w:rPr>
          <w:lang w:bidi="he-IL"/>
        </w:rPr>
        <w:t>But Yahweh’s envoy finds her</w:t>
      </w:r>
      <w:r w:rsidR="004B24A6">
        <w:rPr>
          <w:lang w:bidi="he-IL"/>
        </w:rPr>
        <w:t xml:space="preserve"> and sends her back with a promise regarding her son, and </w:t>
      </w:r>
      <w:r w:rsidR="006D676D">
        <w:rPr>
          <w:lang w:bidi="he-IL"/>
        </w:rPr>
        <w:t>this promisi</w:t>
      </w:r>
      <w:r>
        <w:rPr>
          <w:lang w:bidi="he-IL"/>
        </w:rPr>
        <w:t>ng leads to Hagar’s naming God.</w:t>
      </w:r>
    </w:p>
    <w:p w14:paraId="751137A6" w14:textId="77777777" w:rsidR="006D676D" w:rsidRDefault="008223DA" w:rsidP="006D676D">
      <w:pPr>
        <w:pStyle w:val="ListParagraph"/>
        <w:numPr>
          <w:ilvl w:val="0"/>
          <w:numId w:val="21"/>
        </w:numPr>
        <w:ind w:left="720"/>
        <w:rPr>
          <w:lang w:bidi="he-IL"/>
        </w:rPr>
      </w:pPr>
      <w:r>
        <w:rPr>
          <w:lang w:bidi="he-IL"/>
        </w:rPr>
        <w:t xml:space="preserve">(a) </w:t>
      </w:r>
      <w:r w:rsidR="006D676D">
        <w:rPr>
          <w:lang w:bidi="he-IL"/>
        </w:rPr>
        <w:t xml:space="preserve">The eventual outcome of Sarah’s proposal is </w:t>
      </w:r>
      <w:r>
        <w:rPr>
          <w:lang w:bidi="he-IL"/>
        </w:rPr>
        <w:t xml:space="preserve">thus </w:t>
      </w:r>
      <w:r w:rsidR="003D56BA">
        <w:rPr>
          <w:lang w:bidi="he-IL"/>
        </w:rPr>
        <w:t>“</w:t>
      </w:r>
      <w:r>
        <w:rPr>
          <w:lang w:bidi="he-IL"/>
        </w:rPr>
        <w:t>Yes, Hagar can have a baby,</w:t>
      </w:r>
      <w:r w:rsidR="003D56BA">
        <w:rPr>
          <w:lang w:bidi="he-IL"/>
        </w:rPr>
        <w:t>”</w:t>
      </w:r>
      <w:r>
        <w:rPr>
          <w:lang w:bidi="he-IL"/>
        </w:rPr>
        <w:t xml:space="preserve"> and the p</w:t>
      </w:r>
      <w:r w:rsidR="006D676D">
        <w:rPr>
          <w:lang w:bidi="he-IL"/>
        </w:rPr>
        <w:t xml:space="preserve">roblem </w:t>
      </w:r>
      <w:r>
        <w:rPr>
          <w:lang w:bidi="he-IL"/>
        </w:rPr>
        <w:t xml:space="preserve">is thus </w:t>
      </w:r>
      <w:r w:rsidR="006D676D">
        <w:rPr>
          <w:lang w:bidi="he-IL"/>
        </w:rPr>
        <w:t xml:space="preserve">solved. </w:t>
      </w:r>
    </w:p>
    <w:p w14:paraId="3090D584" w14:textId="72D0FCED" w:rsidR="006D676D" w:rsidRDefault="006D676D" w:rsidP="008223DA">
      <w:pPr>
        <w:pStyle w:val="ListParagraph"/>
        <w:numPr>
          <w:ilvl w:val="0"/>
          <w:numId w:val="48"/>
        </w:numPr>
        <w:rPr>
          <w:lang w:bidi="he-IL"/>
        </w:rPr>
      </w:pPr>
      <w:r>
        <w:rPr>
          <w:lang w:bidi="he-IL"/>
        </w:rPr>
        <w:t xml:space="preserve">Except that the solution will turn out to be not God’s solution. See </w:t>
      </w:r>
      <w:r w:rsidR="00880E7B">
        <w:rPr>
          <w:lang w:bidi="he-IL"/>
        </w:rPr>
        <w:t>Gen</w:t>
      </w:r>
      <w:r>
        <w:rPr>
          <w:lang w:bidi="he-IL"/>
        </w:rPr>
        <w:t xml:space="preserve"> 17.</w:t>
      </w:r>
    </w:p>
    <w:p w14:paraId="3F5BE652" w14:textId="77777777" w:rsidR="006D676D" w:rsidRDefault="006D676D" w:rsidP="006D676D">
      <w:pPr>
        <w:pStyle w:val="ListParagraph"/>
        <w:ind w:left="0" w:firstLine="720"/>
        <w:rPr>
          <w:lang w:bidi="he-IL"/>
        </w:rPr>
      </w:pPr>
    </w:p>
    <w:p w14:paraId="439FA890" w14:textId="77777777" w:rsidR="006D676D" w:rsidRDefault="008223DA" w:rsidP="006D676D">
      <w:pPr>
        <w:pStyle w:val="ListParagraph"/>
        <w:ind w:left="0" w:firstLine="0"/>
        <w:rPr>
          <w:lang w:bidi="he-IL"/>
        </w:rPr>
      </w:pPr>
      <w:r>
        <w:rPr>
          <w:lang w:bidi="he-IL"/>
        </w:rPr>
        <w:t>The story thus involves</w:t>
      </w:r>
      <w:r w:rsidR="006D676D" w:rsidRPr="006D676D">
        <w:rPr>
          <w:lang w:bidi="he-IL"/>
        </w:rPr>
        <w:t xml:space="preserve"> Sarah, Abra</w:t>
      </w:r>
      <w:r w:rsidR="006D676D">
        <w:rPr>
          <w:lang w:bidi="he-IL"/>
        </w:rPr>
        <w:t>ha</w:t>
      </w:r>
      <w:r w:rsidR="006D676D" w:rsidRPr="006D676D">
        <w:rPr>
          <w:lang w:bidi="he-IL"/>
        </w:rPr>
        <w:t>m, Hagar, Yahweh’s env</w:t>
      </w:r>
      <w:r>
        <w:rPr>
          <w:lang w:bidi="he-IL"/>
        </w:rPr>
        <w:t xml:space="preserve">oy, Yahweh himself, and Ishmael, and it </w:t>
      </w:r>
      <w:r w:rsidR="006D676D">
        <w:rPr>
          <w:lang w:bidi="he-IL"/>
        </w:rPr>
        <w:t>unfolds in six scenes, dominated by conversation:</w:t>
      </w:r>
    </w:p>
    <w:p w14:paraId="5F126ECF" w14:textId="77777777" w:rsidR="006D676D" w:rsidRDefault="006D676D" w:rsidP="006D676D">
      <w:pPr>
        <w:rPr>
          <w:lang w:bidi="he-IL"/>
        </w:rPr>
      </w:pPr>
    </w:p>
    <w:p w14:paraId="6131D483" w14:textId="77777777" w:rsidR="006D676D" w:rsidRDefault="006D676D" w:rsidP="006D676D">
      <w:pPr>
        <w:pStyle w:val="ListParagraph"/>
        <w:numPr>
          <w:ilvl w:val="0"/>
          <w:numId w:val="22"/>
        </w:numPr>
        <w:ind w:left="720"/>
        <w:rPr>
          <w:lang w:bidi="he-IL"/>
        </w:rPr>
      </w:pPr>
      <w:r>
        <w:rPr>
          <w:lang w:bidi="he-IL"/>
        </w:rPr>
        <w:t>Sarah and Abraham: the marriage</w:t>
      </w:r>
      <w:r w:rsidR="0046121A">
        <w:rPr>
          <w:lang w:bidi="he-IL"/>
        </w:rPr>
        <w:t xml:space="preserve"> </w:t>
      </w:r>
      <w:r>
        <w:rPr>
          <w:lang w:bidi="he-IL"/>
        </w:rPr>
        <w:t>relationship (vv. 1-4a)</w:t>
      </w:r>
    </w:p>
    <w:p w14:paraId="4FB29336" w14:textId="77777777" w:rsidR="006D676D" w:rsidRDefault="006D676D" w:rsidP="006D676D">
      <w:pPr>
        <w:pStyle w:val="ListParagraph"/>
        <w:numPr>
          <w:ilvl w:val="0"/>
          <w:numId w:val="22"/>
        </w:numPr>
        <w:ind w:left="720"/>
        <w:rPr>
          <w:lang w:bidi="he-IL"/>
        </w:rPr>
      </w:pPr>
      <w:r>
        <w:rPr>
          <w:lang w:bidi="he-IL"/>
        </w:rPr>
        <w:t>Sarah and Hagar: the friction (vv. 4b-6)</w:t>
      </w:r>
    </w:p>
    <w:p w14:paraId="10C64E7E" w14:textId="77777777" w:rsidR="006D676D" w:rsidRDefault="006D676D" w:rsidP="006D676D">
      <w:pPr>
        <w:pStyle w:val="ListParagraph"/>
        <w:numPr>
          <w:ilvl w:val="0"/>
          <w:numId w:val="22"/>
        </w:numPr>
        <w:ind w:left="720"/>
        <w:rPr>
          <w:lang w:bidi="he-IL"/>
        </w:rPr>
      </w:pPr>
      <w:r>
        <w:rPr>
          <w:lang w:bidi="he-IL"/>
        </w:rPr>
        <w:t>Hagar and the envoy: the finding (vv. 7-9)</w:t>
      </w:r>
    </w:p>
    <w:p w14:paraId="22BE0361" w14:textId="77777777" w:rsidR="006D676D" w:rsidRDefault="006D676D" w:rsidP="006D676D">
      <w:pPr>
        <w:pStyle w:val="ListParagraph"/>
        <w:numPr>
          <w:ilvl w:val="0"/>
          <w:numId w:val="22"/>
        </w:numPr>
        <w:ind w:left="720"/>
        <w:rPr>
          <w:lang w:bidi="he-IL"/>
        </w:rPr>
      </w:pPr>
      <w:r>
        <w:rPr>
          <w:lang w:bidi="he-IL"/>
        </w:rPr>
        <w:t>Hagar and the envoy: the promise (vv. 10-12)</w:t>
      </w:r>
    </w:p>
    <w:p w14:paraId="6E945E47" w14:textId="77777777" w:rsidR="006D676D" w:rsidRDefault="006D676D" w:rsidP="006D676D">
      <w:pPr>
        <w:pStyle w:val="ListParagraph"/>
        <w:numPr>
          <w:ilvl w:val="0"/>
          <w:numId w:val="22"/>
        </w:numPr>
        <w:ind w:left="720"/>
        <w:rPr>
          <w:lang w:bidi="he-IL"/>
        </w:rPr>
      </w:pPr>
      <w:r>
        <w:rPr>
          <w:lang w:bidi="he-IL"/>
        </w:rPr>
        <w:t>Hagar and Yahweh: the naming (vv. 13-14)</w:t>
      </w:r>
    </w:p>
    <w:p w14:paraId="4CF1B2EB" w14:textId="43BFBD3D" w:rsidR="006D676D" w:rsidRDefault="006D676D" w:rsidP="006D676D">
      <w:pPr>
        <w:pStyle w:val="ListParagraph"/>
        <w:numPr>
          <w:ilvl w:val="0"/>
          <w:numId w:val="22"/>
        </w:numPr>
        <w:ind w:left="720"/>
        <w:rPr>
          <w:lang w:bidi="he-IL"/>
        </w:rPr>
      </w:pPr>
      <w:r>
        <w:rPr>
          <w:lang w:bidi="he-IL"/>
        </w:rPr>
        <w:t>Hagar and Ishmael: the birthing (vv. 15-16)</w:t>
      </w:r>
    </w:p>
    <w:p w14:paraId="6F69B537" w14:textId="77777777" w:rsidR="00AD62DB" w:rsidRPr="00495304" w:rsidRDefault="00AD62DB" w:rsidP="00AD62DB">
      <w:pPr>
        <w:pStyle w:val="Heading2"/>
        <w:rPr>
          <w:vertAlign w:val="superscript"/>
          <w:lang w:bidi="he-IL"/>
        </w:rPr>
      </w:pPr>
      <w:r w:rsidRPr="00DA695A">
        <w:rPr>
          <w:lang w:bidi="he-IL"/>
        </w:rPr>
        <w:t>Translation</w:t>
      </w:r>
    </w:p>
    <w:p w14:paraId="4559E2A3" w14:textId="3D095675" w:rsidR="000378BC" w:rsidRDefault="00F3377A" w:rsidP="00F3377A">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w:t>
      </w:r>
      <w:r>
        <w:rPr>
          <w:rFonts w:ascii="Calibri" w:eastAsia="Times New Roman" w:hAnsi="Calibri" w:cs="Times New Roman"/>
          <w:szCs w:val="18"/>
          <w:lang w:val="en-GB" w:bidi="he-IL"/>
        </w:rPr>
        <w:t>No</w:t>
      </w:r>
      <w:r w:rsidR="00BF4EE8">
        <w:rPr>
          <w:rFonts w:ascii="Calibri" w:eastAsia="Times New Roman" w:hAnsi="Calibri" w:cs="Times New Roman"/>
          <w:szCs w:val="18"/>
          <w:lang w:val="en-GB" w:bidi="he-IL"/>
        </w:rPr>
        <w:t>w Śaray</w:t>
      </w:r>
      <w:r w:rsidR="00D44F9E">
        <w:rPr>
          <w:rFonts w:ascii="Calibri" w:eastAsia="Times New Roman" w:hAnsi="Calibri" w:cs="Times New Roman"/>
          <w:szCs w:val="18"/>
          <w:lang w:val="en-GB" w:bidi="he-IL"/>
        </w:rPr>
        <w:t>, Abram’s wife, had not given birth for him, but s</w:t>
      </w:r>
      <w:r w:rsidR="00A31B34">
        <w:rPr>
          <w:rFonts w:ascii="Calibri" w:eastAsia="Times New Roman" w:hAnsi="Calibri" w:cs="Times New Roman"/>
          <w:szCs w:val="18"/>
          <w:lang w:val="en-GB" w:bidi="he-IL"/>
        </w:rPr>
        <w:t>he had a</w:t>
      </w:r>
      <w:r w:rsidR="00BF4EE8">
        <w:rPr>
          <w:rFonts w:ascii="Calibri" w:eastAsia="Times New Roman" w:hAnsi="Calibri" w:cs="Times New Roman"/>
          <w:szCs w:val="18"/>
          <w:lang w:val="en-GB" w:bidi="he-IL"/>
        </w:rPr>
        <w:t xml:space="preserve"> </w:t>
      </w:r>
      <w:r w:rsidR="00A31B34" w:rsidRPr="00A31B34">
        <w:rPr>
          <w:rFonts w:ascii="Calibri" w:eastAsia="Times New Roman" w:hAnsi="Calibri" w:cs="Times New Roman"/>
          <w:szCs w:val="18"/>
          <w:lang w:val="en-GB" w:bidi="he-IL"/>
        </w:rPr>
        <w:t xml:space="preserve">Miṣrite </w:t>
      </w:r>
      <w:r w:rsidR="00BF4EE8">
        <w:rPr>
          <w:rFonts w:ascii="Calibri" w:eastAsia="Times New Roman" w:hAnsi="Calibri" w:cs="Times New Roman"/>
          <w:szCs w:val="18"/>
          <w:lang w:val="en-GB" w:bidi="he-IL"/>
        </w:rPr>
        <w:t>maidservant; her name was Haga</w:t>
      </w:r>
      <w:r w:rsidRPr="00F3377A">
        <w:rPr>
          <w:rFonts w:ascii="Calibri" w:eastAsia="Times New Roman" w:hAnsi="Calibri" w:cs="Times New Roman"/>
          <w:szCs w:val="18"/>
          <w:lang w:val="en-GB" w:bidi="he-IL"/>
        </w:rPr>
        <w:t xml:space="preserve">r. </w:t>
      </w:r>
      <w:r>
        <w:rPr>
          <w:rFonts w:ascii="Calibri" w:eastAsia="Times New Roman" w:hAnsi="Calibri" w:cs="Times New Roman"/>
          <w:szCs w:val="18"/>
          <w:vertAlign w:val="superscript"/>
          <w:lang w:val="en-GB" w:bidi="he-IL"/>
        </w:rPr>
        <w:t>2</w:t>
      </w:r>
      <w:r w:rsidR="00BF4EE8">
        <w:rPr>
          <w:rFonts w:ascii="Calibri" w:eastAsia="Times New Roman" w:hAnsi="Calibri" w:cs="Times New Roman"/>
          <w:szCs w:val="18"/>
          <w:lang w:val="en-GB" w:bidi="he-IL"/>
        </w:rPr>
        <w:t>Śaray</w:t>
      </w:r>
      <w:r w:rsidRPr="00F3377A">
        <w:rPr>
          <w:rFonts w:ascii="Calibri" w:eastAsia="Times New Roman" w:hAnsi="Calibri" w:cs="Times New Roman"/>
          <w:szCs w:val="18"/>
          <w:lang w:val="en-GB" w:bidi="he-IL"/>
        </w:rPr>
        <w:t xml:space="preserve"> said to Abram, </w:t>
      </w:r>
      <w:r w:rsidR="003D56BA">
        <w:rPr>
          <w:rFonts w:ascii="Calibri" w:eastAsia="Times New Roman" w:hAnsi="Calibri" w:cs="Times New Roman"/>
          <w:szCs w:val="18"/>
          <w:lang w:val="en-GB" w:bidi="he-IL"/>
        </w:rPr>
        <w:t>“</w:t>
      </w:r>
      <w:r w:rsidRPr="00F3377A">
        <w:rPr>
          <w:rFonts w:ascii="Calibri" w:eastAsia="Times New Roman" w:hAnsi="Calibri" w:cs="Times New Roman"/>
          <w:szCs w:val="18"/>
          <w:lang w:val="en-GB" w:bidi="he-IL"/>
        </w:rPr>
        <w:t xml:space="preserve">Here, </w:t>
      </w:r>
      <w:r w:rsidR="008C368E">
        <w:rPr>
          <w:rFonts w:ascii="Calibri" w:eastAsia="Times New Roman" w:hAnsi="Calibri" w:cs="Times New Roman"/>
          <w:szCs w:val="18"/>
          <w:lang w:val="en-GB" w:bidi="he-IL"/>
        </w:rPr>
        <w:t xml:space="preserve">please: </w:t>
      </w:r>
      <w:r w:rsidRPr="00F3377A">
        <w:rPr>
          <w:rFonts w:ascii="Calibri" w:eastAsia="Times New Roman" w:hAnsi="Calibri" w:cs="Times New Roman"/>
          <w:szCs w:val="18"/>
          <w:lang w:val="en-GB" w:bidi="he-IL"/>
        </w:rPr>
        <w:t>Yahweh has held me ba</w:t>
      </w:r>
      <w:r w:rsidR="008D05A8">
        <w:rPr>
          <w:rFonts w:ascii="Calibri" w:eastAsia="Times New Roman" w:hAnsi="Calibri" w:cs="Times New Roman"/>
          <w:szCs w:val="18"/>
          <w:lang w:val="en-GB" w:bidi="he-IL"/>
        </w:rPr>
        <w:t>ck from giving birth. Sleep</w:t>
      </w:r>
      <w:r w:rsidRPr="00F3377A">
        <w:rPr>
          <w:rFonts w:ascii="Calibri" w:eastAsia="Times New Roman" w:hAnsi="Calibri" w:cs="Times New Roman"/>
          <w:szCs w:val="18"/>
          <w:lang w:val="en-GB" w:bidi="he-IL"/>
        </w:rPr>
        <w:t xml:space="preserve"> with</w:t>
      </w:r>
      <w:r w:rsidR="00D44F9E">
        <w:rPr>
          <w:rStyle w:val="FootnoteReference"/>
          <w:rFonts w:ascii="Calibri" w:eastAsia="Times New Roman" w:hAnsi="Calibri" w:cs="Times New Roman"/>
          <w:szCs w:val="18"/>
          <w:lang w:val="en-GB" w:bidi="he-IL"/>
        </w:rPr>
        <w:footnoteReference w:id="232"/>
      </w:r>
      <w:r w:rsidRPr="00F3377A">
        <w:rPr>
          <w:rFonts w:ascii="Calibri" w:eastAsia="Times New Roman" w:hAnsi="Calibri" w:cs="Times New Roman"/>
          <w:szCs w:val="18"/>
          <w:lang w:val="en-GB" w:bidi="he-IL"/>
        </w:rPr>
        <w:t xml:space="preserve"> my maidservant</w:t>
      </w:r>
      <w:r w:rsidR="008C368E">
        <w:rPr>
          <w:rFonts w:ascii="Calibri" w:eastAsia="Times New Roman" w:hAnsi="Calibri" w:cs="Times New Roman"/>
          <w:szCs w:val="18"/>
          <w:lang w:val="en-GB" w:bidi="he-IL"/>
        </w:rPr>
        <w:t>, please</w:t>
      </w:r>
      <w:r w:rsidR="006B22B2">
        <w:rPr>
          <w:rFonts w:ascii="Calibri" w:eastAsia="Times New Roman" w:hAnsi="Calibri" w:cs="Times New Roman"/>
          <w:szCs w:val="18"/>
          <w:lang w:val="en-GB" w:bidi="he-IL"/>
        </w:rPr>
        <w:t>; maybe I can build myself</w:t>
      </w:r>
      <w:r w:rsidRPr="00F3377A">
        <w:rPr>
          <w:rFonts w:ascii="Calibri" w:eastAsia="Times New Roman" w:hAnsi="Calibri" w:cs="Times New Roman"/>
          <w:szCs w:val="18"/>
          <w:lang w:val="en-GB" w:bidi="he-IL"/>
        </w:rPr>
        <w:t xml:space="preserve"> up</w:t>
      </w:r>
      <w:r w:rsidR="00BA121B">
        <w:rPr>
          <w:rStyle w:val="FootnoteReference"/>
          <w:rFonts w:ascii="Calibri" w:eastAsia="Times New Roman" w:hAnsi="Calibri" w:cs="Times New Roman"/>
          <w:szCs w:val="18"/>
          <w:lang w:val="en-GB" w:bidi="he-IL"/>
        </w:rPr>
        <w:footnoteReference w:id="233"/>
      </w:r>
      <w:r w:rsidRPr="00F3377A">
        <w:rPr>
          <w:rFonts w:ascii="Calibri" w:eastAsia="Times New Roman" w:hAnsi="Calibri" w:cs="Times New Roman"/>
          <w:szCs w:val="18"/>
          <w:lang w:val="en-GB" w:bidi="he-IL"/>
        </w:rPr>
        <w:t xml:space="preserve"> through her.</w:t>
      </w:r>
      <w:r w:rsidR="003D56BA">
        <w:rPr>
          <w:rFonts w:ascii="Calibri" w:eastAsia="Times New Roman" w:hAnsi="Calibri" w:cs="Times New Roman"/>
          <w:szCs w:val="18"/>
          <w:lang w:val="en-GB" w:bidi="he-IL"/>
        </w:rPr>
        <w:t>”</w:t>
      </w:r>
      <w:r w:rsidR="00BF4EE8">
        <w:rPr>
          <w:rFonts w:ascii="Calibri" w:eastAsia="Times New Roman" w:hAnsi="Calibri" w:cs="Times New Roman"/>
          <w:szCs w:val="18"/>
          <w:lang w:val="en-GB" w:bidi="he-IL"/>
        </w:rPr>
        <w:t xml:space="preserve"> Abram listened to Śaray</w:t>
      </w:r>
      <w:r w:rsidRPr="00F3377A">
        <w:rPr>
          <w:rFonts w:ascii="Calibri" w:eastAsia="Times New Roman" w:hAnsi="Calibri" w:cs="Times New Roman"/>
          <w:szCs w:val="18"/>
          <w:lang w:val="en-GB" w:bidi="he-IL"/>
        </w:rPr>
        <w:t>’</w:t>
      </w:r>
      <w:r w:rsidR="00880E7B">
        <w:rPr>
          <w:rFonts w:ascii="Calibri" w:eastAsia="Times New Roman" w:hAnsi="Calibri" w:cs="Times New Roman"/>
          <w:szCs w:val="18"/>
          <w:lang w:val="en-GB" w:bidi="he-IL"/>
        </w:rPr>
        <w:t>s voice,</w:t>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3</w:t>
      </w:r>
      <w:r w:rsidR="00880E7B">
        <w:rPr>
          <w:rFonts w:ascii="Calibri" w:eastAsia="Times New Roman" w:hAnsi="Calibri" w:cs="Times New Roman"/>
          <w:szCs w:val="18"/>
          <w:lang w:val="en-GB" w:bidi="he-IL"/>
        </w:rPr>
        <w:t>and</w:t>
      </w:r>
      <w:r w:rsidR="006B22B2">
        <w:rPr>
          <w:rFonts w:ascii="Calibri" w:eastAsia="Times New Roman" w:hAnsi="Calibri" w:cs="Times New Roman"/>
          <w:szCs w:val="18"/>
          <w:lang w:val="en-GB" w:bidi="he-IL"/>
        </w:rPr>
        <w:t xml:space="preserve"> </w:t>
      </w:r>
      <w:r w:rsidR="006B22B2" w:rsidRPr="006B22B2">
        <w:rPr>
          <w:rFonts w:ascii="Calibri" w:eastAsia="Times New Roman" w:hAnsi="Calibri" w:cs="Times New Roman"/>
          <w:szCs w:val="18"/>
          <w:lang w:val="en-GB" w:bidi="he-IL"/>
        </w:rPr>
        <w:t>Ś</w:t>
      </w:r>
      <w:r w:rsidR="00BF4EE8">
        <w:rPr>
          <w:rFonts w:ascii="Calibri" w:eastAsia="Times New Roman" w:hAnsi="Calibri" w:cs="Times New Roman"/>
          <w:szCs w:val="18"/>
          <w:lang w:val="en-GB" w:bidi="he-IL"/>
        </w:rPr>
        <w:t>aray</w:t>
      </w:r>
      <w:r w:rsidRPr="00F3377A">
        <w:rPr>
          <w:rFonts w:ascii="Calibri" w:eastAsia="Times New Roman" w:hAnsi="Calibri" w:cs="Times New Roman"/>
          <w:szCs w:val="18"/>
          <w:lang w:val="en-GB" w:bidi="he-IL"/>
        </w:rPr>
        <w:t>, Abra</w:t>
      </w:r>
      <w:r w:rsidR="00BF4EE8">
        <w:rPr>
          <w:rFonts w:ascii="Calibri" w:eastAsia="Times New Roman" w:hAnsi="Calibri" w:cs="Times New Roman"/>
          <w:szCs w:val="18"/>
          <w:lang w:val="en-GB" w:bidi="he-IL"/>
        </w:rPr>
        <w:t>m’s wife, got Hagar the Miṣrite</w:t>
      </w:r>
      <w:r w:rsidR="006B22B2">
        <w:rPr>
          <w:rFonts w:ascii="Calibri" w:eastAsia="Times New Roman" w:hAnsi="Calibri" w:cs="Times New Roman"/>
          <w:szCs w:val="18"/>
          <w:lang w:val="en-GB" w:bidi="he-IL"/>
        </w:rPr>
        <w:t>, her maidservant (at the end of ten years of</w:t>
      </w:r>
      <w:r w:rsidRPr="00F3377A">
        <w:rPr>
          <w:rFonts w:ascii="Calibri" w:eastAsia="Times New Roman" w:hAnsi="Calibri" w:cs="Times New Roman"/>
          <w:szCs w:val="18"/>
          <w:lang w:val="en-GB" w:bidi="he-IL"/>
        </w:rPr>
        <w:t xml:space="preserve"> Abram</w:t>
      </w:r>
      <w:r w:rsidR="006B22B2">
        <w:rPr>
          <w:rFonts w:ascii="Calibri" w:eastAsia="Times New Roman" w:hAnsi="Calibri" w:cs="Times New Roman"/>
          <w:szCs w:val="18"/>
          <w:lang w:val="en-GB" w:bidi="he-IL"/>
        </w:rPr>
        <w:t>’s</w:t>
      </w:r>
      <w:r w:rsidR="00BF4EE8">
        <w:rPr>
          <w:rFonts w:ascii="Calibri" w:eastAsia="Times New Roman" w:hAnsi="Calibri" w:cs="Times New Roman"/>
          <w:szCs w:val="18"/>
          <w:lang w:val="en-GB" w:bidi="he-IL"/>
        </w:rPr>
        <w:t xml:space="preserve"> living in the country of Kena‘an</w:t>
      </w:r>
      <w:r w:rsidRPr="00F3377A">
        <w:rPr>
          <w:rFonts w:ascii="Calibri" w:eastAsia="Times New Roman" w:hAnsi="Calibri" w:cs="Times New Roman"/>
          <w:szCs w:val="18"/>
          <w:lang w:val="en-GB" w:bidi="he-IL"/>
        </w:rPr>
        <w:t xml:space="preserve">), and gave her to Abram </w:t>
      </w:r>
      <w:r>
        <w:rPr>
          <w:rFonts w:ascii="Calibri" w:eastAsia="Times New Roman" w:hAnsi="Calibri" w:cs="Times New Roman"/>
          <w:szCs w:val="18"/>
          <w:lang w:val="en-GB" w:bidi="he-IL"/>
        </w:rPr>
        <w:t>her husband as a wife</w:t>
      </w:r>
      <w:r w:rsidR="006B22B2">
        <w:rPr>
          <w:rFonts w:ascii="Calibri" w:eastAsia="Times New Roman" w:hAnsi="Calibri" w:cs="Times New Roman"/>
          <w:szCs w:val="18"/>
          <w:lang w:val="en-GB" w:bidi="he-IL"/>
        </w:rPr>
        <w:t xml:space="preserve"> for him</w:t>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4</w:t>
      </w:r>
      <w:r w:rsidR="008D05A8">
        <w:rPr>
          <w:rFonts w:ascii="Calibri" w:eastAsia="Times New Roman" w:hAnsi="Calibri" w:cs="Times New Roman"/>
          <w:szCs w:val="18"/>
          <w:lang w:val="en-GB" w:bidi="he-IL"/>
        </w:rPr>
        <w:t>He slept</w:t>
      </w:r>
      <w:r w:rsidRPr="00F3377A">
        <w:rPr>
          <w:rFonts w:ascii="Calibri" w:eastAsia="Times New Roman" w:hAnsi="Calibri" w:cs="Times New Roman"/>
          <w:szCs w:val="18"/>
          <w:lang w:val="en-GB" w:bidi="he-IL"/>
        </w:rPr>
        <w:t xml:space="preserve"> wi</w:t>
      </w:r>
      <w:r w:rsidR="006B22B2">
        <w:rPr>
          <w:rFonts w:ascii="Calibri" w:eastAsia="Times New Roman" w:hAnsi="Calibri" w:cs="Times New Roman"/>
          <w:szCs w:val="18"/>
          <w:lang w:val="en-GB" w:bidi="he-IL"/>
        </w:rPr>
        <w:t xml:space="preserve">th Hagar and she got pregnant. </w:t>
      </w:r>
    </w:p>
    <w:p w14:paraId="2458512C" w14:textId="29C69DC2" w:rsidR="00F3377A" w:rsidRPr="00F3377A" w:rsidRDefault="000378BC" w:rsidP="00F3377A">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4b</w:t>
      </w:r>
      <w:r w:rsidR="00047A44">
        <w:rPr>
          <w:rFonts w:ascii="Calibri" w:eastAsia="Times New Roman" w:hAnsi="Calibri" w:cs="Times New Roman"/>
          <w:szCs w:val="18"/>
          <w:lang w:val="en-GB" w:bidi="he-IL"/>
        </w:rPr>
        <w:t>S</w:t>
      </w:r>
      <w:r w:rsidR="00F3377A" w:rsidRPr="00F3377A">
        <w:rPr>
          <w:rFonts w:ascii="Calibri" w:eastAsia="Times New Roman" w:hAnsi="Calibri" w:cs="Times New Roman"/>
          <w:szCs w:val="18"/>
          <w:lang w:val="en-GB" w:bidi="he-IL"/>
        </w:rPr>
        <w:t xml:space="preserve">he saw that she was pregnant, </w:t>
      </w:r>
      <w:r w:rsidR="00047A44">
        <w:rPr>
          <w:rFonts w:ascii="Calibri" w:eastAsia="Times New Roman" w:hAnsi="Calibri" w:cs="Times New Roman"/>
          <w:szCs w:val="18"/>
          <w:lang w:val="en-GB" w:bidi="he-IL"/>
        </w:rPr>
        <w:t xml:space="preserve">and </w:t>
      </w:r>
      <w:r w:rsidR="00F3377A" w:rsidRPr="00F3377A">
        <w:rPr>
          <w:rFonts w:ascii="Calibri" w:eastAsia="Times New Roman" w:hAnsi="Calibri" w:cs="Times New Roman"/>
          <w:szCs w:val="18"/>
          <w:lang w:val="en-GB" w:bidi="he-IL"/>
        </w:rPr>
        <w:t>her mistress becam</w:t>
      </w:r>
      <w:r w:rsidR="001F57B1">
        <w:rPr>
          <w:rFonts w:ascii="Calibri" w:eastAsia="Times New Roman" w:hAnsi="Calibri" w:cs="Times New Roman"/>
          <w:szCs w:val="18"/>
          <w:lang w:val="en-GB" w:bidi="he-IL"/>
        </w:rPr>
        <w:t xml:space="preserve">e diminished </w:t>
      </w:r>
      <w:r>
        <w:rPr>
          <w:rFonts w:ascii="Calibri" w:eastAsia="Times New Roman" w:hAnsi="Calibri" w:cs="Times New Roman"/>
          <w:szCs w:val="18"/>
          <w:lang w:val="en-GB" w:bidi="he-IL"/>
        </w:rPr>
        <w:t>in her eyes.</w:t>
      </w:r>
      <w:r w:rsidR="00880E7B">
        <w:rPr>
          <w:rFonts w:ascii="Calibri" w:eastAsia="Times New Roman" w:hAnsi="Calibri" w:cs="Times New Roman"/>
          <w:szCs w:val="18"/>
          <w:lang w:val="en-GB" w:bidi="he-IL"/>
        </w:rPr>
        <w:t xml:space="preserve"> </w:t>
      </w:r>
      <w:r w:rsidR="00F3377A">
        <w:rPr>
          <w:rFonts w:ascii="Calibri" w:eastAsia="Times New Roman" w:hAnsi="Calibri" w:cs="Times New Roman"/>
          <w:szCs w:val="18"/>
          <w:vertAlign w:val="superscript"/>
          <w:lang w:val="en-GB" w:bidi="he-IL"/>
        </w:rPr>
        <w:t>5</w:t>
      </w:r>
      <w:r w:rsidR="00BF4EE8">
        <w:rPr>
          <w:rFonts w:ascii="Calibri" w:eastAsia="Times New Roman" w:hAnsi="Calibri" w:cs="Times New Roman"/>
          <w:szCs w:val="18"/>
          <w:lang w:val="en-GB" w:bidi="he-IL"/>
        </w:rPr>
        <w:t>Śaray</w:t>
      </w:r>
      <w:r w:rsidR="001E6C6A">
        <w:rPr>
          <w:rFonts w:ascii="Calibri" w:eastAsia="Times New Roman" w:hAnsi="Calibri" w:cs="Times New Roman"/>
          <w:szCs w:val="18"/>
          <w:lang w:val="en-GB" w:bidi="he-IL"/>
        </w:rPr>
        <w:t xml:space="preserve"> said to Abram, </w:t>
      </w:r>
      <w:r w:rsidR="003D56BA">
        <w:rPr>
          <w:rFonts w:ascii="Calibri" w:eastAsia="Times New Roman" w:hAnsi="Calibri" w:cs="Times New Roman"/>
          <w:szCs w:val="18"/>
          <w:lang w:val="en-GB" w:bidi="he-IL"/>
        </w:rPr>
        <w:t>“</w:t>
      </w:r>
      <w:r w:rsidR="00472423">
        <w:rPr>
          <w:rFonts w:ascii="Calibri" w:eastAsia="Times New Roman" w:hAnsi="Calibri" w:cs="Times New Roman"/>
          <w:szCs w:val="18"/>
          <w:lang w:val="en-GB" w:bidi="he-IL"/>
        </w:rPr>
        <w:t>The violation</w:t>
      </w:r>
      <w:r w:rsidR="00DB440C">
        <w:rPr>
          <w:rFonts w:ascii="Calibri" w:eastAsia="Times New Roman" w:hAnsi="Calibri" w:cs="Times New Roman"/>
          <w:szCs w:val="18"/>
          <w:lang w:val="en-GB" w:bidi="he-IL"/>
        </w:rPr>
        <w:t xml:space="preserve"> done to me is because of</w:t>
      </w:r>
      <w:r w:rsidR="00F3377A" w:rsidRPr="00F3377A">
        <w:rPr>
          <w:rFonts w:ascii="Calibri" w:eastAsia="Times New Roman" w:hAnsi="Calibri" w:cs="Times New Roman"/>
          <w:szCs w:val="18"/>
          <w:lang w:val="en-GB" w:bidi="he-IL"/>
        </w:rPr>
        <w:t xml:space="preserve"> you. I myself put my maidservant in your arms, she’s seen that she’s pregnant,</w:t>
      </w:r>
      <w:r w:rsidR="001F57B1">
        <w:rPr>
          <w:rFonts w:ascii="Calibri" w:eastAsia="Times New Roman" w:hAnsi="Calibri" w:cs="Times New Roman"/>
          <w:szCs w:val="18"/>
          <w:lang w:val="en-GB" w:bidi="he-IL"/>
        </w:rPr>
        <w:t xml:space="preserve"> and I’ve become diminished</w:t>
      </w:r>
      <w:r w:rsidR="00F3377A" w:rsidRPr="00F3377A">
        <w:rPr>
          <w:rFonts w:ascii="Calibri" w:eastAsia="Times New Roman" w:hAnsi="Calibri" w:cs="Times New Roman"/>
          <w:szCs w:val="18"/>
          <w:lang w:val="en-GB" w:bidi="he-IL"/>
        </w:rPr>
        <w:t xml:space="preserve"> in her eyes. Ya</w:t>
      </w:r>
      <w:r w:rsidR="001E6C6A">
        <w:rPr>
          <w:rFonts w:ascii="Calibri" w:eastAsia="Times New Roman" w:hAnsi="Calibri" w:cs="Times New Roman"/>
          <w:szCs w:val="18"/>
          <w:lang w:val="en-GB" w:bidi="he-IL"/>
        </w:rPr>
        <w:t>hweh decide between me and you!</w:t>
      </w:r>
      <w:r w:rsidR="003D56BA">
        <w:rPr>
          <w:rFonts w:ascii="Calibri" w:eastAsia="Times New Roman" w:hAnsi="Calibri" w:cs="Times New Roman"/>
          <w:szCs w:val="18"/>
          <w:lang w:val="en-GB" w:bidi="he-IL"/>
        </w:rPr>
        <w:t>”</w:t>
      </w:r>
      <w:r w:rsidR="00F3377A" w:rsidRPr="00F3377A">
        <w:rPr>
          <w:rFonts w:ascii="Calibri" w:eastAsia="Times New Roman" w:hAnsi="Calibri" w:cs="Times New Roman"/>
          <w:szCs w:val="18"/>
          <w:lang w:val="en-GB" w:bidi="he-IL"/>
        </w:rPr>
        <w:t xml:space="preserve"> </w:t>
      </w:r>
      <w:r w:rsidR="00F3377A">
        <w:rPr>
          <w:rFonts w:ascii="Calibri" w:eastAsia="Times New Roman" w:hAnsi="Calibri" w:cs="Times New Roman"/>
          <w:szCs w:val="18"/>
          <w:vertAlign w:val="superscript"/>
          <w:lang w:val="en-GB" w:bidi="he-IL"/>
        </w:rPr>
        <w:t>6</w:t>
      </w:r>
      <w:r w:rsidR="006903F4">
        <w:rPr>
          <w:rFonts w:ascii="Calibri" w:eastAsia="Times New Roman" w:hAnsi="Calibri" w:cs="Times New Roman"/>
          <w:szCs w:val="18"/>
          <w:lang w:val="en-GB" w:bidi="he-IL"/>
        </w:rPr>
        <w:t>Abram said to Śaray</w:t>
      </w:r>
      <w:r w:rsidR="00F3377A" w:rsidRPr="00F3377A">
        <w:rPr>
          <w:rFonts w:ascii="Calibri" w:eastAsia="Times New Roman" w:hAnsi="Calibri" w:cs="Times New Roman"/>
          <w:szCs w:val="18"/>
          <w:lang w:val="en-GB" w:bidi="he-IL"/>
        </w:rPr>
        <w:t xml:space="preserve">, </w:t>
      </w:r>
      <w:r w:rsidR="003D56BA">
        <w:rPr>
          <w:rFonts w:ascii="Calibri" w:eastAsia="Times New Roman" w:hAnsi="Calibri" w:cs="Times New Roman"/>
          <w:szCs w:val="18"/>
          <w:lang w:val="en-GB" w:bidi="he-IL"/>
        </w:rPr>
        <w:t>“</w:t>
      </w:r>
      <w:r w:rsidR="00F3377A" w:rsidRPr="00F3377A">
        <w:rPr>
          <w:rFonts w:ascii="Calibri" w:eastAsia="Times New Roman" w:hAnsi="Calibri" w:cs="Times New Roman"/>
          <w:szCs w:val="18"/>
          <w:lang w:val="en-GB" w:bidi="he-IL"/>
        </w:rPr>
        <w:t>Here, your maidservant is in your hand. Do to her what’s good in your eyes.</w:t>
      </w:r>
      <w:r w:rsidR="003D56BA">
        <w:rPr>
          <w:rFonts w:ascii="Calibri" w:eastAsia="Times New Roman" w:hAnsi="Calibri" w:cs="Times New Roman"/>
          <w:szCs w:val="18"/>
          <w:lang w:val="en-GB" w:bidi="he-IL"/>
        </w:rPr>
        <w:t>”</w:t>
      </w:r>
      <w:r w:rsidR="00863E94">
        <w:rPr>
          <w:rFonts w:ascii="Calibri" w:eastAsia="Times New Roman" w:hAnsi="Calibri" w:cs="Times New Roman"/>
          <w:szCs w:val="18"/>
          <w:lang w:val="en-GB" w:bidi="he-IL"/>
        </w:rPr>
        <w:t xml:space="preserve"> </w:t>
      </w:r>
      <w:r w:rsidR="000B1B63">
        <w:rPr>
          <w:rFonts w:ascii="Calibri" w:eastAsia="Times New Roman" w:hAnsi="Calibri" w:cs="Times New Roman"/>
          <w:szCs w:val="18"/>
          <w:lang w:val="en-GB" w:bidi="he-IL"/>
        </w:rPr>
        <w:t xml:space="preserve">So </w:t>
      </w:r>
      <w:r w:rsidR="00863E94">
        <w:rPr>
          <w:rFonts w:ascii="Calibri" w:eastAsia="Times New Roman" w:hAnsi="Calibri" w:cs="Times New Roman"/>
          <w:szCs w:val="18"/>
          <w:lang w:val="en-GB" w:bidi="he-IL"/>
        </w:rPr>
        <w:t>Śaray</w:t>
      </w:r>
      <w:r w:rsidR="00F3377A" w:rsidRPr="00F3377A">
        <w:rPr>
          <w:rFonts w:ascii="Calibri" w:eastAsia="Times New Roman" w:hAnsi="Calibri" w:cs="Times New Roman"/>
          <w:szCs w:val="18"/>
          <w:lang w:val="en-GB" w:bidi="he-IL"/>
        </w:rPr>
        <w:t xml:space="preserve"> humbled her, and she took flight from her. </w:t>
      </w:r>
    </w:p>
    <w:p w14:paraId="6B2EC32C" w14:textId="77777777" w:rsidR="001E6C6A" w:rsidRDefault="00F3377A" w:rsidP="00F3377A">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7</w:t>
      </w:r>
      <w:r w:rsidR="001E6C6A">
        <w:rPr>
          <w:rFonts w:ascii="Calibri" w:eastAsia="Times New Roman" w:hAnsi="Calibri" w:cs="Times New Roman"/>
          <w:szCs w:val="18"/>
          <w:lang w:val="en-GB" w:bidi="he-IL"/>
        </w:rPr>
        <w:t>But Y</w:t>
      </w:r>
      <w:r w:rsidR="000A6A55">
        <w:rPr>
          <w:rFonts w:ascii="Calibri" w:eastAsia="Times New Roman" w:hAnsi="Calibri" w:cs="Times New Roman"/>
          <w:szCs w:val="18"/>
          <w:lang w:val="en-GB" w:bidi="he-IL"/>
        </w:rPr>
        <w:t>ahweh’s envoy found her near</w:t>
      </w:r>
      <w:r w:rsidRPr="00F3377A">
        <w:rPr>
          <w:rFonts w:ascii="Calibri" w:eastAsia="Times New Roman" w:hAnsi="Calibri" w:cs="Times New Roman"/>
          <w:szCs w:val="18"/>
          <w:lang w:val="en-GB" w:bidi="he-IL"/>
        </w:rPr>
        <w:t xml:space="preserve"> a </w:t>
      </w:r>
      <w:r w:rsidR="000D21A7">
        <w:rPr>
          <w:rFonts w:ascii="Calibri" w:eastAsia="Times New Roman" w:hAnsi="Calibri" w:cs="Times New Roman"/>
          <w:szCs w:val="18"/>
          <w:lang w:val="en-GB" w:bidi="he-IL"/>
        </w:rPr>
        <w:t xml:space="preserve">certain </w:t>
      </w:r>
      <w:r w:rsidR="0014612C">
        <w:rPr>
          <w:rFonts w:ascii="Calibri" w:eastAsia="Times New Roman" w:hAnsi="Calibri" w:cs="Times New Roman"/>
          <w:szCs w:val="18"/>
          <w:lang w:val="en-GB" w:bidi="he-IL"/>
        </w:rPr>
        <w:t>water spring</w:t>
      </w:r>
      <w:r w:rsidR="000D21A7">
        <w:rPr>
          <w:rStyle w:val="FootnoteReference"/>
          <w:rFonts w:ascii="Calibri" w:eastAsia="Times New Roman" w:hAnsi="Calibri" w:cs="Times New Roman"/>
          <w:szCs w:val="18"/>
          <w:lang w:val="en-GB" w:bidi="he-IL"/>
        </w:rPr>
        <w:footnoteReference w:id="234"/>
      </w:r>
      <w:r w:rsidR="0014612C">
        <w:rPr>
          <w:rFonts w:ascii="Calibri" w:eastAsia="Times New Roman" w:hAnsi="Calibri" w:cs="Times New Roman"/>
          <w:szCs w:val="18"/>
          <w:lang w:val="en-GB" w:bidi="he-IL"/>
        </w:rPr>
        <w:t xml:space="preserve"> </w:t>
      </w:r>
      <w:r w:rsidR="000A6A55">
        <w:rPr>
          <w:rFonts w:ascii="Calibri" w:eastAsia="Times New Roman" w:hAnsi="Calibri" w:cs="Times New Roman"/>
          <w:szCs w:val="18"/>
          <w:lang w:val="en-GB" w:bidi="he-IL"/>
        </w:rPr>
        <w:t>in the wilderness, near</w:t>
      </w:r>
      <w:r w:rsidRPr="00F3377A">
        <w:rPr>
          <w:rFonts w:ascii="Calibri" w:eastAsia="Times New Roman" w:hAnsi="Calibri" w:cs="Times New Roman"/>
          <w:szCs w:val="18"/>
          <w:lang w:val="en-GB" w:bidi="he-IL"/>
        </w:rPr>
        <w:t xml:space="preserve"> the spring on the </w:t>
      </w:r>
      <w:r>
        <w:rPr>
          <w:rFonts w:ascii="Calibri" w:eastAsia="Times New Roman" w:hAnsi="Calibri" w:cs="Times New Roman"/>
          <w:szCs w:val="18"/>
          <w:lang w:val="en-GB" w:bidi="he-IL"/>
        </w:rPr>
        <w:t>Š</w:t>
      </w:r>
      <w:r w:rsidRPr="00F3377A">
        <w:rPr>
          <w:rFonts w:ascii="Calibri" w:eastAsia="Times New Roman" w:hAnsi="Calibri" w:cs="Times New Roman"/>
          <w:szCs w:val="18"/>
          <w:lang w:val="en-GB" w:bidi="he-IL"/>
        </w:rPr>
        <w:t xml:space="preserve">ur road. </w:t>
      </w:r>
      <w:r>
        <w:rPr>
          <w:rFonts w:ascii="Calibri" w:eastAsia="Times New Roman" w:hAnsi="Calibri" w:cs="Times New Roman"/>
          <w:szCs w:val="18"/>
          <w:vertAlign w:val="superscript"/>
          <w:lang w:val="en-GB" w:bidi="he-IL"/>
        </w:rPr>
        <w:t>8</w:t>
      </w:r>
      <w:r w:rsidRPr="00F3377A">
        <w:rPr>
          <w:rFonts w:ascii="Calibri" w:eastAsia="Times New Roman" w:hAnsi="Calibri" w:cs="Times New Roman"/>
          <w:szCs w:val="18"/>
          <w:lang w:val="en-GB" w:bidi="he-IL"/>
        </w:rPr>
        <w:t xml:space="preserve">He said, </w:t>
      </w:r>
      <w:r w:rsidR="003D56BA">
        <w:rPr>
          <w:rFonts w:ascii="Calibri" w:eastAsia="Times New Roman" w:hAnsi="Calibri" w:cs="Times New Roman"/>
          <w:szCs w:val="18"/>
          <w:lang w:val="en-GB" w:bidi="he-IL"/>
        </w:rPr>
        <w:t>“</w:t>
      </w:r>
      <w:r w:rsidR="00863E94">
        <w:rPr>
          <w:rFonts w:ascii="Calibri" w:eastAsia="Times New Roman" w:hAnsi="Calibri" w:cs="Times New Roman"/>
          <w:szCs w:val="18"/>
          <w:lang w:val="en-GB" w:bidi="he-IL"/>
        </w:rPr>
        <w:t>Hagar, maidservant of Śaray</w:t>
      </w:r>
      <w:r w:rsidRPr="00F3377A">
        <w:rPr>
          <w:rFonts w:ascii="Calibri" w:eastAsia="Times New Roman" w:hAnsi="Calibri" w:cs="Times New Roman"/>
          <w:szCs w:val="18"/>
          <w:lang w:val="en-GB" w:bidi="he-IL"/>
        </w:rPr>
        <w:t>, where have you come from</w:t>
      </w:r>
      <w:r w:rsidR="00E36E51">
        <w:rPr>
          <w:rStyle w:val="FootnoteReference"/>
          <w:rFonts w:ascii="Calibri" w:eastAsia="Times New Roman" w:hAnsi="Calibri" w:cs="Times New Roman"/>
          <w:szCs w:val="18"/>
          <w:lang w:val="en-GB" w:bidi="he-IL"/>
        </w:rPr>
        <w:footnoteReference w:id="235"/>
      </w:r>
      <w:r w:rsidRPr="00F3377A">
        <w:rPr>
          <w:rFonts w:ascii="Calibri" w:eastAsia="Times New Roman" w:hAnsi="Calibri" w:cs="Times New Roman"/>
          <w:szCs w:val="18"/>
          <w:lang w:val="en-GB" w:bidi="he-IL"/>
        </w:rPr>
        <w:t xml:space="preserve"> and where are </w:t>
      </w:r>
      <w:r w:rsidRPr="00F3377A">
        <w:rPr>
          <w:rFonts w:ascii="Calibri" w:eastAsia="Times New Roman" w:hAnsi="Calibri" w:cs="Times New Roman"/>
          <w:szCs w:val="18"/>
          <w:lang w:val="en-GB" w:bidi="he-IL"/>
        </w:rPr>
        <w:lastRenderedPageBreak/>
        <w:t>you going?</w:t>
      </w:r>
      <w:r w:rsidR="003D56BA">
        <w:rPr>
          <w:rFonts w:ascii="Calibri" w:eastAsia="Times New Roman" w:hAnsi="Calibri" w:cs="Times New Roman"/>
          <w:szCs w:val="18"/>
          <w:lang w:val="en-GB" w:bidi="he-IL"/>
        </w:rPr>
        <w:t>”</w:t>
      </w:r>
      <w:r w:rsidRPr="00F3377A">
        <w:rPr>
          <w:rFonts w:ascii="Calibri" w:eastAsia="Times New Roman" w:hAnsi="Calibri" w:cs="Times New Roman"/>
          <w:szCs w:val="18"/>
          <w:lang w:val="en-GB" w:bidi="he-IL"/>
        </w:rPr>
        <w:t xml:space="preserve"> She said, </w:t>
      </w:r>
      <w:r w:rsidR="003D56BA">
        <w:rPr>
          <w:rFonts w:ascii="Calibri" w:eastAsia="Times New Roman" w:hAnsi="Calibri" w:cs="Times New Roman"/>
          <w:szCs w:val="18"/>
          <w:lang w:val="en-GB" w:bidi="he-IL"/>
        </w:rPr>
        <w:t>“</w:t>
      </w:r>
      <w:r w:rsidR="00863E94">
        <w:rPr>
          <w:rFonts w:ascii="Calibri" w:eastAsia="Times New Roman" w:hAnsi="Calibri" w:cs="Times New Roman"/>
          <w:szCs w:val="18"/>
          <w:lang w:val="en-GB" w:bidi="he-IL"/>
        </w:rPr>
        <w:t>From Śaray</w:t>
      </w:r>
      <w:r w:rsidRPr="00F3377A">
        <w:rPr>
          <w:rFonts w:ascii="Calibri" w:eastAsia="Times New Roman" w:hAnsi="Calibri" w:cs="Times New Roman"/>
          <w:szCs w:val="18"/>
          <w:lang w:val="en-GB" w:bidi="he-IL"/>
        </w:rPr>
        <w:t>, my mistress – I’m taking flight.</w:t>
      </w:r>
      <w:r w:rsidR="003D56BA">
        <w:rPr>
          <w:rFonts w:ascii="Calibri" w:eastAsia="Times New Roman" w:hAnsi="Calibri" w:cs="Times New Roman"/>
          <w:szCs w:val="18"/>
          <w:lang w:val="en-GB" w:bidi="he-IL"/>
        </w:rPr>
        <w:t>”</w:t>
      </w:r>
      <w:r w:rsidRPr="00F3377A">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9</w:t>
      </w:r>
      <w:r w:rsidRPr="00F3377A">
        <w:rPr>
          <w:rFonts w:ascii="Calibri" w:eastAsia="Times New Roman" w:hAnsi="Calibri" w:cs="Times New Roman"/>
          <w:szCs w:val="18"/>
          <w:lang w:val="en-GB" w:bidi="he-IL"/>
        </w:rPr>
        <w:t xml:space="preserve">Yahweh’s envoy said to her, </w:t>
      </w:r>
      <w:r w:rsidR="003D56BA">
        <w:rPr>
          <w:rFonts w:ascii="Calibri" w:eastAsia="Times New Roman" w:hAnsi="Calibri" w:cs="Times New Roman"/>
          <w:szCs w:val="18"/>
          <w:lang w:val="en-GB" w:bidi="he-IL"/>
        </w:rPr>
        <w:t>“</w:t>
      </w:r>
      <w:r w:rsidRPr="00F3377A">
        <w:rPr>
          <w:rFonts w:ascii="Calibri" w:eastAsia="Times New Roman" w:hAnsi="Calibri" w:cs="Times New Roman"/>
          <w:szCs w:val="18"/>
          <w:lang w:val="en-GB" w:bidi="he-IL"/>
        </w:rPr>
        <w:t>Go back to your mistress. Let yourself be humbled</w:t>
      </w:r>
      <w:r w:rsidR="00B6377F">
        <w:rPr>
          <w:rStyle w:val="FootnoteReference"/>
          <w:rFonts w:ascii="Calibri" w:eastAsia="Times New Roman" w:hAnsi="Calibri" w:cs="Times New Roman"/>
          <w:szCs w:val="18"/>
          <w:lang w:val="en-GB" w:bidi="he-IL"/>
        </w:rPr>
        <w:footnoteReference w:id="236"/>
      </w:r>
      <w:r w:rsidRPr="00F3377A">
        <w:rPr>
          <w:rFonts w:ascii="Calibri" w:eastAsia="Times New Roman" w:hAnsi="Calibri" w:cs="Times New Roman"/>
          <w:szCs w:val="18"/>
          <w:lang w:val="en-GB" w:bidi="he-IL"/>
        </w:rPr>
        <w:t xml:space="preserve"> under her hand.</w:t>
      </w:r>
      <w:r w:rsidR="003D56BA">
        <w:rPr>
          <w:rFonts w:ascii="Calibri" w:eastAsia="Times New Roman" w:hAnsi="Calibri" w:cs="Times New Roman"/>
          <w:szCs w:val="18"/>
          <w:lang w:val="en-GB" w:bidi="he-IL"/>
        </w:rPr>
        <w:t>”</w:t>
      </w:r>
      <w:r w:rsidRPr="00F3377A">
        <w:rPr>
          <w:rFonts w:ascii="Calibri" w:eastAsia="Times New Roman" w:hAnsi="Calibri" w:cs="Times New Roman"/>
          <w:szCs w:val="18"/>
          <w:lang w:val="en-GB" w:bidi="he-IL"/>
        </w:rPr>
        <w:t xml:space="preserve"> </w:t>
      </w:r>
    </w:p>
    <w:p w14:paraId="7C02660B" w14:textId="77777777" w:rsidR="004B391F" w:rsidRDefault="00F3377A" w:rsidP="00F3377A">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10</w:t>
      </w:r>
      <w:r w:rsidRPr="00F3377A">
        <w:rPr>
          <w:rFonts w:ascii="Calibri" w:eastAsia="Times New Roman" w:hAnsi="Calibri" w:cs="Times New Roman"/>
          <w:szCs w:val="18"/>
          <w:lang w:val="en-GB" w:bidi="he-IL"/>
        </w:rPr>
        <w:t>But Yahweh’s envoy said</w:t>
      </w:r>
      <w:r w:rsidR="004B391F">
        <w:rPr>
          <w:rFonts w:ascii="Calibri" w:eastAsia="Times New Roman" w:hAnsi="Calibri" w:cs="Times New Roman"/>
          <w:szCs w:val="18"/>
          <w:lang w:val="en-GB" w:bidi="he-IL"/>
        </w:rPr>
        <w:t xml:space="preserve"> to her:</w:t>
      </w:r>
    </w:p>
    <w:p w14:paraId="0311A5F7" w14:textId="77777777" w:rsidR="004B391F" w:rsidRDefault="004B391F" w:rsidP="00F3377A">
      <w:pPr>
        <w:rPr>
          <w:rFonts w:ascii="Calibri" w:eastAsia="Times New Roman" w:hAnsi="Calibri" w:cs="Times New Roman"/>
          <w:szCs w:val="18"/>
          <w:lang w:val="en-GB" w:bidi="he-IL"/>
        </w:rPr>
      </w:pPr>
    </w:p>
    <w:p w14:paraId="5718B2D8" w14:textId="1349664D" w:rsidR="004B391F" w:rsidRDefault="007449EC" w:rsidP="00F3377A">
      <w:pPr>
        <w:rPr>
          <w:rFonts w:ascii="Calibri" w:eastAsia="Times New Roman" w:hAnsi="Calibri" w:cs="Times New Roman"/>
          <w:szCs w:val="18"/>
          <w:lang w:val="en-GB" w:bidi="he-IL"/>
        </w:rPr>
      </w:pPr>
      <w:r>
        <w:rPr>
          <w:rFonts w:ascii="Calibri" w:eastAsia="Times New Roman" w:hAnsi="Calibri" w:cs="Times New Roman"/>
          <w:szCs w:val="18"/>
          <w:lang w:val="en-GB" w:bidi="he-IL"/>
        </w:rPr>
        <w:t>I wi</w:t>
      </w:r>
      <w:r w:rsidR="00F3377A" w:rsidRPr="00F3377A">
        <w:rPr>
          <w:rFonts w:ascii="Calibri" w:eastAsia="Times New Roman" w:hAnsi="Calibri" w:cs="Times New Roman"/>
          <w:szCs w:val="18"/>
          <w:lang w:val="en-GB" w:bidi="he-IL"/>
        </w:rPr>
        <w:t>ll m</w:t>
      </w:r>
      <w:r w:rsidR="006B0CA1">
        <w:rPr>
          <w:rFonts w:ascii="Calibri" w:eastAsia="Times New Roman" w:hAnsi="Calibri" w:cs="Times New Roman"/>
          <w:szCs w:val="18"/>
          <w:lang w:val="en-GB" w:bidi="he-IL"/>
        </w:rPr>
        <w:t>ake your offspring really</w:t>
      </w:r>
      <w:r w:rsidR="00DF6E04">
        <w:rPr>
          <w:rFonts w:ascii="Calibri" w:eastAsia="Times New Roman" w:hAnsi="Calibri" w:cs="Times New Roman"/>
          <w:szCs w:val="18"/>
          <w:lang w:val="en-GB" w:bidi="he-IL"/>
        </w:rPr>
        <w:t xml:space="preserve"> numerous</w:t>
      </w:r>
      <w:r w:rsidR="00F0259C">
        <w:rPr>
          <w:rFonts w:ascii="Calibri" w:eastAsia="Times New Roman" w:hAnsi="Calibri" w:cs="Times New Roman"/>
          <w:szCs w:val="18"/>
          <w:lang w:val="en-GB" w:bidi="he-IL"/>
        </w:rPr>
        <w:t>,</w:t>
      </w:r>
      <w:r w:rsidR="00F3377A" w:rsidRPr="00F3377A">
        <w:rPr>
          <w:rFonts w:ascii="Calibri" w:eastAsia="Times New Roman" w:hAnsi="Calibri" w:cs="Times New Roman"/>
          <w:szCs w:val="18"/>
          <w:lang w:val="en-GB" w:bidi="he-IL"/>
        </w:rPr>
        <w:t xml:space="preserve"> </w:t>
      </w:r>
    </w:p>
    <w:p w14:paraId="6991F890" w14:textId="3E0D3CC4" w:rsidR="004B391F" w:rsidRDefault="004B391F" w:rsidP="00F3377A">
      <w:pPr>
        <w:rPr>
          <w:rFonts w:ascii="Calibri" w:eastAsia="Times New Roman" w:hAnsi="Calibri" w:cs="Times New Roman"/>
          <w:szCs w:val="18"/>
          <w:lang w:val="en-GB" w:bidi="he-IL"/>
        </w:rPr>
      </w:pPr>
      <w:r>
        <w:rPr>
          <w:rFonts w:ascii="Calibri" w:eastAsia="Times New Roman" w:hAnsi="Calibri" w:cs="Times New Roman"/>
          <w:szCs w:val="18"/>
          <w:lang w:val="en-GB" w:bidi="he-IL"/>
        </w:rPr>
        <w:tab/>
      </w:r>
      <w:proofErr w:type="gramStart"/>
      <w:r w:rsidR="008B5ABC">
        <w:rPr>
          <w:rFonts w:ascii="Calibri" w:eastAsia="Times New Roman" w:hAnsi="Calibri" w:cs="Times New Roman"/>
          <w:szCs w:val="18"/>
          <w:lang w:val="en-GB" w:bidi="he-IL"/>
        </w:rPr>
        <w:t>it</w:t>
      </w:r>
      <w:proofErr w:type="gramEnd"/>
      <w:r w:rsidR="00F3377A" w:rsidRPr="00F3377A">
        <w:rPr>
          <w:rFonts w:ascii="Calibri" w:eastAsia="Times New Roman" w:hAnsi="Calibri" w:cs="Times New Roman"/>
          <w:szCs w:val="18"/>
          <w:lang w:val="en-GB" w:bidi="he-IL"/>
        </w:rPr>
        <w:t xml:space="preserve"> won’t be able to be cou</w:t>
      </w:r>
      <w:r w:rsidR="008B5ABC">
        <w:rPr>
          <w:rFonts w:ascii="Calibri" w:eastAsia="Times New Roman" w:hAnsi="Calibri" w:cs="Times New Roman"/>
          <w:szCs w:val="18"/>
          <w:lang w:val="en-GB" w:bidi="he-IL"/>
        </w:rPr>
        <w:t xml:space="preserve">nted </w:t>
      </w:r>
      <w:r w:rsidR="00FD3353">
        <w:rPr>
          <w:rFonts w:ascii="Calibri" w:eastAsia="Times New Roman" w:hAnsi="Calibri" w:cs="Times New Roman"/>
          <w:szCs w:val="18"/>
          <w:lang w:val="en-GB" w:bidi="he-IL"/>
        </w:rPr>
        <w:t xml:space="preserve">up </w:t>
      </w:r>
      <w:r w:rsidR="00DF6E04">
        <w:rPr>
          <w:rFonts w:ascii="Calibri" w:eastAsia="Times New Roman" w:hAnsi="Calibri" w:cs="Times New Roman"/>
          <w:szCs w:val="18"/>
          <w:lang w:val="en-GB" w:bidi="he-IL"/>
        </w:rPr>
        <w:t>because of the number</w:t>
      </w:r>
      <w:r w:rsidR="00F3377A" w:rsidRPr="00F3377A">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F3377A" w:rsidRPr="00F3377A">
        <w:rPr>
          <w:rFonts w:ascii="Calibri" w:eastAsia="Times New Roman" w:hAnsi="Calibri" w:cs="Times New Roman"/>
          <w:szCs w:val="18"/>
          <w:lang w:val="en-GB" w:bidi="he-IL"/>
        </w:rPr>
        <w:t xml:space="preserve"> </w:t>
      </w:r>
    </w:p>
    <w:p w14:paraId="1FF992F7" w14:textId="77777777" w:rsidR="004B391F" w:rsidRDefault="004B391F" w:rsidP="00F3377A">
      <w:pPr>
        <w:rPr>
          <w:rFonts w:ascii="Calibri" w:eastAsia="Times New Roman" w:hAnsi="Calibri" w:cs="Times New Roman"/>
          <w:szCs w:val="18"/>
          <w:lang w:val="en-GB" w:bidi="he-IL"/>
        </w:rPr>
      </w:pPr>
    </w:p>
    <w:p w14:paraId="4487E1BA" w14:textId="7B5C458D" w:rsidR="004B391F" w:rsidRDefault="00F3377A" w:rsidP="004B391F">
      <w:pPr>
        <w:ind w:firstLine="0"/>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11</w:t>
      </w:r>
      <w:r w:rsidR="00880E7B">
        <w:rPr>
          <w:rFonts w:ascii="Calibri" w:eastAsia="Times New Roman" w:hAnsi="Calibri" w:cs="Times New Roman"/>
          <w:szCs w:val="18"/>
          <w:lang w:val="en-GB" w:bidi="he-IL"/>
        </w:rPr>
        <w:t>And Y</w:t>
      </w:r>
      <w:r w:rsidR="004B391F">
        <w:rPr>
          <w:rFonts w:ascii="Calibri" w:eastAsia="Times New Roman" w:hAnsi="Calibri" w:cs="Times New Roman"/>
          <w:szCs w:val="18"/>
          <w:lang w:val="en-GB" w:bidi="he-IL"/>
        </w:rPr>
        <w:t>ahweh’s envoy said to her:</w:t>
      </w:r>
    </w:p>
    <w:p w14:paraId="2BEB67CD" w14:textId="77777777" w:rsidR="004B391F" w:rsidRDefault="004B391F" w:rsidP="004B391F">
      <w:pPr>
        <w:ind w:firstLine="0"/>
        <w:rPr>
          <w:rFonts w:ascii="Calibri" w:eastAsia="Times New Roman" w:hAnsi="Calibri" w:cs="Times New Roman"/>
          <w:szCs w:val="18"/>
          <w:lang w:val="en-GB" w:bidi="he-IL"/>
        </w:rPr>
      </w:pPr>
    </w:p>
    <w:p w14:paraId="00F9E50A" w14:textId="77777777" w:rsidR="004B391F" w:rsidRDefault="004B391F" w:rsidP="004B391F">
      <w:pPr>
        <w:ind w:firstLine="0"/>
        <w:rPr>
          <w:rFonts w:ascii="Calibri" w:eastAsia="Times New Roman" w:hAnsi="Calibri" w:cs="Times New Roman"/>
          <w:szCs w:val="18"/>
          <w:lang w:val="en-GB" w:bidi="he-IL"/>
        </w:rPr>
      </w:pPr>
      <w:r>
        <w:rPr>
          <w:rFonts w:ascii="Calibri" w:eastAsia="Times New Roman" w:hAnsi="Calibri" w:cs="Times New Roman"/>
          <w:szCs w:val="18"/>
          <w:lang w:val="en-GB" w:bidi="he-IL"/>
        </w:rPr>
        <w:tab/>
      </w:r>
      <w:r w:rsidR="00F3377A" w:rsidRPr="00F3377A">
        <w:rPr>
          <w:rFonts w:ascii="Calibri" w:eastAsia="Times New Roman" w:hAnsi="Calibri" w:cs="Times New Roman"/>
          <w:szCs w:val="18"/>
          <w:lang w:val="en-GB" w:bidi="he-IL"/>
        </w:rPr>
        <w:t xml:space="preserve">There, you’re pregnant </w:t>
      </w:r>
    </w:p>
    <w:p w14:paraId="0DD461A4" w14:textId="77777777" w:rsidR="004B391F" w:rsidRDefault="004B391F" w:rsidP="004B391F">
      <w:pPr>
        <w:ind w:firstLine="0"/>
        <w:rPr>
          <w:rFonts w:ascii="Calibri" w:eastAsia="Times New Roman" w:hAnsi="Calibri" w:cs="Times New Roman"/>
          <w:szCs w:val="18"/>
          <w:lang w:val="en-GB" w:bidi="he-IL"/>
        </w:rPr>
      </w:pPr>
      <w:r>
        <w:rPr>
          <w:rFonts w:ascii="Calibri" w:eastAsia="Times New Roman" w:hAnsi="Calibri" w:cs="Times New Roman"/>
          <w:szCs w:val="18"/>
          <w:lang w:val="en-GB" w:bidi="he-IL"/>
        </w:rPr>
        <w:tab/>
      </w:r>
      <w:r>
        <w:rPr>
          <w:rFonts w:ascii="Calibri" w:eastAsia="Times New Roman" w:hAnsi="Calibri" w:cs="Times New Roman"/>
          <w:szCs w:val="18"/>
          <w:lang w:val="en-GB" w:bidi="he-IL"/>
        </w:rPr>
        <w:tab/>
      </w:r>
      <w:proofErr w:type="gramStart"/>
      <w:r w:rsidR="00490CF6">
        <w:rPr>
          <w:rFonts w:ascii="Calibri" w:eastAsia="Times New Roman" w:hAnsi="Calibri" w:cs="Times New Roman"/>
          <w:szCs w:val="18"/>
          <w:lang w:val="en-GB" w:bidi="he-IL"/>
        </w:rPr>
        <w:t>and</w:t>
      </w:r>
      <w:proofErr w:type="gramEnd"/>
      <w:r w:rsidR="00490CF6">
        <w:rPr>
          <w:rFonts w:ascii="Calibri" w:eastAsia="Times New Roman" w:hAnsi="Calibri" w:cs="Times New Roman"/>
          <w:szCs w:val="18"/>
          <w:lang w:val="en-GB" w:bidi="he-IL"/>
        </w:rPr>
        <w:t xml:space="preserve"> you’re going to</w:t>
      </w:r>
      <w:r w:rsidR="00F3377A" w:rsidRPr="00F3377A">
        <w:rPr>
          <w:rFonts w:ascii="Calibri" w:eastAsia="Times New Roman" w:hAnsi="Calibri" w:cs="Times New Roman"/>
          <w:szCs w:val="18"/>
          <w:lang w:val="en-GB" w:bidi="he-IL"/>
        </w:rPr>
        <w:t xml:space="preserve"> give birth</w:t>
      </w:r>
      <w:r w:rsidR="00490CF6">
        <w:rPr>
          <w:rStyle w:val="FootnoteReference"/>
          <w:rFonts w:ascii="Calibri" w:eastAsia="Times New Roman" w:hAnsi="Calibri" w:cs="Times New Roman"/>
          <w:szCs w:val="18"/>
          <w:lang w:val="en-GB" w:bidi="he-IL"/>
        </w:rPr>
        <w:footnoteReference w:id="237"/>
      </w:r>
      <w:r w:rsidR="00F3377A" w:rsidRPr="00F3377A">
        <w:rPr>
          <w:rFonts w:ascii="Calibri" w:eastAsia="Times New Roman" w:hAnsi="Calibri" w:cs="Times New Roman"/>
          <w:szCs w:val="18"/>
          <w:lang w:val="en-GB" w:bidi="he-IL"/>
        </w:rPr>
        <w:t xml:space="preserve"> to a son. </w:t>
      </w:r>
    </w:p>
    <w:p w14:paraId="27B27C1D" w14:textId="77777777" w:rsidR="004B391F" w:rsidRDefault="004B391F" w:rsidP="004B391F">
      <w:pPr>
        <w:ind w:firstLine="0"/>
        <w:rPr>
          <w:rFonts w:ascii="Calibri" w:eastAsia="Times New Roman" w:hAnsi="Calibri" w:cs="Times New Roman"/>
          <w:szCs w:val="18"/>
          <w:lang w:val="en-GB" w:bidi="he-IL"/>
        </w:rPr>
      </w:pPr>
      <w:r>
        <w:rPr>
          <w:rFonts w:ascii="Calibri" w:eastAsia="Times New Roman" w:hAnsi="Calibri" w:cs="Times New Roman"/>
          <w:szCs w:val="18"/>
          <w:lang w:val="en-GB" w:bidi="he-IL"/>
        </w:rPr>
        <w:tab/>
      </w:r>
      <w:r w:rsidR="00F3377A" w:rsidRPr="00F3377A">
        <w:rPr>
          <w:rFonts w:ascii="Calibri" w:eastAsia="Times New Roman" w:hAnsi="Calibri" w:cs="Times New Roman"/>
          <w:szCs w:val="18"/>
          <w:lang w:val="en-GB" w:bidi="he-IL"/>
        </w:rPr>
        <w:t xml:space="preserve">You’re to name him </w:t>
      </w:r>
      <w:r w:rsidR="00D75E04" w:rsidRPr="00D75E04">
        <w:rPr>
          <w:rFonts w:ascii="Calibri" w:eastAsia="Times New Roman" w:hAnsi="Calibri" w:cs="Times New Roman"/>
          <w:szCs w:val="18"/>
          <w:lang w:val="en-GB" w:bidi="he-IL"/>
        </w:rPr>
        <w:t>Yišma‘e’l</w:t>
      </w:r>
      <w:r w:rsidR="00F3377A" w:rsidRPr="00F3377A">
        <w:rPr>
          <w:rFonts w:ascii="Calibri" w:eastAsia="Times New Roman" w:hAnsi="Calibri" w:cs="Times New Roman"/>
          <w:szCs w:val="18"/>
          <w:lang w:val="en-GB" w:bidi="he-IL"/>
        </w:rPr>
        <w:t xml:space="preserve">, </w:t>
      </w:r>
    </w:p>
    <w:p w14:paraId="055037F9" w14:textId="77777777" w:rsidR="004B391F" w:rsidRDefault="004B391F" w:rsidP="004B391F">
      <w:pPr>
        <w:ind w:firstLine="0"/>
        <w:rPr>
          <w:rFonts w:ascii="Calibri" w:eastAsia="Times New Roman" w:hAnsi="Calibri" w:cs="Times New Roman"/>
          <w:szCs w:val="18"/>
          <w:lang w:val="en-GB" w:bidi="he-IL"/>
        </w:rPr>
      </w:pPr>
      <w:r>
        <w:rPr>
          <w:rFonts w:ascii="Calibri" w:eastAsia="Times New Roman" w:hAnsi="Calibri" w:cs="Times New Roman"/>
          <w:szCs w:val="18"/>
          <w:lang w:val="en-GB" w:bidi="he-IL"/>
        </w:rPr>
        <w:tab/>
      </w:r>
      <w:r>
        <w:rPr>
          <w:rFonts w:ascii="Calibri" w:eastAsia="Times New Roman" w:hAnsi="Calibri" w:cs="Times New Roman"/>
          <w:szCs w:val="18"/>
          <w:lang w:val="en-GB" w:bidi="he-IL"/>
        </w:rPr>
        <w:tab/>
      </w:r>
      <w:proofErr w:type="gramStart"/>
      <w:r w:rsidR="00F3377A" w:rsidRPr="00F3377A">
        <w:rPr>
          <w:rFonts w:ascii="Calibri" w:eastAsia="Times New Roman" w:hAnsi="Calibri" w:cs="Times New Roman"/>
          <w:szCs w:val="18"/>
          <w:lang w:val="en-GB" w:bidi="he-IL"/>
        </w:rPr>
        <w:t>because</w:t>
      </w:r>
      <w:proofErr w:type="gramEnd"/>
      <w:r w:rsidR="00F3377A" w:rsidRPr="00F3377A">
        <w:rPr>
          <w:rFonts w:ascii="Calibri" w:eastAsia="Times New Roman" w:hAnsi="Calibri" w:cs="Times New Roman"/>
          <w:szCs w:val="18"/>
          <w:lang w:val="en-GB" w:bidi="he-IL"/>
        </w:rPr>
        <w:t xml:space="preserve"> Yahweh has listened</w:t>
      </w:r>
      <w:r w:rsidR="00F3377A">
        <w:rPr>
          <w:rFonts w:ascii="Calibri" w:eastAsia="Times New Roman" w:hAnsi="Calibri" w:cs="Times New Roman"/>
          <w:szCs w:val="18"/>
          <w:lang w:val="en-GB" w:bidi="he-IL"/>
        </w:rPr>
        <w:t xml:space="preserve"> </w:t>
      </w:r>
      <w:r w:rsidR="00F3377A" w:rsidRPr="00F3377A">
        <w:rPr>
          <w:rFonts w:ascii="Calibri" w:eastAsia="Times New Roman" w:hAnsi="Calibri" w:cs="Times New Roman"/>
          <w:szCs w:val="18"/>
          <w:lang w:val="en-GB" w:bidi="he-IL"/>
        </w:rPr>
        <w:t>to your humbling.</w:t>
      </w:r>
      <w:r w:rsidR="00B6377F">
        <w:rPr>
          <w:rStyle w:val="FootnoteReference"/>
          <w:rFonts w:ascii="Calibri" w:eastAsia="Times New Roman" w:hAnsi="Calibri" w:cs="Times New Roman"/>
          <w:szCs w:val="18"/>
          <w:lang w:val="en-GB" w:bidi="he-IL"/>
        </w:rPr>
        <w:footnoteReference w:id="238"/>
      </w:r>
      <w:r w:rsidR="00F3377A" w:rsidRPr="00F3377A">
        <w:rPr>
          <w:rFonts w:ascii="Calibri" w:eastAsia="Times New Roman" w:hAnsi="Calibri" w:cs="Times New Roman"/>
          <w:szCs w:val="18"/>
          <w:lang w:val="en-GB" w:bidi="he-IL"/>
        </w:rPr>
        <w:t xml:space="preserve"> </w:t>
      </w:r>
    </w:p>
    <w:p w14:paraId="717FF59A" w14:textId="77777777" w:rsidR="004B391F" w:rsidRDefault="004B391F" w:rsidP="004B391F">
      <w:pPr>
        <w:ind w:firstLine="0"/>
        <w:rPr>
          <w:rFonts w:ascii="Calibri" w:eastAsia="Times New Roman" w:hAnsi="Calibri" w:cs="Times New Roman"/>
          <w:szCs w:val="18"/>
          <w:lang w:val="en-GB" w:bidi="he-IL"/>
        </w:rPr>
      </w:pPr>
      <w:r>
        <w:rPr>
          <w:rFonts w:ascii="Calibri" w:eastAsia="Times New Roman" w:hAnsi="Calibri" w:cs="Times New Roman"/>
          <w:szCs w:val="18"/>
          <w:lang w:val="en-GB" w:bidi="he-IL"/>
        </w:rPr>
        <w:tab/>
      </w:r>
      <w:r w:rsidR="00F3377A">
        <w:rPr>
          <w:rFonts w:ascii="Calibri" w:eastAsia="Times New Roman" w:hAnsi="Calibri" w:cs="Times New Roman"/>
          <w:szCs w:val="18"/>
          <w:vertAlign w:val="superscript"/>
          <w:lang w:val="en-GB" w:bidi="he-IL"/>
        </w:rPr>
        <w:t>12</w:t>
      </w:r>
      <w:r w:rsidR="00F3377A" w:rsidRPr="00F3377A">
        <w:rPr>
          <w:rFonts w:ascii="Calibri" w:eastAsia="Times New Roman" w:hAnsi="Calibri" w:cs="Times New Roman"/>
          <w:szCs w:val="18"/>
          <w:lang w:val="en-GB" w:bidi="he-IL"/>
        </w:rPr>
        <w:t>And he –</w:t>
      </w:r>
      <w:r w:rsidR="00674C30">
        <w:rPr>
          <w:rFonts w:ascii="Calibri" w:eastAsia="Times New Roman" w:hAnsi="Calibri" w:cs="Times New Roman"/>
          <w:szCs w:val="18"/>
          <w:lang w:val="en-GB" w:bidi="he-IL"/>
        </w:rPr>
        <w:t xml:space="preserve"> he’ll b</w:t>
      </w:r>
      <w:r w:rsidR="008708AA">
        <w:rPr>
          <w:rFonts w:ascii="Calibri" w:eastAsia="Times New Roman" w:hAnsi="Calibri" w:cs="Times New Roman"/>
          <w:szCs w:val="18"/>
          <w:lang w:val="en-GB" w:bidi="he-IL"/>
        </w:rPr>
        <w:t>e humanity’s wild donkey</w:t>
      </w:r>
      <w:r w:rsidR="00F3377A" w:rsidRPr="00F3377A">
        <w:rPr>
          <w:rFonts w:ascii="Calibri" w:eastAsia="Times New Roman" w:hAnsi="Calibri" w:cs="Times New Roman"/>
          <w:szCs w:val="18"/>
          <w:lang w:val="en-GB" w:bidi="he-IL"/>
        </w:rPr>
        <w:t>,</w:t>
      </w:r>
      <w:r w:rsidR="00F0259C">
        <w:rPr>
          <w:rStyle w:val="FootnoteReference"/>
          <w:rFonts w:ascii="Calibri" w:eastAsia="Times New Roman" w:hAnsi="Calibri" w:cs="Times New Roman"/>
          <w:szCs w:val="18"/>
          <w:lang w:val="en-GB" w:bidi="he-IL"/>
        </w:rPr>
        <w:footnoteReference w:id="239"/>
      </w:r>
      <w:r w:rsidR="00F3377A" w:rsidRPr="00F3377A">
        <w:rPr>
          <w:rFonts w:ascii="Calibri" w:eastAsia="Times New Roman" w:hAnsi="Calibri" w:cs="Times New Roman"/>
          <w:szCs w:val="18"/>
          <w:lang w:val="en-GB" w:bidi="he-IL"/>
        </w:rPr>
        <w:t xml:space="preserve"> </w:t>
      </w:r>
    </w:p>
    <w:p w14:paraId="54FE0899" w14:textId="77777777" w:rsidR="004B391F" w:rsidRDefault="004B391F" w:rsidP="004B391F">
      <w:pPr>
        <w:ind w:firstLine="0"/>
        <w:rPr>
          <w:rFonts w:ascii="Calibri" w:eastAsia="Times New Roman" w:hAnsi="Calibri" w:cs="Times New Roman"/>
          <w:szCs w:val="18"/>
          <w:lang w:val="en-GB" w:bidi="he-IL"/>
        </w:rPr>
      </w:pPr>
      <w:r>
        <w:rPr>
          <w:rFonts w:ascii="Calibri" w:eastAsia="Times New Roman" w:hAnsi="Calibri" w:cs="Times New Roman"/>
          <w:szCs w:val="18"/>
          <w:lang w:val="en-GB" w:bidi="he-IL"/>
        </w:rPr>
        <w:tab/>
      </w:r>
      <w:r>
        <w:rPr>
          <w:rFonts w:ascii="Calibri" w:eastAsia="Times New Roman" w:hAnsi="Calibri" w:cs="Times New Roman"/>
          <w:szCs w:val="18"/>
          <w:lang w:val="en-GB" w:bidi="he-IL"/>
        </w:rPr>
        <w:tab/>
      </w:r>
      <w:proofErr w:type="gramStart"/>
      <w:r w:rsidR="00F3377A" w:rsidRPr="00F3377A">
        <w:rPr>
          <w:rFonts w:ascii="Calibri" w:eastAsia="Times New Roman" w:hAnsi="Calibri" w:cs="Times New Roman"/>
          <w:szCs w:val="18"/>
          <w:lang w:val="en-GB" w:bidi="he-IL"/>
        </w:rPr>
        <w:t>his</w:t>
      </w:r>
      <w:proofErr w:type="gramEnd"/>
      <w:r w:rsidR="00F3377A" w:rsidRPr="00F3377A">
        <w:rPr>
          <w:rFonts w:ascii="Calibri" w:eastAsia="Times New Roman" w:hAnsi="Calibri" w:cs="Times New Roman"/>
          <w:szCs w:val="18"/>
          <w:lang w:val="en-GB" w:bidi="he-IL"/>
        </w:rPr>
        <w:t xml:space="preserve"> hand against everyone</w:t>
      </w:r>
      <w:r>
        <w:rPr>
          <w:rFonts w:ascii="Calibri" w:eastAsia="Times New Roman" w:hAnsi="Calibri" w:cs="Times New Roman"/>
          <w:szCs w:val="18"/>
          <w:lang w:val="en-GB" w:bidi="he-IL"/>
        </w:rPr>
        <w:t>,</w:t>
      </w:r>
      <w:r w:rsidR="00F3377A" w:rsidRPr="00F3377A">
        <w:rPr>
          <w:rFonts w:ascii="Calibri" w:eastAsia="Times New Roman" w:hAnsi="Calibri" w:cs="Times New Roman"/>
          <w:szCs w:val="18"/>
          <w:lang w:val="en-GB" w:bidi="he-IL"/>
        </w:rPr>
        <w:t xml:space="preserve"> </w:t>
      </w:r>
    </w:p>
    <w:p w14:paraId="309CAA2D" w14:textId="77777777" w:rsidR="004B391F" w:rsidRDefault="004B391F" w:rsidP="004B391F">
      <w:pPr>
        <w:ind w:firstLine="0"/>
        <w:rPr>
          <w:rFonts w:ascii="Calibri" w:eastAsia="Times New Roman" w:hAnsi="Calibri" w:cs="Times New Roman"/>
          <w:szCs w:val="18"/>
          <w:lang w:val="en-GB" w:bidi="he-IL"/>
        </w:rPr>
      </w:pPr>
      <w:r>
        <w:rPr>
          <w:rFonts w:ascii="Calibri" w:eastAsia="Times New Roman" w:hAnsi="Calibri" w:cs="Times New Roman"/>
          <w:szCs w:val="18"/>
          <w:lang w:val="en-GB" w:bidi="he-IL"/>
        </w:rPr>
        <w:tab/>
        <w:t>E</w:t>
      </w:r>
      <w:r w:rsidR="00F3377A" w:rsidRPr="00F3377A">
        <w:rPr>
          <w:rFonts w:ascii="Calibri" w:eastAsia="Times New Roman" w:hAnsi="Calibri" w:cs="Times New Roman"/>
          <w:szCs w:val="18"/>
          <w:lang w:val="en-GB" w:bidi="he-IL"/>
        </w:rPr>
        <w:t xml:space="preserve">veryone’s hand against him, </w:t>
      </w:r>
    </w:p>
    <w:p w14:paraId="05395CF7" w14:textId="77777777" w:rsidR="00F3377A" w:rsidRPr="00F3377A" w:rsidRDefault="004B391F" w:rsidP="004B391F">
      <w:pPr>
        <w:ind w:firstLine="0"/>
        <w:rPr>
          <w:rFonts w:ascii="Calibri" w:eastAsia="Times New Roman" w:hAnsi="Calibri" w:cs="Times New Roman"/>
          <w:szCs w:val="18"/>
          <w:lang w:val="en-GB" w:bidi="he-IL"/>
        </w:rPr>
      </w:pPr>
      <w:r>
        <w:rPr>
          <w:rFonts w:ascii="Calibri" w:eastAsia="Times New Roman" w:hAnsi="Calibri" w:cs="Times New Roman"/>
          <w:szCs w:val="18"/>
          <w:lang w:val="en-GB" w:bidi="he-IL"/>
        </w:rPr>
        <w:tab/>
      </w:r>
      <w:r>
        <w:rPr>
          <w:rFonts w:ascii="Calibri" w:eastAsia="Times New Roman" w:hAnsi="Calibri" w:cs="Times New Roman"/>
          <w:szCs w:val="18"/>
          <w:lang w:val="en-GB" w:bidi="he-IL"/>
        </w:rPr>
        <w:tab/>
      </w:r>
      <w:proofErr w:type="gramStart"/>
      <w:r w:rsidR="00DC1453">
        <w:rPr>
          <w:rFonts w:ascii="Calibri" w:eastAsia="Times New Roman" w:hAnsi="Calibri" w:cs="Times New Roman"/>
          <w:szCs w:val="18"/>
          <w:lang w:val="en-GB" w:bidi="he-IL"/>
        </w:rPr>
        <w:t>and</w:t>
      </w:r>
      <w:proofErr w:type="gramEnd"/>
      <w:r w:rsidR="00DC1453">
        <w:rPr>
          <w:rFonts w:ascii="Calibri" w:eastAsia="Times New Roman" w:hAnsi="Calibri" w:cs="Times New Roman"/>
          <w:szCs w:val="18"/>
          <w:lang w:val="en-GB" w:bidi="he-IL"/>
        </w:rPr>
        <w:t xml:space="preserve"> he’ll dwell in the face of</w:t>
      </w:r>
      <w:r w:rsidR="00F3377A" w:rsidRPr="00F3377A">
        <w:rPr>
          <w:rFonts w:ascii="Calibri" w:eastAsia="Times New Roman" w:hAnsi="Calibri" w:cs="Times New Roman"/>
          <w:szCs w:val="18"/>
          <w:lang w:val="en-GB" w:bidi="he-IL"/>
        </w:rPr>
        <w:t xml:space="preserve"> all his brothers.</w:t>
      </w:r>
    </w:p>
    <w:p w14:paraId="04B01054" w14:textId="77777777" w:rsidR="00E36E51" w:rsidRDefault="00E36E51" w:rsidP="00F3377A">
      <w:pPr>
        <w:rPr>
          <w:rFonts w:ascii="Calibri" w:eastAsia="Times New Roman" w:hAnsi="Calibri" w:cs="Times New Roman"/>
          <w:szCs w:val="18"/>
          <w:vertAlign w:val="superscript"/>
          <w:lang w:val="en-GB" w:bidi="he-IL"/>
        </w:rPr>
      </w:pPr>
    </w:p>
    <w:p w14:paraId="716F1A83" w14:textId="77777777" w:rsidR="00F3377A" w:rsidRPr="00F3377A" w:rsidRDefault="00F3377A" w:rsidP="00F3377A">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13</w:t>
      </w:r>
      <w:r w:rsidRPr="00F3377A">
        <w:rPr>
          <w:rFonts w:ascii="Calibri" w:eastAsia="Times New Roman" w:hAnsi="Calibri" w:cs="Times New Roman"/>
          <w:szCs w:val="18"/>
          <w:lang w:val="en-GB" w:bidi="he-IL"/>
        </w:rPr>
        <w:t>She named</w:t>
      </w:r>
      <w:r w:rsidR="00E36E51">
        <w:rPr>
          <w:rStyle w:val="FootnoteReference"/>
          <w:rFonts w:ascii="Calibri" w:eastAsia="Times New Roman" w:hAnsi="Calibri" w:cs="Times New Roman"/>
          <w:szCs w:val="18"/>
          <w:lang w:val="en-GB" w:bidi="he-IL"/>
        </w:rPr>
        <w:footnoteReference w:id="240"/>
      </w:r>
      <w:r w:rsidRPr="00F3377A">
        <w:rPr>
          <w:rFonts w:ascii="Calibri" w:eastAsia="Times New Roman" w:hAnsi="Calibri" w:cs="Times New Roman"/>
          <w:szCs w:val="18"/>
          <w:lang w:val="en-GB" w:bidi="he-IL"/>
        </w:rPr>
        <w:t xml:space="preserve"> Yahweh who spoke to her, </w:t>
      </w:r>
      <w:r w:rsidR="003D56BA">
        <w:rPr>
          <w:rFonts w:ascii="Calibri" w:eastAsia="Times New Roman" w:hAnsi="Calibri" w:cs="Times New Roman"/>
          <w:szCs w:val="18"/>
          <w:lang w:val="en-GB" w:bidi="he-IL"/>
        </w:rPr>
        <w:t>“</w:t>
      </w:r>
      <w:r w:rsidRPr="00F3377A">
        <w:rPr>
          <w:rFonts w:ascii="Calibri" w:eastAsia="Times New Roman" w:hAnsi="Calibri" w:cs="Times New Roman"/>
          <w:szCs w:val="18"/>
          <w:lang w:val="en-GB" w:bidi="he-IL"/>
        </w:rPr>
        <w:t xml:space="preserve">You are </w:t>
      </w:r>
      <w:r w:rsidR="00863E94">
        <w:rPr>
          <w:rFonts w:ascii="Calibri" w:eastAsia="Times New Roman" w:hAnsi="Calibri" w:cs="Times New Roman"/>
          <w:szCs w:val="18"/>
          <w:lang w:val="en-GB" w:bidi="he-IL"/>
        </w:rPr>
        <w:t>El ro</w:t>
      </w:r>
      <w:r>
        <w:rPr>
          <w:rFonts w:ascii="Calibri" w:eastAsia="Times New Roman" w:hAnsi="Calibri" w:cs="Times New Roman"/>
          <w:szCs w:val="18"/>
          <w:lang w:val="en-GB" w:bidi="he-IL"/>
        </w:rPr>
        <w:t>’</w:t>
      </w:r>
      <w:r w:rsidR="00863E94">
        <w:rPr>
          <w:rFonts w:ascii="Calibri" w:eastAsia="Times New Roman" w:hAnsi="Calibri" w:cs="Times New Roman"/>
          <w:szCs w:val="18"/>
          <w:lang w:val="en-GB" w:bidi="he-IL"/>
        </w:rPr>
        <w:t>i</w:t>
      </w:r>
      <w:r w:rsidRPr="00F3377A">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8A15D4">
        <w:rPr>
          <w:rStyle w:val="FootnoteReference"/>
          <w:rFonts w:ascii="Calibri" w:eastAsia="Times New Roman" w:hAnsi="Calibri" w:cs="Times New Roman"/>
          <w:szCs w:val="18"/>
          <w:lang w:val="en-GB" w:bidi="he-IL"/>
        </w:rPr>
        <w:footnoteReference w:id="241"/>
      </w:r>
      <w:r w:rsidRPr="00F3377A">
        <w:rPr>
          <w:rFonts w:ascii="Calibri" w:eastAsia="Times New Roman" w:hAnsi="Calibri" w:cs="Times New Roman"/>
          <w:szCs w:val="18"/>
          <w:lang w:val="en-GB" w:bidi="he-IL"/>
        </w:rPr>
        <w:t xml:space="preserve"> because (she said), </w:t>
      </w:r>
      <w:r w:rsidR="003D56BA">
        <w:rPr>
          <w:rFonts w:ascii="Calibri" w:eastAsia="Times New Roman" w:hAnsi="Calibri" w:cs="Times New Roman"/>
          <w:szCs w:val="18"/>
          <w:lang w:val="en-GB" w:bidi="he-IL"/>
        </w:rPr>
        <w:t>“</w:t>
      </w:r>
      <w:r w:rsidR="00EE19D0">
        <w:rPr>
          <w:rFonts w:ascii="Calibri" w:eastAsia="Times New Roman" w:hAnsi="Calibri" w:cs="Times New Roman"/>
          <w:szCs w:val="18"/>
          <w:lang w:val="en-GB" w:bidi="he-IL"/>
        </w:rPr>
        <w:t>I</w:t>
      </w:r>
      <w:r w:rsidR="00747E0B">
        <w:rPr>
          <w:rFonts w:ascii="Calibri" w:eastAsia="Times New Roman" w:hAnsi="Calibri" w:cs="Times New Roman"/>
          <w:szCs w:val="18"/>
          <w:lang w:val="en-GB" w:bidi="he-IL"/>
        </w:rPr>
        <w:t>s it</w:t>
      </w:r>
      <w:r w:rsidR="00153E76">
        <w:rPr>
          <w:rFonts w:ascii="Calibri" w:eastAsia="Times New Roman" w:hAnsi="Calibri" w:cs="Times New Roman"/>
          <w:szCs w:val="18"/>
          <w:lang w:val="en-GB" w:bidi="he-IL"/>
        </w:rPr>
        <w:t xml:space="preserve"> really</w:t>
      </w:r>
      <w:r w:rsidR="00EE19D0">
        <w:rPr>
          <w:rFonts w:ascii="Calibri" w:eastAsia="Times New Roman" w:hAnsi="Calibri" w:cs="Times New Roman"/>
          <w:szCs w:val="18"/>
          <w:lang w:val="en-GB" w:bidi="he-IL"/>
        </w:rPr>
        <w:t xml:space="preserve"> here that I would have looked for</w:t>
      </w:r>
      <w:r w:rsidR="00EE19D0">
        <w:rPr>
          <w:rStyle w:val="FootnoteReference"/>
          <w:rFonts w:ascii="Calibri" w:eastAsia="Times New Roman" w:hAnsi="Calibri" w:cs="Times New Roman"/>
          <w:szCs w:val="18"/>
          <w:lang w:val="en-GB" w:bidi="he-IL"/>
        </w:rPr>
        <w:footnoteReference w:id="242"/>
      </w:r>
      <w:r w:rsidR="00E17C01">
        <w:rPr>
          <w:rFonts w:ascii="Calibri" w:eastAsia="Times New Roman" w:hAnsi="Calibri" w:cs="Times New Roman"/>
          <w:szCs w:val="18"/>
          <w:lang w:val="en-GB" w:bidi="he-IL"/>
        </w:rPr>
        <w:t xml:space="preserve"> the one who was looking at</w:t>
      </w:r>
      <w:r w:rsidR="00EE19D0">
        <w:rPr>
          <w:rFonts w:ascii="Calibri" w:eastAsia="Times New Roman" w:hAnsi="Calibri" w:cs="Times New Roman"/>
          <w:szCs w:val="18"/>
          <w:lang w:val="en-GB" w:bidi="he-IL"/>
        </w:rPr>
        <w:t xml:space="preserve"> </w:t>
      </w:r>
      <w:r w:rsidRPr="00F3377A">
        <w:rPr>
          <w:rFonts w:ascii="Calibri" w:eastAsia="Times New Roman" w:hAnsi="Calibri" w:cs="Times New Roman"/>
          <w:szCs w:val="18"/>
          <w:lang w:val="en-GB" w:bidi="he-IL"/>
        </w:rPr>
        <w:t>me?</w:t>
      </w:r>
      <w:r w:rsidR="003D56BA">
        <w:rPr>
          <w:rFonts w:ascii="Calibri" w:eastAsia="Times New Roman" w:hAnsi="Calibri" w:cs="Times New Roman"/>
          <w:szCs w:val="18"/>
          <w:lang w:val="en-GB" w:bidi="he-IL"/>
        </w:rPr>
        <w:t>”</w:t>
      </w:r>
      <w:r w:rsidR="0061349F">
        <w:rPr>
          <w:rStyle w:val="FootnoteReference"/>
          <w:rFonts w:ascii="Calibri" w:eastAsia="Times New Roman" w:hAnsi="Calibri" w:cs="Times New Roman"/>
          <w:szCs w:val="18"/>
          <w:lang w:val="en-GB" w:bidi="he-IL"/>
        </w:rPr>
        <w:footnoteReference w:id="243"/>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14</w:t>
      </w:r>
      <w:r w:rsidR="008E45B2">
        <w:rPr>
          <w:rFonts w:ascii="Calibri" w:eastAsia="Times New Roman" w:hAnsi="Calibri" w:cs="Times New Roman"/>
          <w:szCs w:val="18"/>
          <w:lang w:val="en-GB" w:bidi="he-IL"/>
        </w:rPr>
        <w:t>That’s why people</w:t>
      </w:r>
      <w:r w:rsidR="00AA529A">
        <w:rPr>
          <w:rFonts w:ascii="Calibri" w:eastAsia="Times New Roman" w:hAnsi="Calibri" w:cs="Times New Roman"/>
          <w:szCs w:val="18"/>
          <w:lang w:val="en-GB" w:bidi="he-IL"/>
        </w:rPr>
        <w:t xml:space="preserve"> named</w:t>
      </w:r>
      <w:r w:rsidRPr="00F3377A">
        <w:rPr>
          <w:rFonts w:ascii="Calibri" w:eastAsia="Times New Roman" w:hAnsi="Calibri" w:cs="Times New Roman"/>
          <w:szCs w:val="18"/>
          <w:lang w:val="en-GB" w:bidi="he-IL"/>
        </w:rPr>
        <w:t xml:space="preserve"> the well </w:t>
      </w:r>
      <w:r w:rsidR="003D56BA">
        <w:rPr>
          <w:rFonts w:ascii="Calibri" w:eastAsia="Times New Roman" w:hAnsi="Calibri" w:cs="Times New Roman"/>
          <w:szCs w:val="18"/>
          <w:lang w:val="en-GB" w:bidi="he-IL"/>
        </w:rPr>
        <w:t>“</w:t>
      </w:r>
      <w:r w:rsidR="00863E94">
        <w:rPr>
          <w:rFonts w:ascii="Calibri" w:eastAsia="Times New Roman" w:hAnsi="Calibri" w:cs="Times New Roman"/>
          <w:szCs w:val="18"/>
          <w:lang w:val="en-GB" w:bidi="he-IL"/>
        </w:rPr>
        <w:t>Ḥay Ro’i</w:t>
      </w:r>
      <w:r w:rsidR="00BF4EE8">
        <w:rPr>
          <w:rFonts w:ascii="Calibri" w:eastAsia="Times New Roman" w:hAnsi="Calibri" w:cs="Times New Roman"/>
          <w:szCs w:val="18"/>
          <w:lang w:val="en-GB" w:bidi="he-IL"/>
        </w:rPr>
        <w:t xml:space="preserve"> Well</w:t>
      </w:r>
      <w:r w:rsidRPr="00F3377A">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E8271C" w:rsidRPr="00E8271C">
        <w:rPr>
          <w:rFonts w:ascii="Calibri" w:eastAsia="Times New Roman" w:hAnsi="Calibri" w:cs="Times New Roman"/>
          <w:szCs w:val="18"/>
          <w:vertAlign w:val="superscript"/>
          <w:lang w:bidi="he-IL"/>
        </w:rPr>
        <w:footnoteReference w:id="244"/>
      </w:r>
      <w:r w:rsidR="00863E94">
        <w:rPr>
          <w:rFonts w:ascii="Calibri" w:eastAsia="Times New Roman" w:hAnsi="Calibri" w:cs="Times New Roman"/>
          <w:szCs w:val="18"/>
          <w:lang w:val="en-GB" w:bidi="he-IL"/>
        </w:rPr>
        <w:t xml:space="preserve"> </w:t>
      </w:r>
      <w:r w:rsidR="001154C8">
        <w:rPr>
          <w:rFonts w:ascii="Calibri" w:eastAsia="Times New Roman" w:hAnsi="Calibri" w:cs="Times New Roman"/>
          <w:szCs w:val="18"/>
          <w:lang w:val="en-GB" w:bidi="he-IL"/>
        </w:rPr>
        <w:t>There, it’s between Qadeš and Be</w:t>
      </w:r>
      <w:r w:rsidRPr="00F3377A">
        <w:rPr>
          <w:rFonts w:ascii="Calibri" w:eastAsia="Times New Roman" w:hAnsi="Calibri" w:cs="Times New Roman"/>
          <w:szCs w:val="18"/>
          <w:lang w:val="en-GB" w:bidi="he-IL"/>
        </w:rPr>
        <w:t xml:space="preserve">red. </w:t>
      </w:r>
    </w:p>
    <w:p w14:paraId="4E59160A" w14:textId="77777777" w:rsidR="00F3377A" w:rsidRPr="00F3377A" w:rsidRDefault="00BF4EE8" w:rsidP="00F3377A">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15</w:t>
      </w:r>
      <w:r w:rsidR="00F3377A" w:rsidRPr="00F3377A">
        <w:rPr>
          <w:rFonts w:ascii="Calibri" w:eastAsia="Times New Roman" w:hAnsi="Calibri" w:cs="Times New Roman"/>
          <w:szCs w:val="18"/>
          <w:lang w:val="en-GB" w:bidi="he-IL"/>
        </w:rPr>
        <w:t>So Hagar gave birth to a son for Abram, and Abram named his son</w:t>
      </w:r>
      <w:r w:rsidR="006903F4">
        <w:rPr>
          <w:rFonts w:ascii="Calibri" w:eastAsia="Times New Roman" w:hAnsi="Calibri" w:cs="Times New Roman"/>
          <w:szCs w:val="18"/>
          <w:lang w:val="en-GB" w:bidi="he-IL"/>
        </w:rPr>
        <w:t xml:space="preserve">, to whom Hagar gave birth, </w:t>
      </w:r>
      <w:r w:rsidR="00D75E04" w:rsidRPr="00D75E04">
        <w:rPr>
          <w:rFonts w:ascii="Calibri" w:eastAsia="Times New Roman" w:hAnsi="Calibri" w:cs="Times New Roman"/>
          <w:szCs w:val="18"/>
          <w:lang w:val="en-GB" w:bidi="he-IL"/>
        </w:rPr>
        <w:t>Yišma‘e’l</w:t>
      </w:r>
      <w:r w:rsidR="001154C8">
        <w:rPr>
          <w:rFonts w:ascii="Calibri" w:eastAsia="Times New Roman" w:hAnsi="Calibri" w:cs="Times New Roman"/>
          <w:szCs w:val="18"/>
          <w:lang w:val="en-GB" w:bidi="he-IL"/>
        </w:rPr>
        <w:t xml:space="preserve">. </w:t>
      </w:r>
      <w:r w:rsidR="001154C8">
        <w:rPr>
          <w:rFonts w:ascii="Calibri" w:eastAsia="Times New Roman" w:hAnsi="Calibri" w:cs="Times New Roman"/>
          <w:szCs w:val="18"/>
          <w:vertAlign w:val="superscript"/>
          <w:lang w:val="en-GB" w:bidi="he-IL"/>
        </w:rPr>
        <w:t>16</w:t>
      </w:r>
      <w:r w:rsidR="00F3377A" w:rsidRPr="00F3377A">
        <w:rPr>
          <w:rFonts w:ascii="Calibri" w:eastAsia="Times New Roman" w:hAnsi="Calibri" w:cs="Times New Roman"/>
          <w:szCs w:val="18"/>
          <w:lang w:val="en-GB" w:bidi="he-IL"/>
        </w:rPr>
        <w:t>Abram was a man of eighty-six yea</w:t>
      </w:r>
      <w:r w:rsidR="00D75E04">
        <w:rPr>
          <w:rFonts w:ascii="Calibri" w:eastAsia="Times New Roman" w:hAnsi="Calibri" w:cs="Times New Roman"/>
          <w:szCs w:val="18"/>
          <w:lang w:val="en-GB" w:bidi="he-IL"/>
        </w:rPr>
        <w:t xml:space="preserve">rs when Hagar gave birth to </w:t>
      </w:r>
      <w:r w:rsidR="00D75E04" w:rsidRPr="00D75E04">
        <w:rPr>
          <w:rFonts w:ascii="Calibri" w:eastAsia="Times New Roman" w:hAnsi="Calibri" w:cs="Times New Roman"/>
          <w:szCs w:val="18"/>
          <w:lang w:val="en-GB" w:bidi="he-IL"/>
        </w:rPr>
        <w:t>Yišma‘e’l</w:t>
      </w:r>
      <w:r w:rsidR="00F3377A" w:rsidRPr="00F3377A">
        <w:rPr>
          <w:rFonts w:ascii="Calibri" w:eastAsia="Times New Roman" w:hAnsi="Calibri" w:cs="Times New Roman"/>
          <w:szCs w:val="18"/>
          <w:lang w:val="en-GB" w:bidi="he-IL"/>
        </w:rPr>
        <w:t xml:space="preserve"> for Abram.</w:t>
      </w:r>
    </w:p>
    <w:p w14:paraId="451A3EDA" w14:textId="77777777" w:rsidR="00AD62DB" w:rsidRDefault="00141055" w:rsidP="00AD62DB">
      <w:pPr>
        <w:pStyle w:val="Heading2"/>
        <w:rPr>
          <w:lang w:bidi="he-IL"/>
        </w:rPr>
      </w:pPr>
      <w:r>
        <w:rPr>
          <w:lang w:bidi="he-IL"/>
        </w:rPr>
        <w:t>Interpretation</w:t>
      </w:r>
      <w:r w:rsidR="00AD62DB">
        <w:rPr>
          <w:lang w:bidi="he-IL"/>
        </w:rPr>
        <w:t xml:space="preserve"> </w:t>
      </w:r>
    </w:p>
    <w:p w14:paraId="1AEA068B" w14:textId="77777777" w:rsidR="00DE693F" w:rsidRPr="00DE693F" w:rsidRDefault="00E17C01" w:rsidP="00DE693F">
      <w:pPr>
        <w:rPr>
          <w:lang w:bidi="he-IL"/>
        </w:rPr>
      </w:pPr>
      <w:r>
        <w:rPr>
          <w:lang w:bidi="he-IL"/>
        </w:rPr>
        <w:t>In MT, Gen 16 is</w:t>
      </w:r>
      <w:r w:rsidR="004B24A6" w:rsidRPr="004B24A6">
        <w:rPr>
          <w:lang w:bidi="he-IL"/>
        </w:rPr>
        <w:t xml:space="preserve"> a paragraph within Gen 14—17, like Gen 15</w:t>
      </w:r>
      <w:r w:rsidR="004B24A6">
        <w:rPr>
          <w:lang w:bidi="he-IL"/>
        </w:rPr>
        <w:t xml:space="preserve">. </w:t>
      </w:r>
      <w:r>
        <w:rPr>
          <w:lang w:bidi="he-IL"/>
        </w:rPr>
        <w:t>Following on Gen 15</w:t>
      </w:r>
      <w:r w:rsidR="00DE693F" w:rsidRPr="00DE693F">
        <w:rPr>
          <w:lang w:bidi="he-IL"/>
        </w:rPr>
        <w:t xml:space="preserve"> one </w:t>
      </w:r>
      <w:r>
        <w:rPr>
          <w:lang w:bidi="he-IL"/>
        </w:rPr>
        <w:t xml:space="preserve">would </w:t>
      </w:r>
      <w:r w:rsidR="00DE693F" w:rsidRPr="00DE693F">
        <w:rPr>
          <w:lang w:bidi="he-IL"/>
        </w:rPr>
        <w:t xml:space="preserve">expect Gen 16 to be a story about Abraham, </w:t>
      </w:r>
      <w:r w:rsidR="00DE693F">
        <w:rPr>
          <w:lang w:bidi="he-IL"/>
        </w:rPr>
        <w:t>and there are references to Abraham in the frame around the chapter and on the way along. The story’s</w:t>
      </w:r>
      <w:r w:rsidR="00DE693F" w:rsidRPr="00DE693F">
        <w:rPr>
          <w:lang w:bidi="he-IL"/>
        </w:rPr>
        <w:t xml:space="preserve"> question would then be whether Abraham is really going to a have a son</w:t>
      </w:r>
      <w:r w:rsidR="00F2659E">
        <w:rPr>
          <w:lang w:bidi="he-IL"/>
        </w:rPr>
        <w:t xml:space="preserve"> (cf. v. 1a)</w:t>
      </w:r>
      <w:r w:rsidR="00DE693F" w:rsidRPr="00DE693F">
        <w:rPr>
          <w:lang w:bidi="he-IL"/>
        </w:rPr>
        <w:t>, and if so, how. And its answer is yes</w:t>
      </w:r>
      <w:r w:rsidR="00F2659E">
        <w:rPr>
          <w:lang w:bidi="he-IL"/>
        </w:rPr>
        <w:t xml:space="preserve"> (vv. 15-16)</w:t>
      </w:r>
      <w:r w:rsidR="00DE693F" w:rsidRPr="00DE693F">
        <w:rPr>
          <w:lang w:bidi="he-IL"/>
        </w:rPr>
        <w:t>, but by a route that:</w:t>
      </w:r>
    </w:p>
    <w:p w14:paraId="1F09B1B4" w14:textId="77777777" w:rsidR="00DE693F" w:rsidRPr="00DE693F" w:rsidRDefault="00DE693F" w:rsidP="00DE693F">
      <w:pPr>
        <w:rPr>
          <w:lang w:bidi="he-IL"/>
        </w:rPr>
      </w:pPr>
    </w:p>
    <w:p w14:paraId="51F30A80" w14:textId="77777777" w:rsidR="00DE693F" w:rsidRPr="00DE693F" w:rsidRDefault="00DE693F" w:rsidP="00DE693F">
      <w:pPr>
        <w:numPr>
          <w:ilvl w:val="0"/>
          <w:numId w:val="27"/>
        </w:numPr>
        <w:rPr>
          <w:i/>
          <w:lang w:bidi="he-IL"/>
        </w:rPr>
      </w:pPr>
      <w:r>
        <w:rPr>
          <w:lang w:bidi="he-IL"/>
        </w:rPr>
        <w:t>i</w:t>
      </w:r>
      <w:r w:rsidRPr="00DE693F">
        <w:rPr>
          <w:lang w:bidi="he-IL"/>
        </w:rPr>
        <w:t>s surprising (vv. 1b-4a)</w:t>
      </w:r>
    </w:p>
    <w:p w14:paraId="73E6AE9B" w14:textId="77777777" w:rsidR="00DE693F" w:rsidRPr="00DE693F" w:rsidRDefault="00DE693F" w:rsidP="00DE693F">
      <w:pPr>
        <w:numPr>
          <w:ilvl w:val="0"/>
          <w:numId w:val="27"/>
        </w:numPr>
        <w:rPr>
          <w:i/>
          <w:lang w:bidi="he-IL"/>
        </w:rPr>
      </w:pPr>
      <w:r w:rsidRPr="00DE693F">
        <w:rPr>
          <w:lang w:bidi="he-IL"/>
        </w:rPr>
        <w:lastRenderedPageBreak/>
        <w:t>brings family conflict and suffering (vv. 4b-6)</w:t>
      </w:r>
    </w:p>
    <w:p w14:paraId="73C575E7" w14:textId="77777777" w:rsidR="00DE693F" w:rsidRPr="00DE693F" w:rsidRDefault="00DE693F" w:rsidP="00DE693F">
      <w:pPr>
        <w:numPr>
          <w:ilvl w:val="0"/>
          <w:numId w:val="27"/>
        </w:numPr>
        <w:rPr>
          <w:i/>
          <w:lang w:bidi="he-IL"/>
        </w:rPr>
      </w:pPr>
      <w:r w:rsidRPr="00DE693F">
        <w:rPr>
          <w:lang w:bidi="he-IL"/>
        </w:rPr>
        <w:t>necessitates a divine intervention to get t</w:t>
      </w:r>
      <w:r w:rsidR="00F2659E">
        <w:rPr>
          <w:lang w:bidi="he-IL"/>
        </w:rPr>
        <w:t>hings back on the rails (vv. 7-9</w:t>
      </w:r>
      <w:r w:rsidRPr="00DE693F">
        <w:rPr>
          <w:lang w:bidi="he-IL"/>
        </w:rPr>
        <w:t>)</w:t>
      </w:r>
    </w:p>
    <w:p w14:paraId="79491A06" w14:textId="77777777" w:rsidR="00DE693F" w:rsidRPr="00DE693F" w:rsidRDefault="00DE693F" w:rsidP="00DE693F">
      <w:pPr>
        <w:numPr>
          <w:ilvl w:val="0"/>
          <w:numId w:val="27"/>
        </w:numPr>
        <w:rPr>
          <w:i/>
          <w:lang w:bidi="he-IL"/>
        </w:rPr>
      </w:pPr>
      <w:r w:rsidRPr="00DE693F">
        <w:rPr>
          <w:lang w:bidi="he-IL"/>
        </w:rPr>
        <w:t>her</w:t>
      </w:r>
      <w:r w:rsidR="00F2659E">
        <w:rPr>
          <w:lang w:bidi="he-IL"/>
        </w:rPr>
        <w:t>alds a promising yet surprising future for the boy (vv. 10</w:t>
      </w:r>
      <w:r w:rsidRPr="00DE693F">
        <w:rPr>
          <w:lang w:bidi="he-IL"/>
        </w:rPr>
        <w:t>-12)</w:t>
      </w:r>
    </w:p>
    <w:p w14:paraId="047842CE" w14:textId="77777777" w:rsidR="00DE693F" w:rsidRPr="00DE693F" w:rsidRDefault="00DE693F" w:rsidP="00DE693F">
      <w:pPr>
        <w:numPr>
          <w:ilvl w:val="0"/>
          <w:numId w:val="27"/>
        </w:numPr>
        <w:rPr>
          <w:i/>
          <w:lang w:bidi="he-IL"/>
        </w:rPr>
      </w:pPr>
      <w:proofErr w:type="gramStart"/>
      <w:r w:rsidRPr="00DE693F">
        <w:rPr>
          <w:lang w:bidi="he-IL"/>
        </w:rPr>
        <w:t>issues</w:t>
      </w:r>
      <w:proofErr w:type="gramEnd"/>
      <w:r w:rsidRPr="00DE693F">
        <w:rPr>
          <w:lang w:bidi="he-IL"/>
        </w:rPr>
        <w:t xml:space="preserve"> in a revelation for his mother (vv. 13-14).</w:t>
      </w:r>
    </w:p>
    <w:p w14:paraId="14A79E99" w14:textId="77777777" w:rsidR="00DE693F" w:rsidRPr="00DE693F" w:rsidRDefault="00DE693F" w:rsidP="00DE693F">
      <w:pPr>
        <w:rPr>
          <w:i/>
          <w:lang w:bidi="he-IL"/>
        </w:rPr>
      </w:pPr>
    </w:p>
    <w:p w14:paraId="7D7C0B2D" w14:textId="77777777" w:rsidR="00D0477B" w:rsidRPr="00D0477B" w:rsidRDefault="00E17C01" w:rsidP="00D0477B">
      <w:pPr>
        <w:ind w:firstLine="0"/>
        <w:rPr>
          <w:lang w:bidi="he-IL"/>
        </w:rPr>
      </w:pPr>
      <w:r>
        <w:rPr>
          <w:lang w:bidi="he-IL"/>
        </w:rPr>
        <w:t>Whereas v</w:t>
      </w:r>
      <w:r w:rsidR="00DE693F" w:rsidRPr="00DE693F">
        <w:rPr>
          <w:lang w:bidi="he-IL"/>
        </w:rPr>
        <w:t>v. 10-11 would m</w:t>
      </w:r>
      <w:r w:rsidR="00F2659E">
        <w:rPr>
          <w:lang w:bidi="he-IL"/>
        </w:rPr>
        <w:t>ake one think that Ishmael will</w:t>
      </w:r>
      <w:r w:rsidR="00DE693F" w:rsidRPr="00DE693F">
        <w:rPr>
          <w:lang w:bidi="he-IL"/>
        </w:rPr>
        <w:t xml:space="preserve"> indeed be the fulfillment of Yahweh’s promise to Abr</w:t>
      </w:r>
      <w:r>
        <w:rPr>
          <w:lang w:bidi="he-IL"/>
        </w:rPr>
        <w:t>aham,</w:t>
      </w:r>
      <w:r w:rsidR="00DE693F" w:rsidRPr="00DE693F">
        <w:rPr>
          <w:lang w:bidi="he-IL"/>
        </w:rPr>
        <w:t xml:space="preserve"> v. 12 subve</w:t>
      </w:r>
      <w:r w:rsidR="00A87203">
        <w:rPr>
          <w:lang w:bidi="he-IL"/>
        </w:rPr>
        <w:t>rts that idea,</w:t>
      </w:r>
      <w:r w:rsidR="00DE693F" w:rsidRPr="00DE693F">
        <w:rPr>
          <w:vertAlign w:val="superscript"/>
          <w:lang w:bidi="he-IL"/>
        </w:rPr>
        <w:footnoteReference w:id="245"/>
      </w:r>
      <w:r w:rsidR="00A87203">
        <w:rPr>
          <w:lang w:bidi="he-IL"/>
        </w:rPr>
        <w:t xml:space="preserve"> a</w:t>
      </w:r>
      <w:r w:rsidR="00F2659E">
        <w:rPr>
          <w:lang w:bidi="he-IL"/>
        </w:rPr>
        <w:t>nd</w:t>
      </w:r>
      <w:r w:rsidR="00F2659E" w:rsidRPr="00F2659E">
        <w:rPr>
          <w:lang w:bidi="he-IL"/>
        </w:rPr>
        <w:t xml:space="preserve"> Gen</w:t>
      </w:r>
      <w:r w:rsidR="00A87203">
        <w:rPr>
          <w:lang w:bidi="he-IL"/>
        </w:rPr>
        <w:t xml:space="preserve"> 17 will deconstruct this</w:t>
      </w:r>
      <w:r w:rsidR="00F2659E" w:rsidRPr="00F2659E">
        <w:rPr>
          <w:lang w:bidi="he-IL"/>
        </w:rPr>
        <w:t xml:space="preserve"> story’s</w:t>
      </w:r>
      <w:r w:rsidR="00A87203">
        <w:rPr>
          <w:lang w:bidi="he-IL"/>
        </w:rPr>
        <w:t xml:space="preserve"> significance. T</w:t>
      </w:r>
      <w:r w:rsidR="00F2659E" w:rsidRPr="00F2659E">
        <w:rPr>
          <w:lang w:bidi="he-IL"/>
        </w:rPr>
        <w:t xml:space="preserve">his son is not the right one. </w:t>
      </w:r>
      <w:r w:rsidR="00A87203">
        <w:rPr>
          <w:lang w:bidi="he-IL"/>
        </w:rPr>
        <w:t>“T</w:t>
      </w:r>
      <w:r w:rsidR="00D0477B" w:rsidRPr="00D0477B">
        <w:rPr>
          <w:lang w:bidi="he-IL"/>
        </w:rPr>
        <w:t>he dominant narrative tension th</w:t>
      </w:r>
      <w:r w:rsidR="00A87203">
        <w:rPr>
          <w:lang w:bidi="he-IL"/>
        </w:rPr>
        <w:t>roughout the story of Abraham” continues to be</w:t>
      </w:r>
      <w:r w:rsidR="00D0477B" w:rsidRPr="00D0477B">
        <w:rPr>
          <w:lang w:bidi="he-IL"/>
        </w:rPr>
        <w:t xml:space="preserve"> </w:t>
      </w:r>
      <w:r w:rsidR="00A87203">
        <w:rPr>
          <w:lang w:bidi="he-IL"/>
        </w:rPr>
        <w:t>“</w:t>
      </w:r>
      <w:r w:rsidR="00D0477B" w:rsidRPr="00D0477B">
        <w:rPr>
          <w:lang w:bidi="he-IL"/>
        </w:rPr>
        <w:t>one of delay.</w:t>
      </w:r>
      <w:r w:rsidR="003D56BA">
        <w:rPr>
          <w:lang w:bidi="he-IL"/>
        </w:rPr>
        <w:t>”</w:t>
      </w:r>
      <w:r w:rsidR="00D0477B" w:rsidRPr="00D0477B">
        <w:rPr>
          <w:vertAlign w:val="superscript"/>
          <w:lang w:bidi="he-IL"/>
        </w:rPr>
        <w:footnoteReference w:id="246"/>
      </w:r>
    </w:p>
    <w:p w14:paraId="1AC5B503" w14:textId="77777777" w:rsidR="00EC0240" w:rsidRDefault="00F2659E" w:rsidP="00EC0240">
      <w:pPr>
        <w:rPr>
          <w:lang w:bidi="he-IL"/>
        </w:rPr>
      </w:pPr>
      <w:r>
        <w:rPr>
          <w:lang w:bidi="he-IL"/>
        </w:rPr>
        <w:t xml:space="preserve">While one can thus read Gen 16 as Abraham’s story, really he is marginal to it. Its opening </w:t>
      </w:r>
      <w:r w:rsidR="00A87203">
        <w:rPr>
          <w:lang w:bidi="he-IL"/>
        </w:rPr>
        <w:t>makes one anticipate</w:t>
      </w:r>
      <w:r w:rsidR="00E55E9A">
        <w:rPr>
          <w:lang w:bidi="he-IL"/>
        </w:rPr>
        <w:t xml:space="preserve"> a </w:t>
      </w:r>
      <w:r w:rsidR="00EC0240">
        <w:rPr>
          <w:lang w:bidi="he-IL"/>
        </w:rPr>
        <w:t>story about Sarah, and at first</w:t>
      </w:r>
      <w:r>
        <w:rPr>
          <w:lang w:bidi="he-IL"/>
        </w:rPr>
        <w:t xml:space="preserve"> she controls the plot. The story’s</w:t>
      </w:r>
      <w:r w:rsidR="00A87203">
        <w:rPr>
          <w:lang w:bidi="he-IL"/>
        </w:rPr>
        <w:t xml:space="preserve"> problem</w:t>
      </w:r>
      <w:r>
        <w:rPr>
          <w:lang w:bidi="he-IL"/>
        </w:rPr>
        <w:t xml:space="preserve"> </w:t>
      </w:r>
      <w:r w:rsidR="00E55E9A">
        <w:rPr>
          <w:lang w:bidi="he-IL"/>
        </w:rPr>
        <w:t>is that Sarah cannot give Abraham a son</w:t>
      </w:r>
      <w:r w:rsidR="00A87203">
        <w:rPr>
          <w:lang w:bidi="he-IL"/>
        </w:rPr>
        <w:t xml:space="preserve"> (v. 1a). I</w:t>
      </w:r>
      <w:r w:rsidR="00E55E9A">
        <w:rPr>
          <w:lang w:bidi="he-IL"/>
        </w:rPr>
        <w:t>ts question is whether Sarah can solve the proble</w:t>
      </w:r>
      <w:r w:rsidR="00A87203">
        <w:rPr>
          <w:lang w:bidi="he-IL"/>
        </w:rPr>
        <w:t>m, and i</w:t>
      </w:r>
      <w:r w:rsidR="00E55E9A">
        <w:rPr>
          <w:lang w:bidi="he-IL"/>
        </w:rPr>
        <w:t>nitially it seems she can</w:t>
      </w:r>
      <w:r>
        <w:rPr>
          <w:lang w:bidi="he-IL"/>
        </w:rPr>
        <w:t xml:space="preserve"> (vv. 1-4</w:t>
      </w:r>
      <w:r w:rsidR="00A87203">
        <w:rPr>
          <w:lang w:bidi="he-IL"/>
        </w:rPr>
        <w:t>a</w:t>
      </w:r>
      <w:r>
        <w:rPr>
          <w:lang w:bidi="he-IL"/>
        </w:rPr>
        <w:t xml:space="preserve">). </w:t>
      </w:r>
      <w:r w:rsidR="00A87203">
        <w:rPr>
          <w:lang w:bidi="he-IL"/>
        </w:rPr>
        <w:t>But Hagar’s pregnancy complicates Sarah’s position, and s</w:t>
      </w:r>
      <w:r>
        <w:rPr>
          <w:lang w:bidi="he-IL"/>
        </w:rPr>
        <w:t>he</w:t>
      </w:r>
      <w:r w:rsidR="00E55E9A">
        <w:rPr>
          <w:lang w:bidi="he-IL"/>
        </w:rPr>
        <w:t xml:space="preserve"> tries to regain control, but her action complica</w:t>
      </w:r>
      <w:r w:rsidR="00A87203">
        <w:rPr>
          <w:lang w:bidi="he-IL"/>
        </w:rPr>
        <w:t>tes things some more (vv. 4b</w:t>
      </w:r>
      <w:r w:rsidR="00EC0240">
        <w:rPr>
          <w:lang w:bidi="he-IL"/>
        </w:rPr>
        <w:t xml:space="preserve">-6); </w:t>
      </w:r>
      <w:r w:rsidR="00E55E9A">
        <w:rPr>
          <w:lang w:bidi="he-IL"/>
        </w:rPr>
        <w:t>the pat</w:t>
      </w:r>
      <w:r w:rsidR="00EC0240">
        <w:rPr>
          <w:lang w:bidi="he-IL"/>
        </w:rPr>
        <w:t>tern is like the one in 12:9-20</w:t>
      </w:r>
      <w:r w:rsidR="00E55E9A">
        <w:rPr>
          <w:lang w:bidi="he-IL"/>
        </w:rPr>
        <w:t xml:space="preserve">. </w:t>
      </w:r>
      <w:r w:rsidR="00EB6688">
        <w:rPr>
          <w:lang w:bidi="he-IL"/>
        </w:rPr>
        <w:t xml:space="preserve">Sarah </w:t>
      </w:r>
      <w:r w:rsidR="00EC0240">
        <w:rPr>
          <w:lang w:bidi="he-IL"/>
        </w:rPr>
        <w:t xml:space="preserve">then </w:t>
      </w:r>
      <w:r w:rsidR="00EB6688">
        <w:rPr>
          <w:lang w:bidi="he-IL"/>
        </w:rPr>
        <w:t xml:space="preserve">disappears </w:t>
      </w:r>
      <w:r w:rsidR="00EC0240">
        <w:rPr>
          <w:lang w:bidi="he-IL"/>
        </w:rPr>
        <w:t>from the</w:t>
      </w:r>
      <w:r w:rsidR="00A87203">
        <w:rPr>
          <w:lang w:bidi="he-IL"/>
        </w:rPr>
        <w:t xml:space="preserve"> story as </w:t>
      </w:r>
      <w:r w:rsidR="00EC0240">
        <w:rPr>
          <w:lang w:bidi="he-IL"/>
        </w:rPr>
        <w:t xml:space="preserve">agent or </w:t>
      </w:r>
      <w:r w:rsidR="00A87203">
        <w:rPr>
          <w:lang w:bidi="he-IL"/>
        </w:rPr>
        <w:t>potential mother; t</w:t>
      </w:r>
      <w:r w:rsidR="00EB6688">
        <w:rPr>
          <w:lang w:bidi="he-IL"/>
        </w:rPr>
        <w:t>he references to her in the third person (vv.</w:t>
      </w:r>
      <w:r w:rsidR="00EC0240">
        <w:rPr>
          <w:lang w:bidi="he-IL"/>
        </w:rPr>
        <w:t xml:space="preserve"> 8, 9) underscore the point. While Hagar</w:t>
      </w:r>
      <w:r w:rsidR="00EB6688">
        <w:rPr>
          <w:lang w:bidi="he-IL"/>
        </w:rPr>
        <w:t xml:space="preserve"> is instructed to g</w:t>
      </w:r>
      <w:r w:rsidR="00A87203">
        <w:rPr>
          <w:lang w:bidi="he-IL"/>
        </w:rPr>
        <w:t>o back and submit to her</w:t>
      </w:r>
      <w:r w:rsidR="00EC0240">
        <w:rPr>
          <w:lang w:bidi="he-IL"/>
        </w:rPr>
        <w:t xml:space="preserve">, </w:t>
      </w:r>
      <w:r w:rsidR="00EB6688">
        <w:rPr>
          <w:lang w:bidi="he-IL"/>
        </w:rPr>
        <w:t xml:space="preserve">we are not told whether she did. </w:t>
      </w:r>
      <w:r>
        <w:rPr>
          <w:lang w:bidi="he-IL"/>
        </w:rPr>
        <w:t>And when the baby is born, Sarah is nowhere to be seen.</w:t>
      </w:r>
    </w:p>
    <w:p w14:paraId="2DBDEAB7" w14:textId="77777777" w:rsidR="001C5F09" w:rsidRDefault="001C5F09" w:rsidP="00EB6688">
      <w:pPr>
        <w:pStyle w:val="ListParagraph"/>
        <w:ind w:left="0" w:firstLine="720"/>
        <w:rPr>
          <w:lang w:bidi="he-IL"/>
        </w:rPr>
      </w:pPr>
      <w:r>
        <w:rPr>
          <w:lang w:bidi="he-IL"/>
        </w:rPr>
        <w:t>Sarah and Hagar were mistress and maidservant, wealthy and poor, Israelite and Egyptian,</w:t>
      </w:r>
      <w:r w:rsidRPr="001C5F09">
        <w:rPr>
          <w:lang w:bidi="he-IL"/>
        </w:rPr>
        <w:t xml:space="preserve"> both </w:t>
      </w:r>
      <w:r>
        <w:rPr>
          <w:lang w:bidi="he-IL"/>
        </w:rPr>
        <w:t xml:space="preserve">of them Abraham’s wives, </w:t>
      </w:r>
      <w:r w:rsidRPr="001C5F09">
        <w:rPr>
          <w:lang w:bidi="he-IL"/>
        </w:rPr>
        <w:t>inferti</w:t>
      </w:r>
      <w:r>
        <w:rPr>
          <w:lang w:bidi="he-IL"/>
        </w:rPr>
        <w:t>le and pregnant, two women who thus</w:t>
      </w:r>
      <w:r w:rsidRPr="001C5F09">
        <w:rPr>
          <w:lang w:bidi="he-IL"/>
        </w:rPr>
        <w:t xml:space="preserve"> came to look down on each other.</w:t>
      </w:r>
      <w:r>
        <w:rPr>
          <w:lang w:bidi="he-IL"/>
        </w:rPr>
        <w:t xml:space="preserve"> </w:t>
      </w:r>
      <w:r w:rsidR="001D3D9D">
        <w:rPr>
          <w:lang w:bidi="he-IL"/>
        </w:rPr>
        <w:t>Gen 16</w:t>
      </w:r>
      <w:r w:rsidR="001D3D9D" w:rsidRPr="001D3D9D">
        <w:rPr>
          <w:lang w:bidi="he-IL"/>
        </w:rPr>
        <w:t xml:space="preserve"> </w:t>
      </w:r>
      <w:r w:rsidR="00F3364E">
        <w:rPr>
          <w:lang w:bidi="he-IL"/>
        </w:rPr>
        <w:t xml:space="preserve">is </w:t>
      </w:r>
      <w:r w:rsidR="001D3D9D" w:rsidRPr="001D3D9D">
        <w:rPr>
          <w:lang w:bidi="he-IL"/>
        </w:rPr>
        <w:t>a story about the suffering of two women and the conflict between them, in which Abraham has only a supporting (?) role.</w:t>
      </w:r>
      <w:r w:rsidR="001D3D9D">
        <w:rPr>
          <w:lang w:bidi="he-IL"/>
        </w:rPr>
        <w:t xml:space="preserve"> </w:t>
      </w:r>
      <w:r>
        <w:rPr>
          <w:lang w:bidi="he-IL"/>
        </w:rPr>
        <w:t>But t</w:t>
      </w:r>
      <w:r w:rsidR="00EB6688">
        <w:rPr>
          <w:lang w:bidi="he-IL"/>
        </w:rPr>
        <w:t xml:space="preserve">he </w:t>
      </w:r>
      <w:r w:rsidR="00EC0240">
        <w:rPr>
          <w:lang w:bidi="he-IL"/>
        </w:rPr>
        <w:t xml:space="preserve">most prominent person </w:t>
      </w:r>
      <w:r w:rsidR="00EB6688">
        <w:rPr>
          <w:lang w:bidi="he-IL"/>
        </w:rPr>
        <w:t>in the story is Hagar</w:t>
      </w:r>
      <w:r>
        <w:rPr>
          <w:lang w:bidi="he-IL"/>
        </w:rPr>
        <w:t>.</w:t>
      </w:r>
      <w:r w:rsidR="00EC0240">
        <w:rPr>
          <w:lang w:bidi="he-IL"/>
        </w:rPr>
        <w:t xml:space="preserve"> </w:t>
      </w:r>
      <w:r w:rsidR="00EB6688">
        <w:rPr>
          <w:lang w:bidi="he-IL"/>
        </w:rPr>
        <w:t xml:space="preserve">One could </w:t>
      </w:r>
      <w:r w:rsidR="00EC0240">
        <w:rPr>
          <w:lang w:bidi="he-IL"/>
        </w:rPr>
        <w:t>then say that the question underlying</w:t>
      </w:r>
      <w:r w:rsidR="00EB6688">
        <w:rPr>
          <w:lang w:bidi="he-IL"/>
        </w:rPr>
        <w:t xml:space="preserve"> the story is, how did an Egyptian servant girl come to be the mother of Abraham’s firstborn</w:t>
      </w:r>
      <w:r w:rsidR="00FB10E8">
        <w:rPr>
          <w:lang w:bidi="he-IL"/>
        </w:rPr>
        <w:t xml:space="preserve"> (vv. 15-16)</w:t>
      </w:r>
      <w:r w:rsidR="00EB6688">
        <w:rPr>
          <w:lang w:bidi="he-IL"/>
        </w:rPr>
        <w:t>? The short answer is, because her mistress could not conceive</w:t>
      </w:r>
      <w:r w:rsidR="00A87203">
        <w:rPr>
          <w:lang w:bidi="he-IL"/>
        </w:rPr>
        <w:t xml:space="preserve"> (vv. 1-4a</w:t>
      </w:r>
      <w:r w:rsidR="00FB10E8">
        <w:rPr>
          <w:lang w:bidi="he-IL"/>
        </w:rPr>
        <w:t>)</w:t>
      </w:r>
      <w:r w:rsidR="00EB6688">
        <w:rPr>
          <w:lang w:bidi="he-IL"/>
        </w:rPr>
        <w:t xml:space="preserve">. </w:t>
      </w:r>
      <w:r w:rsidR="00EC0240">
        <w:rPr>
          <w:lang w:bidi="he-IL"/>
        </w:rPr>
        <w:t>And the story could</w:t>
      </w:r>
      <w:r w:rsidR="00A87203">
        <w:rPr>
          <w:lang w:bidi="he-IL"/>
        </w:rPr>
        <w:t xml:space="preserve"> have gone straight from vv. 1-4a</w:t>
      </w:r>
      <w:r w:rsidR="00EC0240">
        <w:rPr>
          <w:lang w:bidi="he-IL"/>
        </w:rPr>
        <w:t xml:space="preserve"> to vv. 15-16. </w:t>
      </w:r>
      <w:r>
        <w:rPr>
          <w:lang w:bidi="he-IL"/>
        </w:rPr>
        <w:t xml:space="preserve">Indeed, </w:t>
      </w:r>
      <w:r w:rsidR="00AA29AE">
        <w:rPr>
          <w:i/>
          <w:lang w:bidi="he-IL"/>
        </w:rPr>
        <w:t>Jub</w:t>
      </w:r>
      <w:r>
        <w:rPr>
          <w:i/>
          <w:lang w:bidi="he-IL"/>
        </w:rPr>
        <w:t xml:space="preserve"> </w:t>
      </w:r>
      <w:r>
        <w:rPr>
          <w:lang w:bidi="he-IL"/>
        </w:rPr>
        <w:t xml:space="preserve">14:21-24 makes it do so: </w:t>
      </w:r>
    </w:p>
    <w:p w14:paraId="69E231EA" w14:textId="77777777" w:rsidR="001C5F09" w:rsidRDefault="001C5F09" w:rsidP="001C5F09">
      <w:pPr>
        <w:rPr>
          <w:lang w:bidi="he-IL"/>
        </w:rPr>
      </w:pPr>
    </w:p>
    <w:p w14:paraId="25A1CA22" w14:textId="0F88DD53" w:rsidR="001C5F09" w:rsidRPr="00D81529" w:rsidRDefault="001C5F09" w:rsidP="00927C4A">
      <w:pPr>
        <w:pStyle w:val="Quote"/>
      </w:pPr>
      <w:r w:rsidRPr="00D81529">
        <w:rPr>
          <w:rFonts w:eastAsia="Times New Roman"/>
        </w:rPr>
        <w:t>And Abram rejoiced, and he told all of these things to Sarai his wife. And he believed that he would have seed, but she did not give birth. And Sarai advised Abram, her</w:t>
      </w:r>
      <w:r w:rsidR="00A87203">
        <w:rPr>
          <w:rFonts w:eastAsia="Times New Roman"/>
        </w:rPr>
        <w:t xml:space="preserve"> husband, and she said to him: “</w:t>
      </w:r>
      <w:r w:rsidRPr="00D81529">
        <w:rPr>
          <w:rFonts w:eastAsia="Times New Roman"/>
        </w:rPr>
        <w:t>Go in</w:t>
      </w:r>
      <w:r w:rsidR="00253378">
        <w:rPr>
          <w:rFonts w:eastAsia="Times New Roman"/>
        </w:rPr>
        <w:t>to</w:t>
      </w:r>
      <w:r w:rsidRPr="00D81529">
        <w:rPr>
          <w:rFonts w:eastAsia="Times New Roman"/>
        </w:rPr>
        <w:t xml:space="preserve"> Hagar, my Egyptian maid. It may be that I wi</w:t>
      </w:r>
      <w:r w:rsidR="00253378">
        <w:rPr>
          <w:rFonts w:eastAsia="Times New Roman"/>
        </w:rPr>
        <w:t>ll build seed for you from her.”</w:t>
      </w:r>
      <w:r w:rsidRPr="00D81529">
        <w:rPr>
          <w:rFonts w:eastAsia="Times New Roman"/>
        </w:rPr>
        <w:t xml:space="preserve"> And Abram heard his </w:t>
      </w:r>
      <w:r w:rsidR="00253378">
        <w:rPr>
          <w:rFonts w:eastAsia="Times New Roman"/>
        </w:rPr>
        <w:t>wife Sarai’s word and he said, “</w:t>
      </w:r>
      <w:r w:rsidRPr="00D81529">
        <w:rPr>
          <w:rFonts w:eastAsia="Times New Roman"/>
        </w:rPr>
        <w:t>Do (</w:t>
      </w:r>
      <w:r w:rsidR="00253378">
        <w:rPr>
          <w:rFonts w:eastAsia="Times New Roman"/>
        </w:rPr>
        <w:t>it).”</w:t>
      </w:r>
      <w:r w:rsidRPr="00D81529">
        <w:rPr>
          <w:rFonts w:eastAsia="Times New Roman"/>
        </w:rPr>
        <w:t xml:space="preserve"> And Sarai took Hagar, her Egyptian maid, and she gave her to Abram, her husband, so that she might be a wife. And he went into her. And she conceived and bore a son and he called him Ishmael, in the fifth year of this week. And that year was the eighty-sixth year in the life of Abram.</w:t>
      </w:r>
    </w:p>
    <w:p w14:paraId="4AD431F3" w14:textId="77777777" w:rsidR="001C5F09" w:rsidRDefault="001C5F09" w:rsidP="00EB6688">
      <w:pPr>
        <w:pStyle w:val="ListParagraph"/>
        <w:ind w:left="0" w:firstLine="720"/>
        <w:rPr>
          <w:lang w:bidi="he-IL"/>
        </w:rPr>
      </w:pPr>
    </w:p>
    <w:p w14:paraId="498D0893" w14:textId="77777777" w:rsidR="00EB6688" w:rsidRDefault="00253378" w:rsidP="001C5F09">
      <w:pPr>
        <w:pStyle w:val="PlainText"/>
      </w:pPr>
      <w:r>
        <w:t>I</w:t>
      </w:r>
      <w:r w:rsidR="001C5F09">
        <w:t xml:space="preserve">n Gen 16 itself, </w:t>
      </w:r>
      <w:r w:rsidR="00EB6688">
        <w:t xml:space="preserve">the route from conception </w:t>
      </w:r>
      <w:r>
        <w:t>to birth i</w:t>
      </w:r>
      <w:r w:rsidR="00FB10E8">
        <w:t>s complicated</w:t>
      </w:r>
      <w:r w:rsidR="00EB6688">
        <w:t>:</w:t>
      </w:r>
    </w:p>
    <w:p w14:paraId="428ECC50" w14:textId="77777777" w:rsidR="00FB10E8" w:rsidRDefault="00FB10E8" w:rsidP="00EB6688">
      <w:pPr>
        <w:pStyle w:val="ListParagraph"/>
        <w:ind w:left="0" w:firstLine="720"/>
        <w:rPr>
          <w:lang w:bidi="he-IL"/>
        </w:rPr>
      </w:pPr>
    </w:p>
    <w:p w14:paraId="7B40FBE4" w14:textId="77777777" w:rsidR="00FB10E8" w:rsidRDefault="00FB10E8" w:rsidP="00FB10E8">
      <w:pPr>
        <w:pStyle w:val="ListParagraph"/>
        <w:numPr>
          <w:ilvl w:val="0"/>
          <w:numId w:val="29"/>
        </w:numPr>
        <w:rPr>
          <w:lang w:bidi="he-IL"/>
        </w:rPr>
      </w:pPr>
      <w:r>
        <w:rPr>
          <w:lang w:bidi="he-IL"/>
        </w:rPr>
        <w:t>Hagar</w:t>
      </w:r>
      <w:r w:rsidR="00EC0240">
        <w:rPr>
          <w:lang w:bidi="he-IL"/>
        </w:rPr>
        <w:t>’s pregnancy issued in problems between her and</w:t>
      </w:r>
      <w:r w:rsidR="00253378">
        <w:rPr>
          <w:lang w:bidi="he-IL"/>
        </w:rPr>
        <w:t xml:space="preserve"> Sarah (vv. </w:t>
      </w:r>
      <w:r>
        <w:rPr>
          <w:lang w:bidi="he-IL"/>
        </w:rPr>
        <w:t>4</w:t>
      </w:r>
      <w:r w:rsidR="00253378">
        <w:rPr>
          <w:lang w:bidi="he-IL"/>
        </w:rPr>
        <w:t>b</w:t>
      </w:r>
      <w:r>
        <w:rPr>
          <w:lang w:bidi="he-IL"/>
        </w:rPr>
        <w:t>)</w:t>
      </w:r>
    </w:p>
    <w:p w14:paraId="070C4A13" w14:textId="77777777" w:rsidR="00FB10E8" w:rsidRDefault="00EC0240" w:rsidP="00FB10E8">
      <w:pPr>
        <w:pStyle w:val="ListParagraph"/>
        <w:numPr>
          <w:ilvl w:val="0"/>
          <w:numId w:val="29"/>
        </w:numPr>
        <w:rPr>
          <w:lang w:bidi="he-IL"/>
        </w:rPr>
      </w:pPr>
      <w:r>
        <w:rPr>
          <w:lang w:bidi="he-IL"/>
        </w:rPr>
        <w:t>Sarah fell into oppressing Hagar</w:t>
      </w:r>
      <w:r w:rsidR="00FB10E8">
        <w:rPr>
          <w:lang w:bidi="he-IL"/>
        </w:rPr>
        <w:t>, and she ran away (vv. 5-6)</w:t>
      </w:r>
    </w:p>
    <w:p w14:paraId="7D827245" w14:textId="77777777" w:rsidR="00FB10E8" w:rsidRDefault="00FB10E8" w:rsidP="00FB10E8">
      <w:pPr>
        <w:pStyle w:val="ListParagraph"/>
        <w:numPr>
          <w:ilvl w:val="0"/>
          <w:numId w:val="29"/>
        </w:numPr>
        <w:rPr>
          <w:lang w:bidi="he-IL"/>
        </w:rPr>
      </w:pPr>
      <w:r>
        <w:rPr>
          <w:lang w:bidi="he-IL"/>
        </w:rPr>
        <w:t>But Yahweh’s envoy sent her back (v</w:t>
      </w:r>
      <w:r w:rsidR="00253378">
        <w:rPr>
          <w:lang w:bidi="he-IL"/>
        </w:rPr>
        <w:t>v</w:t>
      </w:r>
      <w:r>
        <w:rPr>
          <w:lang w:bidi="he-IL"/>
        </w:rPr>
        <w:t>.</w:t>
      </w:r>
      <w:r w:rsidR="00253378">
        <w:rPr>
          <w:lang w:bidi="he-IL"/>
        </w:rPr>
        <w:t>7-</w:t>
      </w:r>
      <w:r>
        <w:rPr>
          <w:lang w:bidi="he-IL"/>
        </w:rPr>
        <w:t xml:space="preserve"> 9)</w:t>
      </w:r>
      <w:r w:rsidR="00253378">
        <w:rPr>
          <w:lang w:bidi="he-IL"/>
        </w:rPr>
        <w:t>.</w:t>
      </w:r>
    </w:p>
    <w:p w14:paraId="1066CA30" w14:textId="77777777" w:rsidR="00FB10E8" w:rsidRDefault="00FB10E8" w:rsidP="00FB10E8">
      <w:pPr>
        <w:rPr>
          <w:lang w:bidi="he-IL"/>
        </w:rPr>
      </w:pPr>
    </w:p>
    <w:p w14:paraId="5267567F" w14:textId="77777777" w:rsidR="00FB10E8" w:rsidRDefault="00DE693F" w:rsidP="00FB10E8">
      <w:pPr>
        <w:pStyle w:val="ListParagraph"/>
        <w:ind w:left="0" w:firstLine="0"/>
        <w:rPr>
          <w:lang w:bidi="he-IL"/>
        </w:rPr>
      </w:pPr>
      <w:r>
        <w:rPr>
          <w:lang w:bidi="he-IL"/>
        </w:rPr>
        <w:t>Again, t</w:t>
      </w:r>
      <w:r w:rsidR="00EE19B3">
        <w:rPr>
          <w:lang w:bidi="he-IL"/>
        </w:rPr>
        <w:t xml:space="preserve">he story could </w:t>
      </w:r>
      <w:r>
        <w:rPr>
          <w:lang w:bidi="he-IL"/>
        </w:rPr>
        <w:t xml:space="preserve">have </w:t>
      </w:r>
      <w:r w:rsidR="00EE19B3">
        <w:rPr>
          <w:lang w:bidi="he-IL"/>
        </w:rPr>
        <w:t>go</w:t>
      </w:r>
      <w:r>
        <w:rPr>
          <w:lang w:bidi="he-IL"/>
        </w:rPr>
        <w:t>ne</w:t>
      </w:r>
      <w:r w:rsidR="00EE19B3">
        <w:rPr>
          <w:lang w:bidi="he-IL"/>
        </w:rPr>
        <w:t xml:space="preserve"> straight from there to the birth (from v. 9 to vv. 15-16). </w:t>
      </w:r>
      <w:r w:rsidR="00FB10E8">
        <w:rPr>
          <w:lang w:bidi="he-IL"/>
        </w:rPr>
        <w:t>B</w:t>
      </w:r>
      <w:r w:rsidR="001C5F09">
        <w:rPr>
          <w:lang w:bidi="he-IL"/>
        </w:rPr>
        <w:t>ut the envoy’s meeting with Hagar</w:t>
      </w:r>
      <w:r w:rsidR="00FB10E8">
        <w:rPr>
          <w:lang w:bidi="he-IL"/>
        </w:rPr>
        <w:t xml:space="preserve"> delayed the denouement of the story further</w:t>
      </w:r>
      <w:r w:rsidR="00EE19B3">
        <w:rPr>
          <w:lang w:bidi="he-IL"/>
        </w:rPr>
        <w:t>:</w:t>
      </w:r>
      <w:r>
        <w:rPr>
          <w:lang w:bidi="he-IL"/>
        </w:rPr>
        <w:t xml:space="preserve"> </w:t>
      </w:r>
    </w:p>
    <w:p w14:paraId="616E35C7" w14:textId="77777777" w:rsidR="00EE19B3" w:rsidRDefault="00EE19B3" w:rsidP="00FB10E8">
      <w:pPr>
        <w:pStyle w:val="ListParagraph"/>
        <w:ind w:left="0" w:firstLine="0"/>
        <w:rPr>
          <w:lang w:bidi="he-IL"/>
        </w:rPr>
      </w:pPr>
    </w:p>
    <w:p w14:paraId="5C1205DB" w14:textId="77777777" w:rsidR="00FB10E8" w:rsidRDefault="00FB10E8" w:rsidP="00FB10E8">
      <w:pPr>
        <w:pStyle w:val="ListParagraph"/>
        <w:numPr>
          <w:ilvl w:val="0"/>
          <w:numId w:val="30"/>
        </w:numPr>
        <w:ind w:left="1080"/>
        <w:rPr>
          <w:lang w:bidi="he-IL"/>
        </w:rPr>
      </w:pPr>
      <w:r>
        <w:rPr>
          <w:lang w:bidi="he-IL"/>
        </w:rPr>
        <w:t>He made promises to her about the number of her descendants (v. 1</w:t>
      </w:r>
      <w:r w:rsidR="00EE19B3">
        <w:rPr>
          <w:lang w:bidi="he-IL"/>
        </w:rPr>
        <w:t>0</w:t>
      </w:r>
      <w:r>
        <w:rPr>
          <w:lang w:bidi="he-IL"/>
        </w:rPr>
        <w:t>)</w:t>
      </w:r>
    </w:p>
    <w:p w14:paraId="3A779859" w14:textId="4088C17A" w:rsidR="00EE19B3" w:rsidRDefault="00EE19B3" w:rsidP="00EE19B3">
      <w:pPr>
        <w:pStyle w:val="ListParagraph"/>
        <w:numPr>
          <w:ilvl w:val="0"/>
          <w:numId w:val="30"/>
        </w:numPr>
        <w:ind w:left="1080"/>
        <w:rPr>
          <w:lang w:bidi="he-IL"/>
        </w:rPr>
      </w:pPr>
      <w:r>
        <w:rPr>
          <w:lang w:bidi="he-IL"/>
        </w:rPr>
        <w:t>He provided</w:t>
      </w:r>
      <w:r w:rsidR="00727890">
        <w:rPr>
          <w:lang w:bidi="he-IL"/>
        </w:rPr>
        <w:t xml:space="preserve"> </w:t>
      </w:r>
      <w:r>
        <w:rPr>
          <w:lang w:bidi="he-IL"/>
        </w:rPr>
        <w:t>a significant name for her son (v. 11)</w:t>
      </w:r>
    </w:p>
    <w:p w14:paraId="191C567E" w14:textId="77777777" w:rsidR="00EE19B3" w:rsidRDefault="00EE19B3" w:rsidP="00EE19B3">
      <w:pPr>
        <w:pStyle w:val="ListParagraph"/>
        <w:numPr>
          <w:ilvl w:val="0"/>
          <w:numId w:val="30"/>
        </w:numPr>
        <w:ind w:left="1080"/>
        <w:rPr>
          <w:lang w:bidi="he-IL"/>
        </w:rPr>
      </w:pPr>
      <w:r>
        <w:rPr>
          <w:lang w:bidi="he-IL"/>
        </w:rPr>
        <w:lastRenderedPageBreak/>
        <w:t>He outlined her son’s destiny (v. 12)</w:t>
      </w:r>
    </w:p>
    <w:p w14:paraId="6F2ED02D" w14:textId="77777777" w:rsidR="00EE19B3" w:rsidRDefault="00EE19B3" w:rsidP="00EE19B3">
      <w:pPr>
        <w:pStyle w:val="ListParagraph"/>
        <w:numPr>
          <w:ilvl w:val="0"/>
          <w:numId w:val="30"/>
        </w:numPr>
        <w:ind w:left="1080"/>
        <w:rPr>
          <w:lang w:bidi="he-IL"/>
        </w:rPr>
      </w:pPr>
      <w:r>
        <w:rPr>
          <w:lang w:bidi="he-IL"/>
        </w:rPr>
        <w:t>She made her response to God (vv. 13-14).</w:t>
      </w:r>
    </w:p>
    <w:p w14:paraId="71F53539" w14:textId="77777777" w:rsidR="00EB6688" w:rsidRDefault="00EB6688" w:rsidP="00EB6688">
      <w:pPr>
        <w:pStyle w:val="ListParagraph"/>
        <w:ind w:left="0" w:firstLine="720"/>
        <w:rPr>
          <w:lang w:bidi="he-IL"/>
        </w:rPr>
      </w:pPr>
    </w:p>
    <w:p w14:paraId="23145195" w14:textId="62425A5D" w:rsidR="000B7103" w:rsidRDefault="006E1DEB" w:rsidP="000B7103">
      <w:pPr>
        <w:rPr>
          <w:lang w:bidi="he-IL"/>
        </w:rPr>
      </w:pPr>
      <w:r>
        <w:rPr>
          <w:lang w:bidi="he-IL"/>
        </w:rPr>
        <w:t>Although t</w:t>
      </w:r>
      <w:r w:rsidR="00253378">
        <w:rPr>
          <w:lang w:bidi="he-IL"/>
        </w:rPr>
        <w:t xml:space="preserve">he chapter </w:t>
      </w:r>
      <w:r w:rsidR="000B7103">
        <w:rPr>
          <w:lang w:bidi="he-IL"/>
        </w:rPr>
        <w:t>explain</w:t>
      </w:r>
      <w:r w:rsidR="006D676D">
        <w:rPr>
          <w:lang w:bidi="he-IL"/>
        </w:rPr>
        <w:t>s the identity of</w:t>
      </w:r>
      <w:r w:rsidR="000B7103">
        <w:rPr>
          <w:lang w:bidi="he-IL"/>
        </w:rPr>
        <w:t xml:space="preserve"> the Ishmaelites and the n</w:t>
      </w:r>
      <w:r>
        <w:rPr>
          <w:lang w:bidi="he-IL"/>
        </w:rPr>
        <w:t xml:space="preserve">ame of a well, </w:t>
      </w:r>
      <w:r w:rsidR="00253378">
        <w:rPr>
          <w:lang w:bidi="he-IL"/>
        </w:rPr>
        <w:t>there is</w:t>
      </w:r>
      <w:r w:rsidR="000B7103">
        <w:rPr>
          <w:lang w:bidi="he-IL"/>
        </w:rPr>
        <w:t xml:space="preserve"> </w:t>
      </w:r>
      <w:r>
        <w:rPr>
          <w:lang w:bidi="he-IL"/>
        </w:rPr>
        <w:t xml:space="preserve">thus so much </w:t>
      </w:r>
      <w:r w:rsidR="000B7103">
        <w:rPr>
          <w:lang w:bidi="he-IL"/>
        </w:rPr>
        <w:t>more to</w:t>
      </w:r>
      <w:r w:rsidR="001D3D9D">
        <w:rPr>
          <w:lang w:bidi="he-IL"/>
        </w:rPr>
        <w:t xml:space="preserve"> it</w:t>
      </w:r>
      <w:r w:rsidR="006D676D">
        <w:rPr>
          <w:lang w:bidi="he-IL"/>
        </w:rPr>
        <w:t xml:space="preserve"> than this explanatory</w:t>
      </w:r>
      <w:r w:rsidR="000B7103">
        <w:rPr>
          <w:lang w:bidi="he-IL"/>
        </w:rPr>
        <w:t xml:space="preserve"> function requires.</w:t>
      </w:r>
      <w:r w:rsidR="001D3D9D">
        <w:rPr>
          <w:lang w:bidi="he-IL"/>
        </w:rPr>
        <w:t xml:space="preserve"> </w:t>
      </w:r>
      <w:r w:rsidR="00253378">
        <w:rPr>
          <w:lang w:bidi="he-IL"/>
        </w:rPr>
        <w:t>And w</w:t>
      </w:r>
      <w:r w:rsidR="001D3D9D" w:rsidRPr="001D3D9D">
        <w:rPr>
          <w:lang w:bidi="he-IL"/>
        </w:rPr>
        <w:t>hile the story is</w:t>
      </w:r>
      <w:r w:rsidR="001D3D9D">
        <w:rPr>
          <w:lang w:bidi="he-IL"/>
        </w:rPr>
        <w:t xml:space="preserve"> s</w:t>
      </w:r>
      <w:r>
        <w:rPr>
          <w:lang w:bidi="he-IL"/>
        </w:rPr>
        <w:t>et in the context of the wider narrative that relates</w:t>
      </w:r>
      <w:r w:rsidR="001D3D9D" w:rsidRPr="001D3D9D">
        <w:rPr>
          <w:lang w:bidi="he-IL"/>
        </w:rPr>
        <w:t xml:space="preserve"> how Yahweh</w:t>
      </w:r>
      <w:r w:rsidR="001D3D9D">
        <w:rPr>
          <w:lang w:bidi="he-IL"/>
        </w:rPr>
        <w:t>’s promise works out, Gen 16</w:t>
      </w:r>
      <w:r w:rsidR="001D3D9D" w:rsidRPr="001D3D9D">
        <w:rPr>
          <w:lang w:bidi="he-IL"/>
        </w:rPr>
        <w:t xml:space="preserve"> itself makes no reference to that theme as its context.</w:t>
      </w:r>
      <w:r w:rsidR="001D3D9D" w:rsidRPr="001D3D9D">
        <w:rPr>
          <w:vertAlign w:val="superscript"/>
          <w:lang w:bidi="he-IL"/>
        </w:rPr>
        <w:footnoteReference w:id="247"/>
      </w:r>
      <w:r w:rsidR="001D3D9D" w:rsidRPr="001D3D9D">
        <w:rPr>
          <w:lang w:bidi="he-IL"/>
        </w:rPr>
        <w:t xml:space="preserve"> </w:t>
      </w:r>
      <w:r>
        <w:rPr>
          <w:lang w:bidi="he-IL"/>
        </w:rPr>
        <w:t>While it does</w:t>
      </w:r>
      <w:r w:rsidR="000849AD">
        <w:rPr>
          <w:lang w:bidi="he-IL"/>
        </w:rPr>
        <w:t xml:space="preserve"> </w:t>
      </w:r>
      <w:r>
        <w:rPr>
          <w:lang w:bidi="he-IL"/>
        </w:rPr>
        <w:t xml:space="preserve">take </w:t>
      </w:r>
      <w:r w:rsidR="000849AD">
        <w:rPr>
          <w:lang w:bidi="he-IL"/>
        </w:rPr>
        <w:t>further the motif of th</w:t>
      </w:r>
      <w:r w:rsidR="00253378">
        <w:rPr>
          <w:lang w:bidi="he-IL"/>
        </w:rPr>
        <w:t xml:space="preserve">e promise of </w:t>
      </w:r>
      <w:r w:rsidR="001D3D9D">
        <w:rPr>
          <w:lang w:bidi="he-IL"/>
        </w:rPr>
        <w:t xml:space="preserve">a son, </w:t>
      </w:r>
      <w:r w:rsidR="001D3D9D" w:rsidRPr="001D3D9D">
        <w:rPr>
          <w:lang w:bidi="he-IL"/>
        </w:rPr>
        <w:t xml:space="preserve">Gen 16 is the first of a number of stories </w:t>
      </w:r>
      <w:r w:rsidR="00253378">
        <w:rPr>
          <w:lang w:bidi="he-IL"/>
        </w:rPr>
        <w:t xml:space="preserve">in Genesis </w:t>
      </w:r>
      <w:r w:rsidR="001D3D9D" w:rsidRPr="001D3D9D">
        <w:rPr>
          <w:lang w:bidi="he-IL"/>
        </w:rPr>
        <w:t>of women who assert responsibility for</w:t>
      </w:r>
      <w:r>
        <w:rPr>
          <w:lang w:bidi="he-IL"/>
        </w:rPr>
        <w:t xml:space="preserve"> their own destiny</w:t>
      </w:r>
      <w:r w:rsidR="001D3D9D" w:rsidRPr="001D3D9D">
        <w:rPr>
          <w:vertAlign w:val="superscript"/>
          <w:lang w:bidi="he-IL"/>
        </w:rPr>
        <w:footnoteReference w:id="248"/>
      </w:r>
      <w:r w:rsidR="001D3D9D" w:rsidRPr="001D3D9D">
        <w:rPr>
          <w:lang w:bidi="he-IL"/>
        </w:rPr>
        <w:t xml:space="preserve"> </w:t>
      </w:r>
      <w:r w:rsidR="00253378">
        <w:rPr>
          <w:lang w:bidi="he-IL"/>
        </w:rPr>
        <w:t>and</w:t>
      </w:r>
      <w:r w:rsidR="001D3D9D">
        <w:rPr>
          <w:lang w:bidi="he-IL"/>
        </w:rPr>
        <w:t xml:space="preserve"> </w:t>
      </w:r>
      <w:r w:rsidR="000B7103">
        <w:rPr>
          <w:lang w:bidi="he-IL"/>
        </w:rPr>
        <w:t>stories about family conflict—conflic</w:t>
      </w:r>
      <w:r w:rsidR="00253378">
        <w:rPr>
          <w:lang w:bidi="he-IL"/>
        </w:rPr>
        <w:t xml:space="preserve">t between brothers and </w:t>
      </w:r>
      <w:r w:rsidR="000B7103">
        <w:rPr>
          <w:lang w:bidi="he-IL"/>
        </w:rPr>
        <w:t>between wives.</w:t>
      </w:r>
      <w:r w:rsidR="007D6A45">
        <w:rPr>
          <w:lang w:bidi="he-IL"/>
        </w:rPr>
        <w:t xml:space="preserve"> </w:t>
      </w:r>
      <w:r w:rsidR="001D3D9D">
        <w:rPr>
          <w:lang w:bidi="he-IL"/>
        </w:rPr>
        <w:t>I</w:t>
      </w:r>
      <w:r w:rsidR="001D3D9D" w:rsidRPr="001D3D9D">
        <w:rPr>
          <w:lang w:bidi="he-IL"/>
        </w:rPr>
        <w:t xml:space="preserve">t contains no direct clues to a historical or social context beyond the realities of </w:t>
      </w:r>
      <w:r w:rsidR="001D3D9D">
        <w:rPr>
          <w:lang w:bidi="he-IL"/>
        </w:rPr>
        <w:t xml:space="preserve">contexts in which such issues are important to people. It is </w:t>
      </w:r>
      <w:r w:rsidR="007D6A45">
        <w:rPr>
          <w:lang w:bidi="he-IL"/>
        </w:rPr>
        <w:t>the first of two stories about conflict betw</w:t>
      </w:r>
      <w:r w:rsidR="001D3D9D">
        <w:rPr>
          <w:lang w:bidi="he-IL"/>
        </w:rPr>
        <w:t>een Sarah, Abraham, and Hagar; t</w:t>
      </w:r>
      <w:r w:rsidR="007D6A45">
        <w:rPr>
          <w:lang w:bidi="he-IL"/>
        </w:rPr>
        <w:t>raditionally, Gen 21 is seen as an Elohistic version, Gen 16 as a conflation of J and P versions.</w:t>
      </w:r>
      <w:r w:rsidR="001D3D9D">
        <w:rPr>
          <w:lang w:bidi="he-IL"/>
        </w:rPr>
        <w:t xml:space="preserve"> </w:t>
      </w:r>
    </w:p>
    <w:p w14:paraId="26E40ABD" w14:textId="25B29481" w:rsidR="00854779" w:rsidRDefault="00C723D4" w:rsidP="00D2592B">
      <w:pPr>
        <w:pStyle w:val="ListParagraph"/>
        <w:ind w:left="0" w:firstLine="720"/>
        <w:rPr>
          <w:lang w:bidi="he-IL"/>
        </w:rPr>
      </w:pPr>
      <w:r>
        <w:rPr>
          <w:b/>
          <w:lang w:bidi="he-IL"/>
        </w:rPr>
        <w:t>16:1-</w:t>
      </w:r>
      <w:r w:rsidR="00B80040">
        <w:rPr>
          <w:b/>
          <w:lang w:bidi="he-IL"/>
        </w:rPr>
        <w:t xml:space="preserve">4a. </w:t>
      </w:r>
      <w:r w:rsidR="00B00B84">
        <w:rPr>
          <w:lang w:bidi="he-IL"/>
        </w:rPr>
        <w:t xml:space="preserve">Gen 15 began with the </w:t>
      </w:r>
      <w:r w:rsidR="00253378">
        <w:rPr>
          <w:lang w:bidi="he-IL"/>
        </w:rPr>
        <w:t>anxiety, resentment,</w:t>
      </w:r>
      <w:r w:rsidR="00995FC1">
        <w:rPr>
          <w:lang w:bidi="he-IL"/>
        </w:rPr>
        <w:t xml:space="preserve"> </w:t>
      </w:r>
      <w:r w:rsidR="00253378">
        <w:rPr>
          <w:lang w:bidi="he-IL"/>
        </w:rPr>
        <w:t>grief,</w:t>
      </w:r>
      <w:r w:rsidR="00995FC1">
        <w:rPr>
          <w:lang w:bidi="he-IL"/>
        </w:rPr>
        <w:t xml:space="preserve"> disillusion and </w:t>
      </w:r>
      <w:r w:rsidR="00B00B84">
        <w:rPr>
          <w:lang w:bidi="he-IL"/>
        </w:rPr>
        <w:t xml:space="preserve">sense of failure on the part of a man when he and his wife have not been able to have children. Gen 16 begins with </w:t>
      </w:r>
      <w:r w:rsidR="00B00B84" w:rsidRPr="00B00B84">
        <w:rPr>
          <w:lang w:bidi="he-IL"/>
        </w:rPr>
        <w:t xml:space="preserve">the </w:t>
      </w:r>
      <w:r w:rsidR="00253378">
        <w:rPr>
          <w:lang w:bidi="he-IL"/>
        </w:rPr>
        <w:t>grief,</w:t>
      </w:r>
      <w:r w:rsidR="00B00B84" w:rsidRPr="00B00B84">
        <w:rPr>
          <w:lang w:bidi="he-IL"/>
        </w:rPr>
        <w:t xml:space="preserve"> </w:t>
      </w:r>
      <w:r w:rsidR="00253378">
        <w:rPr>
          <w:lang w:bidi="he-IL"/>
        </w:rPr>
        <w:t>resentment, anxiety,</w:t>
      </w:r>
      <w:r w:rsidR="00995FC1">
        <w:rPr>
          <w:lang w:bidi="he-IL"/>
        </w:rPr>
        <w:t xml:space="preserve"> disillusion </w:t>
      </w:r>
      <w:r w:rsidR="00B00B84" w:rsidRPr="00B00B84">
        <w:rPr>
          <w:lang w:bidi="he-IL"/>
        </w:rPr>
        <w:t xml:space="preserve">and sense of failure on the part of a </w:t>
      </w:r>
      <w:r w:rsidR="00B00B84">
        <w:rPr>
          <w:lang w:bidi="he-IL"/>
        </w:rPr>
        <w:t>wo</w:t>
      </w:r>
      <w:r w:rsidR="00B00B84" w:rsidRPr="00B00B84">
        <w:rPr>
          <w:lang w:bidi="he-IL"/>
        </w:rPr>
        <w:t>man</w:t>
      </w:r>
      <w:r w:rsidR="00BA49CC">
        <w:rPr>
          <w:lang w:bidi="he-IL"/>
        </w:rPr>
        <w:t xml:space="preserve">. </w:t>
      </w:r>
      <w:r w:rsidR="00C36CBD">
        <w:rPr>
          <w:lang w:bidi="he-IL"/>
        </w:rPr>
        <w:t>For women even more than for men t</w:t>
      </w:r>
      <w:r w:rsidR="00B00B84">
        <w:rPr>
          <w:lang w:bidi="he-IL"/>
        </w:rPr>
        <w:t>hese are cross-cultural</w:t>
      </w:r>
      <w:r w:rsidR="00C36CBD">
        <w:rPr>
          <w:lang w:bidi="he-IL"/>
        </w:rPr>
        <w:t xml:space="preserve"> realities</w:t>
      </w:r>
      <w:r w:rsidR="00B00B84">
        <w:rPr>
          <w:lang w:bidi="he-IL"/>
        </w:rPr>
        <w:t>.</w:t>
      </w:r>
      <w:r w:rsidR="00995FC1">
        <w:rPr>
          <w:lang w:bidi="he-IL"/>
        </w:rPr>
        <w:t xml:space="preserve"> Only a woman experiences </w:t>
      </w:r>
      <w:r w:rsidR="00253378">
        <w:rPr>
          <w:lang w:bidi="he-IL"/>
        </w:rPr>
        <w:t xml:space="preserve">menstruation, </w:t>
      </w:r>
      <w:r w:rsidR="00995FC1">
        <w:rPr>
          <w:lang w:bidi="he-IL"/>
        </w:rPr>
        <w:t>conception, pregnanc</w:t>
      </w:r>
      <w:r w:rsidR="00BA49CC">
        <w:rPr>
          <w:lang w:bidi="he-IL"/>
        </w:rPr>
        <w:t xml:space="preserve">y, </w:t>
      </w:r>
      <w:r w:rsidR="00995FC1">
        <w:rPr>
          <w:lang w:bidi="he-IL"/>
        </w:rPr>
        <w:t>birth</w:t>
      </w:r>
      <w:r w:rsidR="00BA49CC">
        <w:rPr>
          <w:lang w:bidi="he-IL"/>
        </w:rPr>
        <w:t>ing</w:t>
      </w:r>
      <w:r w:rsidR="00253378">
        <w:rPr>
          <w:lang w:bidi="he-IL"/>
        </w:rPr>
        <w:t>, nursing, weaning</w:t>
      </w:r>
      <w:r w:rsidR="00995FC1">
        <w:rPr>
          <w:lang w:bidi="he-IL"/>
        </w:rPr>
        <w:t xml:space="preserve">, and the menopause, and these realities are integral to womanhood (to </w:t>
      </w:r>
      <w:r w:rsidR="00BA49CC">
        <w:rPr>
          <w:lang w:bidi="he-IL"/>
        </w:rPr>
        <w:t>womanhood in general; different wome</w:t>
      </w:r>
      <w:r w:rsidR="00995FC1">
        <w:rPr>
          <w:lang w:bidi="he-IL"/>
        </w:rPr>
        <w:t>n</w:t>
      </w:r>
      <w:r w:rsidR="00BA49CC">
        <w:rPr>
          <w:lang w:bidi="he-IL"/>
        </w:rPr>
        <w:t xml:space="preserve"> feel differentl</w:t>
      </w:r>
      <w:r w:rsidR="00A31B34">
        <w:rPr>
          <w:lang w:bidi="he-IL"/>
        </w:rPr>
        <w:t xml:space="preserve">y about them). </w:t>
      </w:r>
      <w:r w:rsidR="001B254F">
        <w:rPr>
          <w:lang w:bidi="he-IL"/>
        </w:rPr>
        <w:t>Most specifically, Sarah</w:t>
      </w:r>
      <w:r w:rsidR="00A31B34">
        <w:rPr>
          <w:lang w:bidi="he-IL"/>
        </w:rPr>
        <w:t xml:space="preserve"> has not born children </w:t>
      </w:r>
      <w:r w:rsidR="003D56BA">
        <w:rPr>
          <w:lang w:bidi="he-IL"/>
        </w:rPr>
        <w:t>“</w:t>
      </w:r>
      <w:r w:rsidR="00A31B34">
        <w:rPr>
          <w:lang w:bidi="he-IL"/>
        </w:rPr>
        <w:t>for h</w:t>
      </w:r>
      <w:r w:rsidR="00BA49CC">
        <w:rPr>
          <w:lang w:bidi="he-IL"/>
        </w:rPr>
        <w:t>im.</w:t>
      </w:r>
      <w:r w:rsidR="003D56BA">
        <w:rPr>
          <w:lang w:bidi="he-IL"/>
        </w:rPr>
        <w:t>”</w:t>
      </w:r>
      <w:r w:rsidR="00253378">
        <w:rPr>
          <w:lang w:bidi="he-IL"/>
        </w:rPr>
        <w:t xml:space="preserve"> She </w:t>
      </w:r>
      <w:r w:rsidR="00C36CBD">
        <w:rPr>
          <w:lang w:bidi="he-IL"/>
        </w:rPr>
        <w:t xml:space="preserve">feels she </w:t>
      </w:r>
      <w:r w:rsidR="00BA49CC">
        <w:rPr>
          <w:lang w:bidi="he-IL"/>
        </w:rPr>
        <w:t>has failed a</w:t>
      </w:r>
      <w:r w:rsidR="001B254F">
        <w:rPr>
          <w:lang w:bidi="he-IL"/>
        </w:rPr>
        <w:t xml:space="preserve">s a wife. (Neither </w:t>
      </w:r>
      <w:r w:rsidR="00A31B34">
        <w:rPr>
          <w:lang w:bidi="he-IL"/>
        </w:rPr>
        <w:t>is concerned about the fulfillment of Yahweh’s broader promise and purpose.)</w:t>
      </w:r>
      <w:r w:rsidR="00D2592B">
        <w:rPr>
          <w:lang w:bidi="he-IL"/>
        </w:rPr>
        <w:t xml:space="preserve"> </w:t>
      </w:r>
      <w:r w:rsidR="002D0083">
        <w:rPr>
          <w:lang w:bidi="he-IL"/>
        </w:rPr>
        <w:t>It’s hard to know what to do in circumstances such as not being able to have a ba</w:t>
      </w:r>
      <w:r w:rsidR="001B254F">
        <w:rPr>
          <w:lang w:bidi="he-IL"/>
        </w:rPr>
        <w:t xml:space="preserve">by. It would be nice </w:t>
      </w:r>
      <w:r w:rsidR="002D0083">
        <w:rPr>
          <w:lang w:bidi="he-IL"/>
        </w:rPr>
        <w:t>to think</w:t>
      </w:r>
      <w:r w:rsidR="002D0083" w:rsidRPr="00CD0708">
        <w:rPr>
          <w:lang w:bidi="he-IL"/>
        </w:rPr>
        <w:t xml:space="preserve"> that Sarah prayed about her </w:t>
      </w:r>
      <w:r w:rsidR="002D0083">
        <w:rPr>
          <w:lang w:bidi="he-IL"/>
        </w:rPr>
        <w:t>exper</w:t>
      </w:r>
      <w:r w:rsidR="001B254F">
        <w:rPr>
          <w:lang w:bidi="he-IL"/>
        </w:rPr>
        <w:t>ience, like Hannah (1 Sam 1); the Scriptures do urge people</w:t>
      </w:r>
      <w:r w:rsidR="002D0083">
        <w:rPr>
          <w:lang w:bidi="he-IL"/>
        </w:rPr>
        <w:t xml:space="preserve"> to pray and protest to God about such experiences and </w:t>
      </w:r>
      <w:r w:rsidR="001B254F">
        <w:rPr>
          <w:lang w:bidi="he-IL"/>
        </w:rPr>
        <w:t xml:space="preserve">they </w:t>
      </w:r>
      <w:r w:rsidR="002D0083">
        <w:rPr>
          <w:lang w:bidi="he-IL"/>
        </w:rPr>
        <w:t xml:space="preserve">sometimes relate spectacular answers </w:t>
      </w:r>
      <w:r w:rsidR="001B254F">
        <w:rPr>
          <w:lang w:bidi="he-IL"/>
        </w:rPr>
        <w:t xml:space="preserve">from God. But they also imply </w:t>
      </w:r>
      <w:r w:rsidR="002D0083">
        <w:rPr>
          <w:lang w:bidi="he-IL"/>
        </w:rPr>
        <w:t>recognition that other such prayers are met with silence. And they relate with sympathy the way people do what they must do i</w:t>
      </w:r>
      <w:r w:rsidR="007535BD">
        <w:rPr>
          <w:lang w:bidi="he-IL"/>
        </w:rPr>
        <w:t>n tough circumstances. The audience</w:t>
      </w:r>
      <w:r w:rsidR="002D0083">
        <w:rPr>
          <w:lang w:bidi="he-IL"/>
        </w:rPr>
        <w:t xml:space="preserve"> should not be too hard</w:t>
      </w:r>
      <w:r w:rsidR="001B254F">
        <w:rPr>
          <w:lang w:bidi="he-IL"/>
        </w:rPr>
        <w:t xml:space="preserve"> on </w:t>
      </w:r>
      <w:r w:rsidR="007535BD">
        <w:rPr>
          <w:lang w:bidi="he-IL"/>
        </w:rPr>
        <w:t xml:space="preserve">Sarah, or on </w:t>
      </w:r>
      <w:r w:rsidR="001B254F">
        <w:rPr>
          <w:lang w:bidi="he-IL"/>
        </w:rPr>
        <w:t xml:space="preserve">Abraham if he didn’t </w:t>
      </w:r>
      <w:r w:rsidR="002D0083">
        <w:rPr>
          <w:lang w:bidi="he-IL"/>
        </w:rPr>
        <w:t>know what to</w:t>
      </w:r>
      <w:r w:rsidR="00854779">
        <w:rPr>
          <w:lang w:bidi="he-IL"/>
        </w:rPr>
        <w:t xml:space="preserve"> do at any point in this story.</w:t>
      </w:r>
    </w:p>
    <w:p w14:paraId="157CAA16" w14:textId="356D5804" w:rsidR="00313BB0" w:rsidRPr="002D0083" w:rsidRDefault="00D0477B" w:rsidP="00854779">
      <w:pPr>
        <w:rPr>
          <w:lang w:bidi="he-IL"/>
        </w:rPr>
      </w:pPr>
      <w:r>
        <w:rPr>
          <w:lang w:bidi="he-IL"/>
        </w:rPr>
        <w:t>Sarah has an</w:t>
      </w:r>
      <w:r w:rsidR="00A31B34">
        <w:rPr>
          <w:lang w:bidi="he-IL"/>
        </w:rPr>
        <w:t xml:space="preserve"> Egyptian maidservant, Hagar (v. 1b). We immediately thus discover three significant facts about her</w:t>
      </w:r>
      <w:r w:rsidR="00C36CBD">
        <w:rPr>
          <w:lang w:bidi="he-IL"/>
        </w:rPr>
        <w:t>. S</w:t>
      </w:r>
      <w:r w:rsidR="00A31B34">
        <w:rPr>
          <w:lang w:bidi="he-IL"/>
        </w:rPr>
        <w:t xml:space="preserve">he is an </w:t>
      </w:r>
      <w:r w:rsidR="00BF294E">
        <w:rPr>
          <w:lang w:bidi="he-IL"/>
        </w:rPr>
        <w:t>Egyptian, which suggests</w:t>
      </w:r>
      <w:r w:rsidR="00A31B34">
        <w:rPr>
          <w:lang w:bidi="he-IL"/>
        </w:rPr>
        <w:t xml:space="preserve"> she is part of Abraham and Sarah’s</w:t>
      </w:r>
      <w:r w:rsidR="00BF294E">
        <w:rPr>
          <w:lang w:bidi="he-IL"/>
        </w:rPr>
        <w:t xml:space="preserve"> family as a result of the</w:t>
      </w:r>
      <w:r w:rsidR="00A31B34">
        <w:rPr>
          <w:lang w:bidi="he-IL"/>
        </w:rPr>
        <w:t xml:space="preserve"> Egyptian escapade related in 12:9—13:4. </w:t>
      </w:r>
      <w:r w:rsidR="00BF294E" w:rsidRPr="00D0477B">
        <w:rPr>
          <w:i/>
          <w:lang w:bidi="he-IL"/>
        </w:rPr>
        <w:t>GenAp</w:t>
      </w:r>
      <w:r w:rsidR="001B254F">
        <w:rPr>
          <w:lang w:bidi="he-IL"/>
        </w:rPr>
        <w:t xml:space="preserve"> 20</w:t>
      </w:r>
      <w:r w:rsidR="00BF294E">
        <w:rPr>
          <w:lang w:bidi="he-IL"/>
        </w:rPr>
        <w:t>:31-32</w:t>
      </w:r>
      <w:r w:rsidR="001B254F">
        <w:rPr>
          <w:lang w:bidi="he-IL"/>
        </w:rPr>
        <w:t xml:space="preserve"> </w:t>
      </w:r>
      <w:r w:rsidR="00BF294E">
        <w:rPr>
          <w:lang w:bidi="he-IL"/>
        </w:rPr>
        <w:t>relates how Pharaoh gave her to Sa</w:t>
      </w:r>
      <w:r w:rsidR="009E4733">
        <w:rPr>
          <w:lang w:bidi="he-IL"/>
        </w:rPr>
        <w:t>rah.</w:t>
      </w:r>
      <w:r w:rsidR="00BF294E">
        <w:rPr>
          <w:lang w:bidi="he-IL"/>
        </w:rPr>
        <w:t xml:space="preserve"> </w:t>
      </w:r>
      <w:r w:rsidR="00FE1EAC">
        <w:rPr>
          <w:lang w:bidi="he-IL"/>
        </w:rPr>
        <w:t>Like</w:t>
      </w:r>
      <w:r w:rsidR="00FE1EAC" w:rsidRPr="00FE1EAC">
        <w:rPr>
          <w:lang w:bidi="he-IL"/>
        </w:rPr>
        <w:t xml:space="preserve"> the servant girl in 2 Kings 5</w:t>
      </w:r>
      <w:r w:rsidR="00FE1EAC">
        <w:rPr>
          <w:lang w:bidi="he-IL"/>
        </w:rPr>
        <w:t>, s</w:t>
      </w:r>
      <w:r w:rsidR="00A31B34">
        <w:rPr>
          <w:lang w:bidi="he-IL"/>
        </w:rPr>
        <w:t>he is a long way from home, tho</w:t>
      </w:r>
      <w:r w:rsidR="00FE1EAC">
        <w:rPr>
          <w:lang w:bidi="he-IL"/>
        </w:rPr>
        <w:t>ugh not an impossibly long way. She will set off for home in this story, but Y</w:t>
      </w:r>
      <w:r w:rsidR="001B254F">
        <w:rPr>
          <w:lang w:bidi="he-IL"/>
        </w:rPr>
        <w:t>ahweh will not let her get there</w:t>
      </w:r>
      <w:r>
        <w:rPr>
          <w:lang w:bidi="he-IL"/>
        </w:rPr>
        <w:t xml:space="preserve">; </w:t>
      </w:r>
      <w:r w:rsidR="00FE1EAC">
        <w:rPr>
          <w:lang w:bidi="he-IL"/>
        </w:rPr>
        <w:t>it is better to be a</w:t>
      </w:r>
      <w:r w:rsidR="00A31B34">
        <w:rPr>
          <w:lang w:bidi="he-IL"/>
        </w:rPr>
        <w:t xml:space="preserve"> </w:t>
      </w:r>
      <w:r w:rsidR="00FE1EAC">
        <w:rPr>
          <w:lang w:bidi="he-IL"/>
        </w:rPr>
        <w:t>foreigner in this family through which Yahweh is at work than to be at home in Egypt (cf. Heb 11:24-26)</w:t>
      </w:r>
      <w:r>
        <w:rPr>
          <w:lang w:bidi="he-IL"/>
        </w:rPr>
        <w:t xml:space="preserve">, </w:t>
      </w:r>
      <w:r w:rsidRPr="00D0477B">
        <w:rPr>
          <w:lang w:bidi="he-IL"/>
        </w:rPr>
        <w:t xml:space="preserve">though it would be hard to believe it, and as far as we know she </w:t>
      </w:r>
      <w:r>
        <w:rPr>
          <w:lang w:bidi="he-IL"/>
        </w:rPr>
        <w:t>has no way of realizing it at the moment</w:t>
      </w:r>
      <w:r w:rsidR="00C36CBD">
        <w:rPr>
          <w:lang w:bidi="he-IL"/>
        </w:rPr>
        <w:t>. Her position</w:t>
      </w:r>
      <w:r>
        <w:rPr>
          <w:lang w:bidi="he-IL"/>
        </w:rPr>
        <w:t xml:space="preserve"> means </w:t>
      </w:r>
      <w:r w:rsidR="00FE1EAC">
        <w:rPr>
          <w:lang w:bidi="he-IL"/>
        </w:rPr>
        <w:t xml:space="preserve">she is neither one thing nor the other. She is an Egyptian, but she is in Canaan. She is part of Abraham’s family, but she is a foreigner. </w:t>
      </w:r>
      <w:r w:rsidR="00882FE8" w:rsidRPr="00882FE8">
        <w:rPr>
          <w:lang w:bidi="he-IL"/>
        </w:rPr>
        <w:t>Paul’s connecting Hagar with Mount Sinai “in Arabia” (Gal 4:25) may link with references to “the Hagrites” in the First Testament (e.g., Ps 83:6 [7]).</w:t>
      </w:r>
      <w:r w:rsidR="00882FE8" w:rsidRPr="00882FE8">
        <w:rPr>
          <w:vertAlign w:val="superscript"/>
          <w:lang w:bidi="he-IL"/>
        </w:rPr>
        <w:footnoteReference w:id="249"/>
      </w:r>
      <w:r w:rsidR="00882FE8">
        <w:rPr>
          <w:lang w:bidi="he-IL"/>
        </w:rPr>
        <w:t xml:space="preserve"> </w:t>
      </w:r>
      <w:r w:rsidR="00C36CBD">
        <w:rPr>
          <w:lang w:bidi="he-IL"/>
        </w:rPr>
        <w:t>A</w:t>
      </w:r>
      <w:r w:rsidR="00FE1EAC">
        <w:rPr>
          <w:lang w:bidi="he-IL"/>
        </w:rPr>
        <w:t xml:space="preserve"> second fact about her is that she is a maidservant</w:t>
      </w:r>
      <w:r w:rsidR="003E35B7">
        <w:rPr>
          <w:lang w:bidi="he-IL"/>
        </w:rPr>
        <w:t xml:space="preserve"> or servant girl, the female equivalent to a servant</w:t>
      </w:r>
      <w:r>
        <w:rPr>
          <w:lang w:bidi="he-IL"/>
        </w:rPr>
        <w:t>. I</w:t>
      </w:r>
      <w:r w:rsidRPr="00D0477B">
        <w:rPr>
          <w:lang w:bidi="he-IL"/>
        </w:rPr>
        <w:t>n her relationship to Sarah</w:t>
      </w:r>
      <w:r>
        <w:rPr>
          <w:lang w:bidi="he-IL"/>
        </w:rPr>
        <w:t xml:space="preserve"> she is</w:t>
      </w:r>
      <w:r w:rsidR="001B254F">
        <w:rPr>
          <w:lang w:bidi="he-IL"/>
        </w:rPr>
        <w:t xml:space="preserve"> </w:t>
      </w:r>
      <w:r w:rsidR="003E35B7">
        <w:rPr>
          <w:lang w:bidi="he-IL"/>
        </w:rPr>
        <w:t>a young female equivalent to the senior male servant of Yahweh who will</w:t>
      </w:r>
      <w:r>
        <w:rPr>
          <w:lang w:bidi="he-IL"/>
        </w:rPr>
        <w:t xml:space="preserve"> play a key role in Gen 24. That</w:t>
      </w:r>
      <w:r w:rsidR="003E35B7">
        <w:rPr>
          <w:lang w:bidi="he-IL"/>
        </w:rPr>
        <w:t xml:space="preserve"> male servant belongs to Abraham and works for him in his capacity as master of the household; Hagar belongs to Sarah and works for her in her capacity as mistress of </w:t>
      </w:r>
      <w:r w:rsidR="001B254F">
        <w:rPr>
          <w:lang w:bidi="he-IL"/>
        </w:rPr>
        <w:t>the household. The stories in Gen 24 and 2 Kings 5 show</w:t>
      </w:r>
      <w:r w:rsidR="003E35B7">
        <w:rPr>
          <w:lang w:bidi="he-IL"/>
        </w:rPr>
        <w:t xml:space="preserve"> that </w:t>
      </w:r>
      <w:r w:rsidR="003E09F5">
        <w:rPr>
          <w:lang w:bidi="he-IL"/>
        </w:rPr>
        <w:t xml:space="preserve">a servant’s position need not be unpleasant or unrewarding, and </w:t>
      </w:r>
      <w:r>
        <w:rPr>
          <w:lang w:bidi="he-IL"/>
        </w:rPr>
        <w:t xml:space="preserve">it is misleading </w:t>
      </w:r>
      <w:r w:rsidR="003E09F5">
        <w:rPr>
          <w:lang w:bidi="he-IL"/>
        </w:rPr>
        <w:t xml:space="preserve">to think of </w:t>
      </w:r>
      <w:r>
        <w:rPr>
          <w:lang w:bidi="he-IL"/>
        </w:rPr>
        <w:t xml:space="preserve">such </w:t>
      </w:r>
      <w:r w:rsidR="003E09F5">
        <w:rPr>
          <w:lang w:bidi="he-IL"/>
        </w:rPr>
        <w:t>se</w:t>
      </w:r>
      <w:r>
        <w:rPr>
          <w:lang w:bidi="he-IL"/>
        </w:rPr>
        <w:t xml:space="preserve">rvants as </w:t>
      </w:r>
      <w:r w:rsidR="003D56BA">
        <w:rPr>
          <w:lang w:bidi="he-IL"/>
        </w:rPr>
        <w:t>“</w:t>
      </w:r>
      <w:r>
        <w:rPr>
          <w:lang w:bidi="he-IL"/>
        </w:rPr>
        <w:t>slaves</w:t>
      </w:r>
      <w:r w:rsidR="003D56BA">
        <w:rPr>
          <w:lang w:bidi="he-IL"/>
        </w:rPr>
        <w:t>”</w:t>
      </w:r>
      <w:r>
        <w:rPr>
          <w:lang w:bidi="he-IL"/>
        </w:rPr>
        <w:t xml:space="preserve"> in the Euro-American sense,</w:t>
      </w:r>
      <w:r w:rsidR="003E09F5">
        <w:rPr>
          <w:lang w:bidi="he-IL"/>
        </w:rPr>
        <w:t xml:space="preserve"> but the Hagar story will go on </w:t>
      </w:r>
      <w:r w:rsidR="00F3364E">
        <w:rPr>
          <w:lang w:bidi="he-IL"/>
        </w:rPr>
        <w:t>to show that their position can</w:t>
      </w:r>
      <w:r w:rsidR="003E09F5">
        <w:rPr>
          <w:lang w:bidi="he-IL"/>
        </w:rPr>
        <w:t xml:space="preserve"> be vulnerable to the whim of their master or mistress.</w:t>
      </w:r>
      <w:r w:rsidR="001B254F">
        <w:rPr>
          <w:lang w:bidi="he-IL"/>
        </w:rPr>
        <w:t xml:space="preserve"> Y</w:t>
      </w:r>
      <w:r w:rsidR="003E09F5">
        <w:rPr>
          <w:lang w:bidi="he-IL"/>
        </w:rPr>
        <w:t>ou might be born as a servant, becau</w:t>
      </w:r>
      <w:r w:rsidR="001B254F">
        <w:rPr>
          <w:lang w:bidi="he-IL"/>
        </w:rPr>
        <w:t xml:space="preserve">se your parents were servants. </w:t>
      </w:r>
      <w:r w:rsidR="001B254F">
        <w:rPr>
          <w:lang w:bidi="he-IL"/>
        </w:rPr>
        <w:lastRenderedPageBreak/>
        <w:t>Y</w:t>
      </w:r>
      <w:r w:rsidR="003E09F5">
        <w:rPr>
          <w:lang w:bidi="he-IL"/>
        </w:rPr>
        <w:t xml:space="preserve">ou </w:t>
      </w:r>
      <w:r w:rsidR="001B254F">
        <w:rPr>
          <w:lang w:bidi="he-IL"/>
        </w:rPr>
        <w:t xml:space="preserve">or your family </w:t>
      </w:r>
      <w:r w:rsidR="003E09F5">
        <w:rPr>
          <w:lang w:bidi="he-IL"/>
        </w:rPr>
        <w:t xml:space="preserve">might hit hard times and no longer be able to survive independently and thus </w:t>
      </w:r>
      <w:r w:rsidR="001B254F">
        <w:rPr>
          <w:lang w:bidi="he-IL"/>
        </w:rPr>
        <w:t>you might have to enter service, and y</w:t>
      </w:r>
      <w:r w:rsidR="003E09F5">
        <w:rPr>
          <w:lang w:bidi="he-IL"/>
        </w:rPr>
        <w:t>ou might then be bo</w:t>
      </w:r>
      <w:r w:rsidR="001B254F">
        <w:rPr>
          <w:lang w:bidi="he-IL"/>
        </w:rPr>
        <w:t>ught by a different master. Y</w:t>
      </w:r>
      <w:r w:rsidR="003E09F5">
        <w:rPr>
          <w:lang w:bidi="he-IL"/>
        </w:rPr>
        <w:t xml:space="preserve">ou might be captured in war. We don’t know how Hagar had </w:t>
      </w:r>
      <w:r w:rsidR="00C36CBD">
        <w:rPr>
          <w:lang w:bidi="he-IL"/>
        </w:rPr>
        <w:t xml:space="preserve">originally </w:t>
      </w:r>
      <w:r w:rsidR="003E09F5">
        <w:rPr>
          <w:lang w:bidi="he-IL"/>
        </w:rPr>
        <w:t xml:space="preserve">come to be a servant. </w:t>
      </w:r>
      <w:r w:rsidR="000849AD">
        <w:rPr>
          <w:lang w:bidi="he-IL"/>
        </w:rPr>
        <w:t xml:space="preserve">We know that there were other maidservants in the household (12:16); Hagar is Sarah’s personal assistant. </w:t>
      </w:r>
      <w:r w:rsidR="00C36CBD">
        <w:rPr>
          <w:lang w:bidi="he-IL"/>
        </w:rPr>
        <w:t>The third fact about her</w:t>
      </w:r>
      <w:r w:rsidR="003E09F5">
        <w:rPr>
          <w:lang w:bidi="he-IL"/>
        </w:rPr>
        <w:t xml:space="preserve"> is that we know her name. We don’t know the name of the servant in Gen 24 or </w:t>
      </w:r>
      <w:r w:rsidR="00882FE8">
        <w:rPr>
          <w:lang w:bidi="he-IL"/>
        </w:rPr>
        <w:t>the s</w:t>
      </w:r>
      <w:r w:rsidR="003E09F5">
        <w:rPr>
          <w:lang w:bidi="he-IL"/>
        </w:rPr>
        <w:t>ervant girl in 2 Kings</w:t>
      </w:r>
      <w:r w:rsidR="00415D97">
        <w:rPr>
          <w:lang w:bidi="he-IL"/>
        </w:rPr>
        <w:t xml:space="preserve"> 5, but Genesis gives us</w:t>
      </w:r>
      <w:r w:rsidR="003E09F5">
        <w:rPr>
          <w:lang w:bidi="he-IL"/>
        </w:rPr>
        <w:t xml:space="preserve"> the names of </w:t>
      </w:r>
      <w:r>
        <w:rPr>
          <w:lang w:bidi="he-IL"/>
        </w:rPr>
        <w:t>all three</w:t>
      </w:r>
      <w:r w:rsidR="00415D97">
        <w:rPr>
          <w:lang w:bidi="he-IL"/>
        </w:rPr>
        <w:t xml:space="preserve"> </w:t>
      </w:r>
      <w:r w:rsidR="003E09F5">
        <w:rPr>
          <w:lang w:bidi="he-IL"/>
        </w:rPr>
        <w:t xml:space="preserve">servant girls </w:t>
      </w:r>
      <w:r w:rsidR="00415D97">
        <w:rPr>
          <w:lang w:bidi="he-IL"/>
        </w:rPr>
        <w:t>it mentions (the others are</w:t>
      </w:r>
      <w:r w:rsidR="00727890">
        <w:rPr>
          <w:lang w:bidi="he-IL"/>
        </w:rPr>
        <w:t xml:space="preserve"> </w:t>
      </w:r>
      <w:r w:rsidR="003E09F5">
        <w:rPr>
          <w:lang w:bidi="he-IL"/>
        </w:rPr>
        <w:t>Zilpah and Bilhah</w:t>
      </w:r>
      <w:r>
        <w:rPr>
          <w:lang w:bidi="he-IL"/>
        </w:rPr>
        <w:t>)</w:t>
      </w:r>
      <w:r w:rsidR="00C36CBD">
        <w:rPr>
          <w:lang w:bidi="he-IL"/>
        </w:rPr>
        <w:t xml:space="preserve">, though </w:t>
      </w:r>
      <w:r>
        <w:rPr>
          <w:lang w:bidi="he-IL"/>
        </w:rPr>
        <w:t xml:space="preserve">in each case </w:t>
      </w:r>
      <w:r w:rsidR="00C36CBD">
        <w:rPr>
          <w:lang w:bidi="he-IL"/>
        </w:rPr>
        <w:t>it may be</w:t>
      </w:r>
      <w:r w:rsidR="00415D97">
        <w:rPr>
          <w:lang w:bidi="he-IL"/>
        </w:rPr>
        <w:t xml:space="preserve"> because of th</w:t>
      </w:r>
      <w:r>
        <w:rPr>
          <w:lang w:bidi="he-IL"/>
        </w:rPr>
        <w:t>e</w:t>
      </w:r>
      <w:r w:rsidR="00C36CBD">
        <w:rPr>
          <w:lang w:bidi="he-IL"/>
        </w:rPr>
        <w:t>ir sons’ significance. Record</w:t>
      </w:r>
      <w:r w:rsidR="00882FE8">
        <w:rPr>
          <w:lang w:bidi="he-IL"/>
        </w:rPr>
        <w:t xml:space="preserve">ing </w:t>
      </w:r>
      <w:r>
        <w:rPr>
          <w:lang w:bidi="he-IL"/>
        </w:rPr>
        <w:t>her name</w:t>
      </w:r>
      <w:r w:rsidR="00F3364E">
        <w:rPr>
          <w:lang w:bidi="he-IL"/>
        </w:rPr>
        <w:t xml:space="preserve"> does contribute to </w:t>
      </w:r>
      <w:r w:rsidR="00415D97">
        <w:rPr>
          <w:lang w:bidi="he-IL"/>
        </w:rPr>
        <w:t>Hagar</w:t>
      </w:r>
      <w:r w:rsidR="00F3364E">
        <w:rPr>
          <w:lang w:bidi="he-IL"/>
        </w:rPr>
        <w:t>’s becoming</w:t>
      </w:r>
      <w:r w:rsidR="00415D97">
        <w:rPr>
          <w:lang w:bidi="he-IL"/>
        </w:rPr>
        <w:t xml:space="preserve"> a real person in the story.</w:t>
      </w:r>
      <w:r w:rsidR="00104986">
        <w:rPr>
          <w:lang w:bidi="he-IL"/>
        </w:rPr>
        <w:t xml:space="preserve"> It also makes for a contras</w:t>
      </w:r>
      <w:r w:rsidR="00882FE8">
        <w:rPr>
          <w:lang w:bidi="he-IL"/>
        </w:rPr>
        <w:t xml:space="preserve">t with </w:t>
      </w:r>
      <w:r w:rsidR="00104986">
        <w:rPr>
          <w:lang w:bidi="he-IL"/>
        </w:rPr>
        <w:t>Abraham and Sarah</w:t>
      </w:r>
      <w:r w:rsidR="00882FE8">
        <w:rPr>
          <w:lang w:bidi="he-IL"/>
        </w:rPr>
        <w:t>’s never using her name. T</w:t>
      </w:r>
      <w:r>
        <w:rPr>
          <w:lang w:bidi="he-IL"/>
        </w:rPr>
        <w:t xml:space="preserve">o them </w:t>
      </w:r>
      <w:r w:rsidR="00104986">
        <w:rPr>
          <w:lang w:bidi="he-IL"/>
        </w:rPr>
        <w:t xml:space="preserve">she is simply </w:t>
      </w:r>
      <w:r w:rsidR="003D56BA">
        <w:rPr>
          <w:lang w:bidi="he-IL"/>
        </w:rPr>
        <w:t>“</w:t>
      </w:r>
      <w:r w:rsidR="00104986">
        <w:rPr>
          <w:lang w:bidi="he-IL"/>
        </w:rPr>
        <w:t>my/your maidservant.</w:t>
      </w:r>
      <w:r w:rsidR="003D56BA">
        <w:rPr>
          <w:lang w:bidi="he-IL"/>
        </w:rPr>
        <w:t>”</w:t>
      </w:r>
      <w:r w:rsidR="002D0083">
        <w:rPr>
          <w:lang w:bidi="he-IL"/>
        </w:rPr>
        <w:t xml:space="preserve"> </w:t>
      </w:r>
      <w:r w:rsidR="00F3364E">
        <w:rPr>
          <w:lang w:bidi="he-IL"/>
        </w:rPr>
        <w:t>To Yahweh sh</w:t>
      </w:r>
      <w:r w:rsidR="00882FE8">
        <w:rPr>
          <w:lang w:bidi="he-IL"/>
        </w:rPr>
        <w:t>e is an individual and the object of his care</w:t>
      </w:r>
      <w:r w:rsidR="00F3364E">
        <w:rPr>
          <w:lang w:bidi="he-IL"/>
        </w:rPr>
        <w:t>, not just the vessel of Abraham and Sarah’s child and the means of achieving his purpose.</w:t>
      </w:r>
      <w:r w:rsidR="00F3364E">
        <w:rPr>
          <w:rStyle w:val="FootnoteReference"/>
          <w:lang w:bidi="he-IL"/>
        </w:rPr>
        <w:footnoteReference w:id="250"/>
      </w:r>
      <w:r w:rsidR="00F3364E">
        <w:rPr>
          <w:lang w:bidi="he-IL"/>
        </w:rPr>
        <w:t xml:space="preserve"> </w:t>
      </w:r>
    </w:p>
    <w:p w14:paraId="6DEC1C7D" w14:textId="3C4E2194" w:rsidR="00F51B32" w:rsidRPr="008C6494" w:rsidRDefault="00415D97" w:rsidP="00F51B32">
      <w:pPr>
        <w:pStyle w:val="ListParagraph"/>
        <w:ind w:left="0" w:firstLine="720"/>
        <w:rPr>
          <w:lang w:bidi="he-IL"/>
        </w:rPr>
      </w:pPr>
      <w:r>
        <w:rPr>
          <w:lang w:bidi="he-IL"/>
        </w:rPr>
        <w:t>Sarah</w:t>
      </w:r>
      <w:r w:rsidR="005C7D49">
        <w:rPr>
          <w:lang w:bidi="he-IL"/>
        </w:rPr>
        <w:t xml:space="preserve"> herself</w:t>
      </w:r>
      <w:r>
        <w:rPr>
          <w:lang w:bidi="he-IL"/>
        </w:rPr>
        <w:t xml:space="preserve"> has a theology </w:t>
      </w:r>
      <w:r w:rsidR="00882FE8">
        <w:rPr>
          <w:lang w:bidi="he-IL"/>
        </w:rPr>
        <w:t xml:space="preserve">or </w:t>
      </w:r>
      <w:r w:rsidR="00320EFE">
        <w:rPr>
          <w:lang w:bidi="he-IL"/>
        </w:rPr>
        <w:t xml:space="preserve">spirituality </w:t>
      </w:r>
      <w:r>
        <w:rPr>
          <w:lang w:bidi="he-IL"/>
        </w:rPr>
        <w:t>(v. 2</w:t>
      </w:r>
      <w:r w:rsidR="00206CF2">
        <w:rPr>
          <w:lang w:bidi="he-IL"/>
        </w:rPr>
        <w:t>a</w:t>
      </w:r>
      <w:r>
        <w:rPr>
          <w:lang w:bidi="he-IL"/>
        </w:rPr>
        <w:t xml:space="preserve">). Gen 11:30 </w:t>
      </w:r>
      <w:r w:rsidR="005C7D49">
        <w:rPr>
          <w:lang w:bidi="he-IL"/>
        </w:rPr>
        <w:t xml:space="preserve">had </w:t>
      </w:r>
      <w:r>
        <w:rPr>
          <w:lang w:bidi="he-IL"/>
        </w:rPr>
        <w:t>described he</w:t>
      </w:r>
      <w:r w:rsidR="00F3364E">
        <w:rPr>
          <w:lang w:bidi="he-IL"/>
        </w:rPr>
        <w:t>r</w:t>
      </w:r>
      <w:r>
        <w:rPr>
          <w:lang w:bidi="he-IL"/>
        </w:rPr>
        <w:t xml:space="preserve"> as infertile and as having no children; the latter was an empirical fact, while the former was a plausible inference about her physical n</w:t>
      </w:r>
      <w:r w:rsidR="008C6494">
        <w:rPr>
          <w:lang w:bidi="he-IL"/>
        </w:rPr>
        <w:t>ature</w:t>
      </w:r>
      <w:r w:rsidR="00F3364E">
        <w:rPr>
          <w:lang w:bidi="he-IL"/>
        </w:rPr>
        <w:t xml:space="preserve"> (only now does it become clearer that the problem is not Abraham’s)</w:t>
      </w:r>
      <w:r w:rsidR="008C6494">
        <w:rPr>
          <w:lang w:bidi="he-IL"/>
        </w:rPr>
        <w:t xml:space="preserve">. Her own observation </w:t>
      </w:r>
      <w:r>
        <w:rPr>
          <w:lang w:bidi="he-IL"/>
        </w:rPr>
        <w:t xml:space="preserve">more than a decade later, according to v. 3, is that she is childless because Yahweh has held her </w:t>
      </w:r>
      <w:r w:rsidR="008C368E">
        <w:rPr>
          <w:lang w:bidi="he-IL"/>
        </w:rPr>
        <w:t>back from conceiving. The verb (</w:t>
      </w:r>
      <w:r w:rsidR="008C368E" w:rsidRPr="008C368E">
        <w:rPr>
          <w:i/>
          <w:lang w:bidi="he-IL"/>
        </w:rPr>
        <w:t>’āṣar</w:t>
      </w:r>
      <w:r w:rsidR="00270DC9">
        <w:rPr>
          <w:lang w:bidi="he-IL"/>
        </w:rPr>
        <w:t xml:space="preserve">) is </w:t>
      </w:r>
      <w:r w:rsidR="008C368E">
        <w:rPr>
          <w:lang w:bidi="he-IL"/>
        </w:rPr>
        <w:t xml:space="preserve">used </w:t>
      </w:r>
      <w:r w:rsidR="00270DC9">
        <w:rPr>
          <w:lang w:bidi="he-IL"/>
        </w:rPr>
        <w:t xml:space="preserve">several times in this connection; </w:t>
      </w:r>
      <w:r w:rsidR="00882FE8">
        <w:rPr>
          <w:lang w:bidi="he-IL"/>
        </w:rPr>
        <w:t xml:space="preserve">in </w:t>
      </w:r>
      <w:r w:rsidR="00270DC9">
        <w:rPr>
          <w:lang w:bidi="he-IL"/>
        </w:rPr>
        <w:t>an</w:t>
      </w:r>
      <w:r w:rsidR="008C368E">
        <w:rPr>
          <w:lang w:bidi="he-IL"/>
        </w:rPr>
        <w:t xml:space="preserve">other </w:t>
      </w:r>
      <w:r w:rsidR="00270DC9">
        <w:rPr>
          <w:lang w:bidi="he-IL"/>
        </w:rPr>
        <w:t xml:space="preserve">recurrent </w:t>
      </w:r>
      <w:r w:rsidR="00882FE8">
        <w:rPr>
          <w:lang w:bidi="he-IL"/>
        </w:rPr>
        <w:t>use it</w:t>
      </w:r>
      <w:r w:rsidR="008C368E">
        <w:rPr>
          <w:lang w:bidi="he-IL"/>
        </w:rPr>
        <w:t xml:space="preserve"> refer</w:t>
      </w:r>
      <w:r w:rsidR="00882FE8">
        <w:rPr>
          <w:lang w:bidi="he-IL"/>
        </w:rPr>
        <w:t>s</w:t>
      </w:r>
      <w:r w:rsidR="008C368E">
        <w:rPr>
          <w:lang w:bidi="he-IL"/>
        </w:rPr>
        <w:t xml:space="preserve"> to Yahweh stopping up the sky so no rain falls. The First Testament doesn’t suggest that every time a woman cannot have children it means Yahweh has closed her womb</w:t>
      </w:r>
      <w:r w:rsidR="00270DC9">
        <w:rPr>
          <w:lang w:bidi="he-IL"/>
        </w:rPr>
        <w:t xml:space="preserve"> any more than every time the rain fails it means Yahweh has stopped up the sky</w:t>
      </w:r>
      <w:r w:rsidR="008C368E">
        <w:rPr>
          <w:lang w:bidi="he-IL"/>
        </w:rPr>
        <w:t xml:space="preserve"> (though perhaps at one level that would be true). Often it’s </w:t>
      </w:r>
      <w:r w:rsidR="003D56BA">
        <w:rPr>
          <w:lang w:bidi="he-IL"/>
        </w:rPr>
        <w:t>“</w:t>
      </w:r>
      <w:r w:rsidR="008C368E">
        <w:rPr>
          <w:lang w:bidi="he-IL"/>
        </w:rPr>
        <w:t>just one of those things.</w:t>
      </w:r>
      <w:r w:rsidR="003D56BA">
        <w:rPr>
          <w:lang w:bidi="he-IL"/>
        </w:rPr>
        <w:t>”</w:t>
      </w:r>
      <w:r w:rsidR="005C7D49">
        <w:rPr>
          <w:lang w:bidi="he-IL"/>
        </w:rPr>
        <w:t xml:space="preserve"> The First Testament</w:t>
      </w:r>
      <w:r w:rsidR="008C368E">
        <w:rPr>
          <w:lang w:bidi="he-IL"/>
        </w:rPr>
        <w:t xml:space="preserve"> does assume that Yahweh sometimes </w:t>
      </w:r>
      <w:r w:rsidR="00882FE8">
        <w:rPr>
          <w:lang w:bidi="he-IL"/>
        </w:rPr>
        <w:t xml:space="preserve">deliberately </w:t>
      </w:r>
      <w:r w:rsidR="008C368E">
        <w:rPr>
          <w:lang w:bidi="he-IL"/>
        </w:rPr>
        <w:t>takes this action</w:t>
      </w:r>
      <w:r w:rsidR="00270DC9">
        <w:rPr>
          <w:lang w:bidi="he-IL"/>
        </w:rPr>
        <w:t>; ironically, Abraham and Sarah will shortly cause it to happen to some other women</w:t>
      </w:r>
      <w:r w:rsidR="00882FE8">
        <w:rPr>
          <w:lang w:bidi="he-IL"/>
        </w:rPr>
        <w:t xml:space="preserve"> (</w:t>
      </w:r>
      <w:r w:rsidR="008C368E">
        <w:rPr>
          <w:lang w:bidi="he-IL"/>
        </w:rPr>
        <w:t>20:18).</w:t>
      </w:r>
      <w:r w:rsidR="00270DC9">
        <w:rPr>
          <w:lang w:bidi="he-IL"/>
        </w:rPr>
        <w:t xml:space="preserve"> But it’s hard to move from the general (</w:t>
      </w:r>
      <w:r w:rsidR="003D56BA">
        <w:rPr>
          <w:lang w:bidi="he-IL"/>
        </w:rPr>
        <w:t>“</w:t>
      </w:r>
      <w:r w:rsidR="00270DC9">
        <w:rPr>
          <w:lang w:bidi="he-IL"/>
        </w:rPr>
        <w:t>Yahweh sometimes closes wombs</w:t>
      </w:r>
      <w:r w:rsidR="003D56BA">
        <w:rPr>
          <w:lang w:bidi="he-IL"/>
        </w:rPr>
        <w:t>”</w:t>
      </w:r>
      <w:r w:rsidR="00270DC9">
        <w:rPr>
          <w:lang w:bidi="he-IL"/>
        </w:rPr>
        <w:t>) to the particular (</w:t>
      </w:r>
      <w:r w:rsidR="003D56BA">
        <w:rPr>
          <w:lang w:bidi="he-IL"/>
        </w:rPr>
        <w:t>“</w:t>
      </w:r>
      <w:r w:rsidR="00270DC9">
        <w:rPr>
          <w:lang w:bidi="he-IL"/>
        </w:rPr>
        <w:t>Yahweh has closed my womb</w:t>
      </w:r>
      <w:r w:rsidR="003D56BA">
        <w:rPr>
          <w:lang w:bidi="he-IL"/>
        </w:rPr>
        <w:t>”</w:t>
      </w:r>
      <w:r w:rsidR="00270DC9">
        <w:rPr>
          <w:lang w:bidi="he-IL"/>
        </w:rPr>
        <w:t>), as it is impossible to move from the particular (</w:t>
      </w:r>
      <w:r w:rsidR="003D56BA">
        <w:rPr>
          <w:lang w:bidi="he-IL"/>
        </w:rPr>
        <w:t>“</w:t>
      </w:r>
      <w:r w:rsidR="00270DC9">
        <w:rPr>
          <w:lang w:bidi="he-IL"/>
        </w:rPr>
        <w:t>Yahweh has opened my womb</w:t>
      </w:r>
      <w:r w:rsidR="003D56BA">
        <w:rPr>
          <w:lang w:bidi="he-IL"/>
        </w:rPr>
        <w:t>”</w:t>
      </w:r>
      <w:r w:rsidR="00270DC9">
        <w:rPr>
          <w:lang w:bidi="he-IL"/>
        </w:rPr>
        <w:t>) to the general (</w:t>
      </w:r>
      <w:r w:rsidR="003D56BA">
        <w:rPr>
          <w:lang w:bidi="he-IL"/>
        </w:rPr>
        <w:t>“</w:t>
      </w:r>
      <w:r w:rsidR="00270DC9">
        <w:rPr>
          <w:lang w:bidi="he-IL"/>
        </w:rPr>
        <w:t>Yahweh always opens wombs</w:t>
      </w:r>
      <w:r w:rsidR="003D56BA">
        <w:rPr>
          <w:lang w:bidi="he-IL"/>
        </w:rPr>
        <w:t>”</w:t>
      </w:r>
      <w:r w:rsidR="00270DC9">
        <w:rPr>
          <w:lang w:bidi="he-IL"/>
        </w:rPr>
        <w:t>). This narrative does not comment on whether Sarah was right.</w:t>
      </w:r>
      <w:r w:rsidR="00206CF2">
        <w:rPr>
          <w:lang w:bidi="he-IL"/>
        </w:rPr>
        <w:t xml:space="preserve"> Further, as well as having a theology, </w:t>
      </w:r>
      <w:r w:rsidR="00882FE8">
        <w:rPr>
          <w:lang w:bidi="he-IL"/>
        </w:rPr>
        <w:t xml:space="preserve">Sarah </w:t>
      </w:r>
      <w:r w:rsidR="00270DC9">
        <w:rPr>
          <w:lang w:bidi="he-IL"/>
        </w:rPr>
        <w:t xml:space="preserve">has a strategy, as do many would-be parents. In Western culture the strategy may involve </w:t>
      </w:r>
      <w:r w:rsidR="000738E1">
        <w:rPr>
          <w:lang w:bidi="he-IL"/>
        </w:rPr>
        <w:t xml:space="preserve">in vitro fertilization or surrogacy. Sarah’s proposal involves a form of surrogacy known </w:t>
      </w:r>
      <w:r w:rsidR="00104986">
        <w:rPr>
          <w:lang w:bidi="he-IL"/>
        </w:rPr>
        <w:t xml:space="preserve">in traditional societies where an infertile woman arranges </w:t>
      </w:r>
      <w:r w:rsidR="000738E1">
        <w:rPr>
          <w:lang w:bidi="he-IL"/>
        </w:rPr>
        <w:t>or agrees for her husband to have sex with another woman whose child would then count as the infertile woman’s child.</w:t>
      </w:r>
      <w:r w:rsidR="008B1D77">
        <w:rPr>
          <w:rStyle w:val="FootnoteReference"/>
          <w:lang w:bidi="he-IL"/>
        </w:rPr>
        <w:footnoteReference w:id="251"/>
      </w:r>
      <w:r w:rsidR="000738E1">
        <w:rPr>
          <w:lang w:bidi="he-IL"/>
        </w:rPr>
        <w:t xml:space="preserve"> </w:t>
      </w:r>
      <w:r w:rsidR="008C6494">
        <w:rPr>
          <w:lang w:bidi="he-IL"/>
        </w:rPr>
        <w:t xml:space="preserve">The act is thus not adultery; </w:t>
      </w:r>
      <w:r w:rsidR="000708D2">
        <w:rPr>
          <w:lang w:bidi="he-IL"/>
        </w:rPr>
        <w:t xml:space="preserve">it does not involve illicit sex on the part of a </w:t>
      </w:r>
      <w:r w:rsidR="008C6494">
        <w:rPr>
          <w:lang w:bidi="he-IL"/>
        </w:rPr>
        <w:t>married person. I</w:t>
      </w:r>
      <w:r w:rsidR="008B1D77">
        <w:rPr>
          <w:lang w:bidi="he-IL"/>
        </w:rPr>
        <w:t>t is more an aspect of or a variant on</w:t>
      </w:r>
      <w:r w:rsidR="000708D2">
        <w:rPr>
          <w:lang w:bidi="he-IL"/>
        </w:rPr>
        <w:t xml:space="preserve"> polygamy—and in this case, v. 3 relates tha</w:t>
      </w:r>
      <w:r w:rsidR="008B1D77">
        <w:rPr>
          <w:lang w:bidi="he-IL"/>
        </w:rPr>
        <w:t>t Sarah does give Hagar to Abrah</w:t>
      </w:r>
      <w:r w:rsidR="008C6494">
        <w:rPr>
          <w:lang w:bidi="he-IL"/>
        </w:rPr>
        <w:t>am as a second wife. Maybe Sarah</w:t>
      </w:r>
      <w:r w:rsidR="000708D2">
        <w:rPr>
          <w:lang w:bidi="he-IL"/>
        </w:rPr>
        <w:t xml:space="preserve"> will then be </w:t>
      </w:r>
      <w:r w:rsidR="00F51B32">
        <w:rPr>
          <w:lang w:bidi="he-IL"/>
        </w:rPr>
        <w:t xml:space="preserve">able to </w:t>
      </w:r>
      <w:r w:rsidR="003D56BA">
        <w:rPr>
          <w:lang w:bidi="he-IL"/>
        </w:rPr>
        <w:t>“</w:t>
      </w:r>
      <w:r w:rsidR="00F51B32">
        <w:rPr>
          <w:lang w:bidi="he-IL"/>
        </w:rPr>
        <w:t>build herself</w:t>
      </w:r>
      <w:r w:rsidR="000708D2">
        <w:rPr>
          <w:lang w:bidi="he-IL"/>
        </w:rPr>
        <w:t xml:space="preserve"> up</w:t>
      </w:r>
      <w:r w:rsidR="003D56BA">
        <w:rPr>
          <w:lang w:bidi="he-IL"/>
        </w:rPr>
        <w:t>”</w:t>
      </w:r>
      <w:r w:rsidR="000708D2">
        <w:rPr>
          <w:lang w:bidi="he-IL"/>
        </w:rPr>
        <w:t xml:space="preserve"> though Hagar (cf.30:3).</w:t>
      </w:r>
      <w:r w:rsidR="00206CF2">
        <w:rPr>
          <w:lang w:bidi="he-IL"/>
        </w:rPr>
        <w:t xml:space="preserve"> She will become a </w:t>
      </w:r>
      <w:proofErr w:type="gramStart"/>
      <w:r w:rsidR="00206CF2">
        <w:rPr>
          <w:lang w:bidi="he-IL"/>
        </w:rPr>
        <w:t>house(</w:t>
      </w:r>
      <w:proofErr w:type="gramEnd"/>
      <w:r w:rsidR="00206CF2">
        <w:rPr>
          <w:lang w:bidi="he-IL"/>
        </w:rPr>
        <w:t>hold), whereas at the moment she and Abraham a</w:t>
      </w:r>
      <w:r w:rsidR="00F51B32">
        <w:rPr>
          <w:lang w:bidi="he-IL"/>
        </w:rPr>
        <w:t>re simply a couple</w:t>
      </w:r>
      <w:r w:rsidR="00206CF2">
        <w:rPr>
          <w:lang w:bidi="he-IL"/>
        </w:rPr>
        <w:t>.</w:t>
      </w:r>
      <w:r w:rsidR="00B6200F">
        <w:rPr>
          <w:lang w:bidi="he-IL"/>
        </w:rPr>
        <w:t xml:space="preserve"> </w:t>
      </w:r>
      <w:r w:rsidR="00AC3818">
        <w:rPr>
          <w:lang w:bidi="he-IL"/>
        </w:rPr>
        <w:t>Maybe she is concerned to have someone to pass on her dowry.</w:t>
      </w:r>
      <w:r w:rsidR="00AC3818">
        <w:rPr>
          <w:rStyle w:val="FootnoteReference"/>
          <w:lang w:bidi="he-IL"/>
        </w:rPr>
        <w:footnoteReference w:id="252"/>
      </w:r>
      <w:r w:rsidR="00AC3818">
        <w:rPr>
          <w:lang w:bidi="he-IL"/>
        </w:rPr>
        <w:t xml:space="preserve"> </w:t>
      </w:r>
      <w:r w:rsidR="00F51B32">
        <w:rPr>
          <w:lang w:bidi="he-IL"/>
        </w:rPr>
        <w:t>Maybe she</w:t>
      </w:r>
      <w:r w:rsidR="00B6200F">
        <w:rPr>
          <w:lang w:bidi="he-IL"/>
        </w:rPr>
        <w:t xml:space="preserve"> also knows that mothers who adopt sometimes mysteriously then get pregnant when they couldn’t before.</w:t>
      </w:r>
      <w:r w:rsidR="008C6494">
        <w:rPr>
          <w:lang w:bidi="he-IL"/>
        </w:rPr>
        <w:t xml:space="preserve"> </w:t>
      </w:r>
      <w:r w:rsidR="00F51B32">
        <w:rPr>
          <w:lang w:bidi="he-IL"/>
        </w:rPr>
        <w:t>There’</w:t>
      </w:r>
      <w:r w:rsidR="008C6494" w:rsidRPr="008C6494">
        <w:rPr>
          <w:lang w:bidi="he-IL"/>
        </w:rPr>
        <w:t xml:space="preserve">s no suggestion that she is operating on the basis of a </w:t>
      </w:r>
      <w:r w:rsidR="003D56BA">
        <w:rPr>
          <w:lang w:bidi="he-IL"/>
        </w:rPr>
        <w:t>“</w:t>
      </w:r>
      <w:r w:rsidR="008C6494" w:rsidRPr="008C6494">
        <w:rPr>
          <w:lang w:bidi="he-IL"/>
        </w:rPr>
        <w:t>works-righteousness.</w:t>
      </w:r>
      <w:r w:rsidR="003D56BA">
        <w:rPr>
          <w:lang w:bidi="he-IL"/>
        </w:rPr>
        <w:t>”</w:t>
      </w:r>
      <w:r w:rsidR="008C6494" w:rsidRPr="008C6494">
        <w:rPr>
          <w:vertAlign w:val="superscript"/>
          <w:lang w:bidi="he-IL"/>
        </w:rPr>
        <w:footnoteReference w:id="253"/>
      </w:r>
      <w:r w:rsidR="00F51B32">
        <w:rPr>
          <w:lang w:bidi="he-IL"/>
        </w:rPr>
        <w:t xml:space="preserve"> There’s nothing wrong in principle with taking such an initiative; Rachel and Leah do so.</w:t>
      </w:r>
      <w:r w:rsidR="00F51B32">
        <w:rPr>
          <w:rStyle w:val="FootnoteReference"/>
          <w:lang w:bidi="he-IL"/>
        </w:rPr>
        <w:footnoteReference w:id="254"/>
      </w:r>
      <w:r w:rsidR="00F51B32">
        <w:rPr>
          <w:lang w:bidi="he-IL"/>
        </w:rPr>
        <w:t xml:space="preserve"> And there’s nothing to raise questions about whether it’s a “good-faith offer.”</w:t>
      </w:r>
      <w:r w:rsidR="00F51B32">
        <w:rPr>
          <w:rStyle w:val="FootnoteReference"/>
          <w:lang w:bidi="he-IL"/>
        </w:rPr>
        <w:footnoteReference w:id="255"/>
      </w:r>
    </w:p>
    <w:p w14:paraId="3391018F" w14:textId="77777777" w:rsidR="00206CF2" w:rsidRDefault="00206CF2" w:rsidP="00B00B84">
      <w:pPr>
        <w:pStyle w:val="ListParagraph"/>
        <w:ind w:left="0" w:firstLine="720"/>
        <w:rPr>
          <w:lang w:bidi="he-IL"/>
        </w:rPr>
      </w:pPr>
      <w:r>
        <w:rPr>
          <w:lang w:bidi="he-IL"/>
        </w:rPr>
        <w:lastRenderedPageBreak/>
        <w:t xml:space="preserve">Abraham agrees (v. </w:t>
      </w:r>
      <w:r w:rsidR="00104986">
        <w:rPr>
          <w:lang w:bidi="he-IL"/>
        </w:rPr>
        <w:t>2b). Why not? It was an</w:t>
      </w:r>
      <w:r>
        <w:rPr>
          <w:lang w:bidi="he-IL"/>
        </w:rPr>
        <w:t xml:space="preserve"> acceptable procedure in the culture. </w:t>
      </w:r>
      <w:r w:rsidR="00882FE8">
        <w:rPr>
          <w:lang w:bidi="he-IL"/>
        </w:rPr>
        <w:t>Abraham</w:t>
      </w:r>
      <w:r w:rsidR="00F0323E">
        <w:rPr>
          <w:lang w:bidi="he-IL"/>
        </w:rPr>
        <w:t xml:space="preserve"> took decisive action in 13:5-18 and in 14:1-24 and Yahweh got involved in the events. </w:t>
      </w:r>
      <w:r w:rsidR="00DA38E8">
        <w:rPr>
          <w:lang w:bidi="he-IL"/>
        </w:rPr>
        <w:t xml:space="preserve">But </w:t>
      </w:r>
      <w:r w:rsidR="00882FE8">
        <w:rPr>
          <w:lang w:bidi="he-IL"/>
        </w:rPr>
        <w:t xml:space="preserve">here </w:t>
      </w:r>
      <w:r w:rsidR="003D56BA">
        <w:rPr>
          <w:lang w:bidi="he-IL"/>
        </w:rPr>
        <w:t>“</w:t>
      </w:r>
      <w:r w:rsidR="00DA38E8">
        <w:rPr>
          <w:lang w:bidi="he-IL"/>
        </w:rPr>
        <w:t>n</w:t>
      </w:r>
      <w:r w:rsidR="00DA38E8" w:rsidRPr="00DA38E8">
        <w:rPr>
          <w:lang w:bidi="he-IL"/>
        </w:rPr>
        <w:t>o mighty patriarch is Abram, but rather the silent, acquiescent, and minor figure in a dram</w:t>
      </w:r>
      <w:r w:rsidR="00DA38E8">
        <w:rPr>
          <w:lang w:bidi="he-IL"/>
        </w:rPr>
        <w:t>a</w:t>
      </w:r>
      <w:r w:rsidR="00DA38E8" w:rsidRPr="00DA38E8">
        <w:rPr>
          <w:lang w:bidi="he-IL"/>
        </w:rPr>
        <w:t xml:space="preserve"> between two women.</w:t>
      </w:r>
      <w:r w:rsidR="003D56BA">
        <w:rPr>
          <w:lang w:bidi="he-IL"/>
        </w:rPr>
        <w:t>”</w:t>
      </w:r>
      <w:r w:rsidR="00DA38E8">
        <w:rPr>
          <w:rStyle w:val="FootnoteReference"/>
          <w:lang w:bidi="he-IL"/>
        </w:rPr>
        <w:footnoteReference w:id="256"/>
      </w:r>
      <w:r w:rsidR="00DA38E8" w:rsidRPr="00DA38E8">
        <w:rPr>
          <w:lang w:bidi="he-IL"/>
        </w:rPr>
        <w:t xml:space="preserve"> </w:t>
      </w:r>
      <w:r w:rsidR="00882FE8">
        <w:rPr>
          <w:lang w:bidi="he-IL"/>
        </w:rPr>
        <w:t>And</w:t>
      </w:r>
      <w:r>
        <w:rPr>
          <w:lang w:bidi="he-IL"/>
        </w:rPr>
        <w:t xml:space="preserve"> maybe it’s worrying that the sequence of the woman making a suggestion and t</w:t>
      </w:r>
      <w:r w:rsidR="00882FE8">
        <w:rPr>
          <w:lang w:bidi="he-IL"/>
        </w:rPr>
        <w:t xml:space="preserve">he man </w:t>
      </w:r>
      <w:r w:rsidR="00F0323E">
        <w:rPr>
          <w:lang w:bidi="he-IL"/>
        </w:rPr>
        <w:t>agree</w:t>
      </w:r>
      <w:r w:rsidR="00882FE8">
        <w:rPr>
          <w:lang w:bidi="he-IL"/>
        </w:rPr>
        <w:t>ing</w:t>
      </w:r>
      <w:r w:rsidR="00F0323E">
        <w:rPr>
          <w:lang w:bidi="he-IL"/>
        </w:rPr>
        <w:t xml:space="preserve"> to it without </w:t>
      </w:r>
      <w:r>
        <w:rPr>
          <w:lang w:bidi="he-IL"/>
        </w:rPr>
        <w:t>thinking too much has an unfortunate prec</w:t>
      </w:r>
      <w:r w:rsidR="00F0323E">
        <w:rPr>
          <w:lang w:bidi="he-IL"/>
        </w:rPr>
        <w:t>edent (</w:t>
      </w:r>
      <w:r w:rsidR="003D56BA">
        <w:rPr>
          <w:lang w:bidi="he-IL"/>
        </w:rPr>
        <w:t>“</w:t>
      </w:r>
      <w:r w:rsidR="00F0323E">
        <w:rPr>
          <w:lang w:bidi="he-IL"/>
        </w:rPr>
        <w:t>you listened to the voice of your</w:t>
      </w:r>
      <w:r>
        <w:rPr>
          <w:lang w:bidi="he-IL"/>
        </w:rPr>
        <w:t xml:space="preserve"> wife</w:t>
      </w:r>
      <w:r w:rsidR="003D56BA">
        <w:rPr>
          <w:lang w:bidi="he-IL"/>
        </w:rPr>
        <w:t>”</w:t>
      </w:r>
      <w:r w:rsidR="00F0323E">
        <w:rPr>
          <w:lang w:bidi="he-IL"/>
        </w:rPr>
        <w:t>:</w:t>
      </w:r>
      <w:r>
        <w:rPr>
          <w:lang w:bidi="he-IL"/>
        </w:rPr>
        <w:t xml:space="preserve"> 3:17</w:t>
      </w:r>
      <w:r w:rsidR="00882FE8">
        <w:rPr>
          <w:lang w:bidi="he-IL"/>
        </w:rPr>
        <w:t>). Further,</w:t>
      </w:r>
      <w:r w:rsidR="00F0323E">
        <w:rPr>
          <w:lang w:bidi="he-IL"/>
        </w:rPr>
        <w:t xml:space="preserve"> Abraham’s taking decisive acti</w:t>
      </w:r>
      <w:r w:rsidR="008C6494">
        <w:rPr>
          <w:lang w:bidi="he-IL"/>
        </w:rPr>
        <w:t xml:space="preserve">on in 12:9—13:4 had </w:t>
      </w:r>
      <w:r w:rsidR="00882FE8">
        <w:rPr>
          <w:lang w:bidi="he-IL"/>
        </w:rPr>
        <w:t>ambiguous results. And</w:t>
      </w:r>
      <w:r w:rsidR="00F0323E">
        <w:rPr>
          <w:lang w:bidi="he-IL"/>
        </w:rPr>
        <w:t xml:space="preserve"> one wonders whether with hindsight and recalling the dialogue in 15:20, Abraham might have concluded that consulting Yahweh about Sarah’s suggestion would have been a good idea. </w:t>
      </w:r>
      <w:r w:rsidR="00882FE8">
        <w:rPr>
          <w:lang w:bidi="he-IL"/>
        </w:rPr>
        <w:t>“H</w:t>
      </w:r>
      <w:r w:rsidR="008D008C">
        <w:rPr>
          <w:lang w:bidi="he-IL"/>
        </w:rPr>
        <w:t xml:space="preserve">ow we are to assess Sarai’s attempt to circumvent her </w:t>
      </w:r>
      <w:r w:rsidR="00543621">
        <w:rPr>
          <w:lang w:bidi="he-IL"/>
        </w:rPr>
        <w:t>sterility is shrouded in ambiguity.”</w:t>
      </w:r>
      <w:r w:rsidR="00543621">
        <w:rPr>
          <w:rStyle w:val="FootnoteReference"/>
          <w:lang w:bidi="he-IL"/>
        </w:rPr>
        <w:footnoteReference w:id="257"/>
      </w:r>
    </w:p>
    <w:p w14:paraId="5CF587DD" w14:textId="2D777DC4" w:rsidR="00566363" w:rsidRDefault="008C6494" w:rsidP="00B00B84">
      <w:pPr>
        <w:pStyle w:val="ListParagraph"/>
        <w:ind w:left="0" w:firstLine="720"/>
        <w:rPr>
          <w:lang w:bidi="he-IL"/>
        </w:rPr>
      </w:pPr>
      <w:r>
        <w:rPr>
          <w:lang w:bidi="he-IL"/>
        </w:rPr>
        <w:t>Anyway,</w:t>
      </w:r>
      <w:r w:rsidR="006B22B2">
        <w:rPr>
          <w:lang w:bidi="he-IL"/>
        </w:rPr>
        <w:t xml:space="preserve"> Sarah arranges a</w:t>
      </w:r>
      <w:r w:rsidR="00C2103D">
        <w:rPr>
          <w:lang w:bidi="he-IL"/>
        </w:rPr>
        <w:t>nd concludes a marriage (v. 3), giving her servant-girl</w:t>
      </w:r>
      <w:r>
        <w:rPr>
          <w:lang w:bidi="he-IL"/>
        </w:rPr>
        <w:t xml:space="preserve"> </w:t>
      </w:r>
      <w:r w:rsidR="00C2103D">
        <w:rPr>
          <w:lang w:bidi="he-IL"/>
        </w:rPr>
        <w:t>(who is likely a teenager)</w:t>
      </w:r>
      <w:r w:rsidR="00214F65">
        <w:rPr>
          <w:lang w:bidi="he-IL"/>
        </w:rPr>
        <w:t xml:space="preserve"> to a man who is old enough to be her father or grandfather</w:t>
      </w:r>
      <w:r w:rsidR="00F51B32">
        <w:rPr>
          <w:lang w:bidi="he-IL"/>
        </w:rPr>
        <w:t>.</w:t>
      </w:r>
      <w:r>
        <w:rPr>
          <w:lang w:bidi="he-IL"/>
        </w:rPr>
        <w:t xml:space="preserve"> </w:t>
      </w:r>
      <w:r w:rsidR="00C2103D">
        <w:rPr>
          <w:lang w:bidi="he-IL"/>
        </w:rPr>
        <w:t>There is some irony about Sarah</w:t>
      </w:r>
      <w:r w:rsidR="00214F65">
        <w:rPr>
          <w:lang w:bidi="he-IL"/>
        </w:rPr>
        <w:t xml:space="preserve"> repeating the treatment she received at her husband’s hands in Egypt.</w:t>
      </w:r>
      <w:r w:rsidR="00214F65">
        <w:rPr>
          <w:rStyle w:val="FootnoteReference"/>
          <w:lang w:bidi="he-IL"/>
        </w:rPr>
        <w:footnoteReference w:id="258"/>
      </w:r>
      <w:r w:rsidR="00727890">
        <w:rPr>
          <w:lang w:bidi="he-IL"/>
        </w:rPr>
        <w:t xml:space="preserve"> </w:t>
      </w:r>
      <w:r w:rsidR="00C2103D">
        <w:rPr>
          <w:lang w:bidi="he-IL"/>
        </w:rPr>
        <w:t>But</w:t>
      </w:r>
      <w:r w:rsidR="00566363">
        <w:rPr>
          <w:lang w:bidi="he-IL"/>
        </w:rPr>
        <w:t xml:space="preserve"> nothing </w:t>
      </w:r>
      <w:r w:rsidR="00C2103D">
        <w:rPr>
          <w:lang w:bidi="he-IL"/>
        </w:rPr>
        <w:t>happens that would necessarily seem odd to</w:t>
      </w:r>
      <w:r>
        <w:rPr>
          <w:lang w:bidi="he-IL"/>
        </w:rPr>
        <w:t xml:space="preserve"> any of th</w:t>
      </w:r>
      <w:r w:rsidR="00C2103D">
        <w:rPr>
          <w:lang w:bidi="he-IL"/>
        </w:rPr>
        <w:t xml:space="preserve">e parties. To judge from </w:t>
      </w:r>
      <w:r w:rsidR="00566363">
        <w:rPr>
          <w:lang w:bidi="he-IL"/>
        </w:rPr>
        <w:t>regulations in the Torah that are designed to restrain abuse, a</w:t>
      </w:r>
      <w:r>
        <w:rPr>
          <w:lang w:bidi="he-IL"/>
        </w:rPr>
        <w:t xml:space="preserve"> man might well marry one of his</w:t>
      </w:r>
      <w:r w:rsidR="00566363">
        <w:rPr>
          <w:lang w:bidi="he-IL"/>
        </w:rPr>
        <w:t xml:space="preserve"> household’s servant girls </w:t>
      </w:r>
      <w:r w:rsidR="00B65A43">
        <w:rPr>
          <w:lang w:bidi="he-IL"/>
        </w:rPr>
        <w:t xml:space="preserve">or a servant girl who had been captured in war </w:t>
      </w:r>
      <w:r w:rsidR="00566363">
        <w:rPr>
          <w:lang w:bidi="he-IL"/>
        </w:rPr>
        <w:t xml:space="preserve">(see Exod 21:2-11; Deut 21:10-14). </w:t>
      </w:r>
      <w:r w:rsidR="00C2103D">
        <w:rPr>
          <w:lang w:bidi="he-IL"/>
        </w:rPr>
        <w:t>The girl might or might not have</w:t>
      </w:r>
      <w:r>
        <w:rPr>
          <w:lang w:bidi="he-IL"/>
        </w:rPr>
        <w:t xml:space="preserve"> a choice, as</w:t>
      </w:r>
      <w:r w:rsidR="00C2103D">
        <w:rPr>
          <w:lang w:bidi="he-IL"/>
        </w:rPr>
        <w:t xml:space="preserve"> Rebekah did about marrying Isaac, </w:t>
      </w:r>
      <w:r w:rsidR="00B65A43">
        <w:rPr>
          <w:lang w:bidi="he-IL"/>
        </w:rPr>
        <w:t>sight u</w:t>
      </w:r>
      <w:r w:rsidR="00C2103D">
        <w:rPr>
          <w:lang w:bidi="he-IL"/>
        </w:rPr>
        <w:t xml:space="preserve">nseen (Gen 24). </w:t>
      </w:r>
      <w:r w:rsidR="00F51B32">
        <w:rPr>
          <w:lang w:bidi="he-IL"/>
        </w:rPr>
        <w:t>We learn nothing about Hagar having any say in what happens. But a</w:t>
      </w:r>
      <w:r w:rsidR="00C2103D">
        <w:rPr>
          <w:lang w:bidi="he-IL"/>
        </w:rPr>
        <w:t xml:space="preserve"> servant girl might</w:t>
      </w:r>
      <w:r w:rsidR="00B65A43">
        <w:rPr>
          <w:lang w:bidi="he-IL"/>
        </w:rPr>
        <w:t xml:space="preserve"> regard such a marriage as a great step up in the world</w:t>
      </w:r>
      <w:r w:rsidR="00F51B32">
        <w:rPr>
          <w:lang w:bidi="he-IL"/>
        </w:rPr>
        <w:t>, in terms of status and</w:t>
      </w:r>
      <w:r w:rsidR="00C2103D">
        <w:rPr>
          <w:lang w:bidi="he-IL"/>
        </w:rPr>
        <w:t xml:space="preserve"> </w:t>
      </w:r>
      <w:r w:rsidR="003B3161">
        <w:rPr>
          <w:lang w:bidi="he-IL"/>
        </w:rPr>
        <w:t>of economic security</w:t>
      </w:r>
      <w:r w:rsidR="00B65A43">
        <w:rPr>
          <w:lang w:bidi="he-IL"/>
        </w:rPr>
        <w:t xml:space="preserve">. </w:t>
      </w:r>
      <w:r>
        <w:rPr>
          <w:lang w:bidi="he-IL"/>
        </w:rPr>
        <w:t>There is further</w:t>
      </w:r>
      <w:r w:rsidR="00B65A43" w:rsidRPr="00B65A43">
        <w:rPr>
          <w:lang w:bidi="he-IL"/>
        </w:rPr>
        <w:t xml:space="preserve"> irony about the language</w:t>
      </w:r>
      <w:r>
        <w:rPr>
          <w:lang w:bidi="he-IL"/>
        </w:rPr>
        <w:t xml:space="preserve"> Genesis uses</w:t>
      </w:r>
      <w:r w:rsidR="00B65A43" w:rsidRPr="00B65A43">
        <w:rPr>
          <w:lang w:bidi="he-IL"/>
        </w:rPr>
        <w:t xml:space="preserve">. Normally a man </w:t>
      </w:r>
      <w:r w:rsidR="003D56BA">
        <w:rPr>
          <w:lang w:bidi="he-IL"/>
        </w:rPr>
        <w:t>“</w:t>
      </w:r>
      <w:r w:rsidR="00B65A43" w:rsidRPr="00B65A43">
        <w:rPr>
          <w:lang w:bidi="he-IL"/>
        </w:rPr>
        <w:t>gets</w:t>
      </w:r>
      <w:r w:rsidR="003D56BA">
        <w:rPr>
          <w:lang w:bidi="he-IL"/>
        </w:rPr>
        <w:t>”</w:t>
      </w:r>
      <w:r w:rsidR="00B65A43" w:rsidRPr="00B65A43">
        <w:rPr>
          <w:lang w:bidi="he-IL"/>
        </w:rPr>
        <w:t xml:space="preserve"> a wife or his parents </w:t>
      </w:r>
      <w:r w:rsidR="003D56BA">
        <w:rPr>
          <w:lang w:bidi="he-IL"/>
        </w:rPr>
        <w:t>“</w:t>
      </w:r>
      <w:r w:rsidR="00B65A43" w:rsidRPr="00B65A43">
        <w:rPr>
          <w:lang w:bidi="he-IL"/>
        </w:rPr>
        <w:t>get</w:t>
      </w:r>
      <w:r w:rsidR="003D56BA">
        <w:rPr>
          <w:lang w:bidi="he-IL"/>
        </w:rPr>
        <w:t>”</w:t>
      </w:r>
      <w:r w:rsidR="00B65A43" w:rsidRPr="00B65A43">
        <w:rPr>
          <w:lang w:bidi="he-IL"/>
        </w:rPr>
        <w:t xml:space="preserve"> one for him (e.g., 4:19; 11:29; 12:19; 20:2; 21:21; 24:4; 25:1, 20; 28:2; 34:4). Here a wife gets another </w:t>
      </w:r>
      <w:r w:rsidR="00B65A43">
        <w:rPr>
          <w:lang w:bidi="he-IL"/>
        </w:rPr>
        <w:t xml:space="preserve">wife for her husband. And </w:t>
      </w:r>
      <w:r>
        <w:rPr>
          <w:lang w:bidi="he-IL"/>
        </w:rPr>
        <w:t xml:space="preserve">while </w:t>
      </w:r>
      <w:r w:rsidR="00B65A43">
        <w:rPr>
          <w:lang w:bidi="he-IL"/>
        </w:rPr>
        <w:t>t</w:t>
      </w:r>
      <w:r w:rsidR="008B1D77">
        <w:rPr>
          <w:lang w:bidi="he-IL"/>
        </w:rPr>
        <w:t>here is</w:t>
      </w:r>
      <w:r w:rsidR="00B65A43" w:rsidRPr="00B65A43">
        <w:rPr>
          <w:lang w:bidi="he-IL"/>
        </w:rPr>
        <w:t xml:space="preserve"> something sad about a wife having t</w:t>
      </w:r>
      <w:r>
        <w:rPr>
          <w:lang w:bidi="he-IL"/>
        </w:rPr>
        <w:t xml:space="preserve">o make this arrangement, </w:t>
      </w:r>
      <w:r w:rsidR="00B65A43" w:rsidRPr="00B65A43">
        <w:rPr>
          <w:lang w:bidi="he-IL"/>
        </w:rPr>
        <w:t>the son of a polygamous marriage once told me that his mother was only too pleased to have a hand in choosing one of her friends to be his father’s second wife.</w:t>
      </w:r>
      <w:r w:rsidR="005A369F">
        <w:rPr>
          <w:lang w:bidi="he-IL"/>
        </w:rPr>
        <w:t xml:space="preserve"> </w:t>
      </w:r>
      <w:r w:rsidR="00B65A43">
        <w:rPr>
          <w:lang w:bidi="he-IL"/>
        </w:rPr>
        <w:t xml:space="preserve">Hagar would </w:t>
      </w:r>
      <w:r w:rsidR="005A369F">
        <w:rPr>
          <w:lang w:bidi="he-IL"/>
        </w:rPr>
        <w:t xml:space="preserve">presumably </w:t>
      </w:r>
      <w:r w:rsidR="00B65A43">
        <w:rPr>
          <w:lang w:bidi="he-IL"/>
        </w:rPr>
        <w:t xml:space="preserve">be a </w:t>
      </w:r>
      <w:r w:rsidR="003D56BA">
        <w:rPr>
          <w:lang w:bidi="he-IL"/>
        </w:rPr>
        <w:t>“</w:t>
      </w:r>
      <w:r w:rsidR="00B65A43">
        <w:rPr>
          <w:lang w:bidi="he-IL"/>
        </w:rPr>
        <w:t>secondary wife</w:t>
      </w:r>
      <w:r w:rsidR="005A369F">
        <w:rPr>
          <w:lang w:bidi="he-IL"/>
        </w:rPr>
        <w:t>,</w:t>
      </w:r>
      <w:r w:rsidR="003D56BA">
        <w:rPr>
          <w:lang w:bidi="he-IL"/>
        </w:rPr>
        <w:t>”</w:t>
      </w:r>
      <w:r w:rsidR="005A369F">
        <w:rPr>
          <w:lang w:bidi="he-IL"/>
        </w:rPr>
        <w:t xml:space="preserve"> as 25:6 implies</w:t>
      </w:r>
      <w:r w:rsidR="00B65A43">
        <w:rPr>
          <w:lang w:bidi="he-IL"/>
        </w:rPr>
        <w:t xml:space="preserve"> (</w:t>
      </w:r>
      <w:r w:rsidR="005A369F">
        <w:rPr>
          <w:lang w:bidi="he-IL"/>
        </w:rPr>
        <w:t xml:space="preserve">and </w:t>
      </w:r>
      <w:r w:rsidR="00B65A43">
        <w:rPr>
          <w:lang w:bidi="he-IL"/>
        </w:rPr>
        <w:t>see 22:24)</w:t>
      </w:r>
      <w:r w:rsidR="005A369F">
        <w:rPr>
          <w:lang w:bidi="he-IL"/>
        </w:rPr>
        <w:t>,</w:t>
      </w:r>
      <w:r w:rsidR="009A4079">
        <w:rPr>
          <w:rStyle w:val="FootnoteReference"/>
          <w:lang w:bidi="he-IL"/>
        </w:rPr>
        <w:footnoteReference w:id="259"/>
      </w:r>
      <w:r w:rsidR="005A369F">
        <w:rPr>
          <w:lang w:bidi="he-IL"/>
        </w:rPr>
        <w:t xml:space="preserve"> but </w:t>
      </w:r>
      <w:r>
        <w:rPr>
          <w:lang w:bidi="he-IL"/>
        </w:rPr>
        <w:t>Genesis here uses</w:t>
      </w:r>
      <w:r w:rsidR="005A369F">
        <w:rPr>
          <w:lang w:bidi="he-IL"/>
        </w:rPr>
        <w:t xml:space="preserve"> the ordi</w:t>
      </w:r>
      <w:r>
        <w:rPr>
          <w:lang w:bidi="he-IL"/>
        </w:rPr>
        <w:t>nary word for a woman or a wife which it used</w:t>
      </w:r>
      <w:r w:rsidR="005A369F">
        <w:rPr>
          <w:lang w:bidi="he-IL"/>
        </w:rPr>
        <w:t xml:space="preserve"> </w:t>
      </w:r>
      <w:r w:rsidR="00F51B32">
        <w:rPr>
          <w:lang w:bidi="he-IL"/>
        </w:rPr>
        <w:t>for Sarah. The unnecessary repe</w:t>
      </w:r>
      <w:r w:rsidR="005A369F">
        <w:rPr>
          <w:lang w:bidi="he-IL"/>
        </w:rPr>
        <w:t>t</w:t>
      </w:r>
      <w:r w:rsidR="00F51B32">
        <w:rPr>
          <w:lang w:bidi="he-IL"/>
        </w:rPr>
        <w:t>ition</w:t>
      </w:r>
      <w:r w:rsidR="005A369F">
        <w:rPr>
          <w:lang w:bidi="he-IL"/>
        </w:rPr>
        <w:t xml:space="preserve"> of this word to describe Sarah at the beginning of the verse (after all, we know that Sarah is Abraham’s wife) and then its appearance as the last word i</w:t>
      </w:r>
      <w:r>
        <w:rPr>
          <w:lang w:bidi="he-IL"/>
        </w:rPr>
        <w:t xml:space="preserve">n the verse </w:t>
      </w:r>
      <w:r w:rsidR="00F51B32">
        <w:rPr>
          <w:lang w:bidi="he-IL"/>
        </w:rPr>
        <w:t>does underline</w:t>
      </w:r>
      <w:r>
        <w:rPr>
          <w:lang w:bidi="he-IL"/>
        </w:rPr>
        <w:t xml:space="preserve"> the incongruity</w:t>
      </w:r>
      <w:r w:rsidR="00F51B32">
        <w:rPr>
          <w:lang w:bidi="he-IL"/>
        </w:rPr>
        <w:t xml:space="preserve"> of what happens</w:t>
      </w:r>
      <w:r>
        <w:rPr>
          <w:lang w:bidi="he-IL"/>
        </w:rPr>
        <w:t xml:space="preserve"> for Western readers. But ten years have passed, so can Sarah</w:t>
      </w:r>
      <w:r w:rsidR="005A369F">
        <w:rPr>
          <w:lang w:bidi="he-IL"/>
        </w:rPr>
        <w:t xml:space="preserve"> be blamed?</w:t>
      </w:r>
      <w:r w:rsidR="009E4733">
        <w:rPr>
          <w:lang w:bidi="he-IL"/>
        </w:rPr>
        <w:t xml:space="preserve"> (This verse provided Jewish </w:t>
      </w:r>
      <w:r>
        <w:rPr>
          <w:lang w:bidi="he-IL"/>
        </w:rPr>
        <w:t>thinking with an argument to all</w:t>
      </w:r>
      <w:r w:rsidR="009E4733">
        <w:rPr>
          <w:lang w:bidi="he-IL"/>
        </w:rPr>
        <w:t>ow a man to divorce his wife after ten years if she had not been able to have children</w:t>
      </w:r>
      <w:r w:rsidR="00425E22">
        <w:rPr>
          <w:lang w:bidi="he-IL"/>
        </w:rPr>
        <w:t xml:space="preserve">: </w:t>
      </w:r>
      <w:r w:rsidR="00425E22">
        <w:t xml:space="preserve">see e.g., </w:t>
      </w:r>
      <w:r w:rsidR="00425E22">
        <w:rPr>
          <w:i/>
        </w:rPr>
        <w:t>GenR</w:t>
      </w:r>
      <w:r w:rsidR="00425E22">
        <w:t xml:space="preserve"> 45:2</w:t>
      </w:r>
      <w:r w:rsidR="009E4733">
        <w:rPr>
          <w:lang w:bidi="he-IL"/>
        </w:rPr>
        <w:t>)</w:t>
      </w:r>
      <w:r w:rsidR="00425E22">
        <w:rPr>
          <w:lang w:bidi="he-IL"/>
        </w:rPr>
        <w:t>.</w:t>
      </w:r>
    </w:p>
    <w:p w14:paraId="526A1CF9" w14:textId="77777777" w:rsidR="00757023" w:rsidRDefault="005A369F" w:rsidP="00757023">
      <w:pPr>
        <w:pStyle w:val="ListParagraph"/>
        <w:ind w:left="0" w:firstLine="720"/>
        <w:rPr>
          <w:lang w:bidi="he-IL"/>
        </w:rPr>
      </w:pPr>
      <w:r>
        <w:rPr>
          <w:lang w:bidi="he-IL"/>
        </w:rPr>
        <w:t>The strategy works (v. 4</w:t>
      </w:r>
      <w:r w:rsidR="000378BC">
        <w:rPr>
          <w:lang w:bidi="he-IL"/>
        </w:rPr>
        <w:t>a</w:t>
      </w:r>
      <w:r>
        <w:rPr>
          <w:lang w:bidi="he-IL"/>
        </w:rPr>
        <w:t>). What does Abraham think? What are Abraham’s fantasies about sex with a nubile dark-skinned girl? The story is not concerned with such questions, and it implies that Abraham would not be</w:t>
      </w:r>
      <w:r w:rsidR="00B33756">
        <w:rPr>
          <w:lang w:bidi="he-IL"/>
        </w:rPr>
        <w:t xml:space="preserve"> concerned</w:t>
      </w:r>
      <w:r>
        <w:rPr>
          <w:lang w:bidi="he-IL"/>
        </w:rPr>
        <w:t>. It’s a marital act, but it’s a transaction. The important consideration is what follows when they all di</w:t>
      </w:r>
      <w:r w:rsidR="00757023">
        <w:rPr>
          <w:lang w:bidi="he-IL"/>
        </w:rPr>
        <w:t xml:space="preserve">scover that Hagar is pregnant. </w:t>
      </w:r>
    </w:p>
    <w:p w14:paraId="4BE667AE" w14:textId="2C18886F" w:rsidR="000378BC" w:rsidRDefault="000378BC" w:rsidP="00B00B84">
      <w:pPr>
        <w:pStyle w:val="ListParagraph"/>
        <w:ind w:left="0" w:firstLine="720"/>
        <w:rPr>
          <w:lang w:val="en-GB" w:bidi="he-IL"/>
        </w:rPr>
      </w:pPr>
      <w:r w:rsidRPr="00757023">
        <w:rPr>
          <w:rFonts w:asciiTheme="minorHAnsi" w:hAnsiTheme="minorHAnsi"/>
          <w:b/>
          <w:szCs w:val="22"/>
          <w:lang w:bidi="he-IL"/>
        </w:rPr>
        <w:t>16:4b-6</w:t>
      </w:r>
      <w:r w:rsidR="00861E13">
        <w:rPr>
          <w:rFonts w:asciiTheme="minorHAnsi" w:hAnsiTheme="minorHAnsi"/>
          <w:szCs w:val="22"/>
          <w:lang w:bidi="he-IL"/>
        </w:rPr>
        <w:t>. Not surprisingly,</w:t>
      </w:r>
      <w:r w:rsidRPr="00757023">
        <w:rPr>
          <w:rFonts w:asciiTheme="minorHAnsi" w:hAnsiTheme="minorHAnsi"/>
          <w:szCs w:val="22"/>
          <w:lang w:bidi="he-IL"/>
        </w:rPr>
        <w:t xml:space="preserve"> the pregnancy changes the dynamics in the relationship of Sarah and Hagar</w:t>
      </w:r>
      <w:r w:rsidR="00757023">
        <w:rPr>
          <w:rFonts w:asciiTheme="minorHAnsi" w:hAnsiTheme="minorHAnsi"/>
          <w:szCs w:val="22"/>
          <w:lang w:bidi="he-IL"/>
        </w:rPr>
        <w:t>. “</w:t>
      </w:r>
      <w:r w:rsidR="00757023" w:rsidRPr="00757023">
        <w:rPr>
          <w:rFonts w:asciiTheme="minorHAnsi" w:eastAsiaTheme="minorHAnsi" w:hAnsiTheme="minorHAnsi"/>
          <w:bCs/>
          <w:szCs w:val="22"/>
        </w:rPr>
        <w:t>Rath</w:t>
      </w:r>
      <w:r w:rsidR="003E37DB">
        <w:rPr>
          <w:rFonts w:asciiTheme="minorHAnsi" w:eastAsiaTheme="minorHAnsi" w:hAnsiTheme="minorHAnsi"/>
          <w:bCs/>
          <w:szCs w:val="22"/>
        </w:rPr>
        <w:t>er than solving the problem…</w:t>
      </w:r>
      <w:r w:rsidR="00757023" w:rsidRPr="00757023">
        <w:rPr>
          <w:rFonts w:asciiTheme="minorHAnsi" w:eastAsiaTheme="minorHAnsi" w:hAnsiTheme="minorHAnsi"/>
          <w:bCs/>
          <w:szCs w:val="22"/>
        </w:rPr>
        <w:t xml:space="preserve"> this plan soon resulted in the first "love triangle" in the Bible</w:t>
      </w:r>
      <w:r w:rsidR="00757023">
        <w:rPr>
          <w:rFonts w:asciiTheme="minorHAnsi" w:eastAsiaTheme="minorHAnsi" w:hAnsiTheme="minorHAnsi"/>
          <w:bCs/>
          <w:szCs w:val="22"/>
        </w:rPr>
        <w:t>.”</w:t>
      </w:r>
      <w:r w:rsidR="00757023">
        <w:rPr>
          <w:rStyle w:val="FootnoteReference"/>
          <w:rFonts w:asciiTheme="minorHAnsi" w:eastAsiaTheme="minorHAnsi" w:hAnsiTheme="minorHAnsi"/>
          <w:bCs/>
          <w:szCs w:val="22"/>
        </w:rPr>
        <w:footnoteReference w:id="260"/>
      </w:r>
      <w:r w:rsidR="00861E13">
        <w:rPr>
          <w:rFonts w:asciiTheme="minorHAnsi" w:hAnsiTheme="minorHAnsi"/>
          <w:lang w:bidi="he-IL"/>
        </w:rPr>
        <w:t xml:space="preserve"> I</w:t>
      </w:r>
      <w:r>
        <w:rPr>
          <w:lang w:bidi="he-IL"/>
        </w:rPr>
        <w:t xml:space="preserve">t would </w:t>
      </w:r>
      <w:r w:rsidR="00861E13">
        <w:rPr>
          <w:lang w:bidi="he-IL"/>
        </w:rPr>
        <w:t xml:space="preserve">seem likely to </w:t>
      </w:r>
      <w:r w:rsidR="003E37DB">
        <w:rPr>
          <w:lang w:bidi="he-IL"/>
        </w:rPr>
        <w:t>change the women’s</w:t>
      </w:r>
      <w:r>
        <w:rPr>
          <w:lang w:bidi="he-IL"/>
        </w:rPr>
        <w:t xml:space="preserve"> relationships with Abraham, too, but Genesis gives no hints in this direction and it does seem to imply that for Abraham the sexual relationship </w:t>
      </w:r>
      <w:r w:rsidR="00861E13">
        <w:rPr>
          <w:lang w:bidi="he-IL"/>
        </w:rPr>
        <w:t>was simply a transaction</w:t>
      </w:r>
      <w:r>
        <w:rPr>
          <w:lang w:bidi="he-IL"/>
        </w:rPr>
        <w:t xml:space="preserve">. </w:t>
      </w:r>
      <w:r w:rsidR="001F57B1">
        <w:rPr>
          <w:lang w:bidi="he-IL"/>
        </w:rPr>
        <w:t xml:space="preserve">One could understand Genesis to be commenting </w:t>
      </w:r>
      <w:r w:rsidR="00861E13">
        <w:rPr>
          <w:lang w:bidi="he-IL"/>
        </w:rPr>
        <w:t xml:space="preserve">in v. 4b </w:t>
      </w:r>
      <w:r w:rsidR="001F57B1">
        <w:rPr>
          <w:lang w:bidi="he-IL"/>
        </w:rPr>
        <w:t>that Sarah became diminished in her own eyes;</w:t>
      </w:r>
      <w:r w:rsidR="00EF4341">
        <w:rPr>
          <w:rStyle w:val="FootnoteReference"/>
          <w:lang w:bidi="he-IL"/>
        </w:rPr>
        <w:footnoteReference w:id="261"/>
      </w:r>
      <w:r w:rsidR="001F57B1">
        <w:rPr>
          <w:lang w:bidi="he-IL"/>
        </w:rPr>
        <w:t xml:space="preserve"> it would not be surprising if Hagar’s pregnancy had that effect.</w:t>
      </w:r>
      <w:r w:rsidR="00320EFE">
        <w:rPr>
          <w:lang w:bidi="he-IL"/>
        </w:rPr>
        <w:t xml:space="preserve"> But in Sarah’s view—v. 5 will tell us—she has become d</w:t>
      </w:r>
      <w:r w:rsidR="008B1D77">
        <w:rPr>
          <w:lang w:bidi="he-IL"/>
        </w:rPr>
        <w:t>im</w:t>
      </w:r>
      <w:r w:rsidR="00861E13">
        <w:rPr>
          <w:lang w:bidi="he-IL"/>
        </w:rPr>
        <w:t xml:space="preserve">inished in Hagar’s eyes. </w:t>
      </w:r>
      <w:r w:rsidR="00861E13" w:rsidRPr="00861E13">
        <w:rPr>
          <w:lang w:bidi="he-IL"/>
        </w:rPr>
        <w:t>Hagar is now “a woman with attitude.”</w:t>
      </w:r>
      <w:r w:rsidR="00861E13" w:rsidRPr="00861E13">
        <w:rPr>
          <w:vertAlign w:val="superscript"/>
          <w:lang w:bidi="he-IL"/>
        </w:rPr>
        <w:footnoteReference w:id="262"/>
      </w:r>
      <w:r w:rsidR="00861E13">
        <w:rPr>
          <w:lang w:bidi="he-IL"/>
        </w:rPr>
        <w:t xml:space="preserve"> </w:t>
      </w:r>
      <w:r w:rsidR="0026598B">
        <w:rPr>
          <w:lang w:bidi="he-IL"/>
        </w:rPr>
        <w:lastRenderedPageBreak/>
        <w:t>She is guilty of “reckless eyeballing.”</w:t>
      </w:r>
      <w:r w:rsidR="0026598B">
        <w:rPr>
          <w:rStyle w:val="FootnoteReference"/>
          <w:lang w:bidi="he-IL"/>
        </w:rPr>
        <w:footnoteReference w:id="263"/>
      </w:r>
      <w:r w:rsidR="0026598B">
        <w:rPr>
          <w:lang w:bidi="he-IL"/>
        </w:rPr>
        <w:t xml:space="preserve"> </w:t>
      </w:r>
      <w:r w:rsidR="00861E13">
        <w:rPr>
          <w:lang w:bidi="he-IL"/>
        </w:rPr>
        <w:t>Again, i</w:t>
      </w:r>
      <w:r w:rsidR="00320EFE">
        <w:rPr>
          <w:lang w:bidi="he-IL"/>
        </w:rPr>
        <w:t>t would not be surprising if this young foreign servant was rather proud of the fact that she could get pregnant when her mistress couldn</w:t>
      </w:r>
      <w:r w:rsidR="00B33756">
        <w:rPr>
          <w:lang w:bidi="he-IL"/>
        </w:rPr>
        <w:t>’t</w:t>
      </w:r>
      <w:r w:rsidR="003B3161">
        <w:rPr>
          <w:lang w:bidi="he-IL"/>
        </w:rPr>
        <w:t>, that Yahweh had favored her as he had not favored Sarah</w:t>
      </w:r>
      <w:r w:rsidR="00B33756">
        <w:rPr>
          <w:lang w:bidi="he-IL"/>
        </w:rPr>
        <w:t xml:space="preserve">. </w:t>
      </w:r>
      <w:r w:rsidR="003D56BA">
        <w:rPr>
          <w:lang w:bidi="he-IL"/>
        </w:rPr>
        <w:t>“</w:t>
      </w:r>
      <w:r w:rsidR="00DA38E8">
        <w:rPr>
          <w:lang w:bidi="he-IL"/>
        </w:rPr>
        <w:t>In conceiving a child for her mistress, Hagar has seen a new reality that challenges the power structure.</w:t>
      </w:r>
      <w:r w:rsidR="003D56BA">
        <w:rPr>
          <w:lang w:bidi="he-IL"/>
        </w:rPr>
        <w:t>”</w:t>
      </w:r>
      <w:r w:rsidR="001D1D0F" w:rsidRPr="001D1D0F">
        <w:rPr>
          <w:vertAlign w:val="superscript"/>
          <w:lang w:bidi="he-IL"/>
        </w:rPr>
        <w:footnoteReference w:id="264"/>
      </w:r>
      <w:r w:rsidR="00DA38E8">
        <w:rPr>
          <w:lang w:bidi="he-IL"/>
        </w:rPr>
        <w:t xml:space="preserve"> </w:t>
      </w:r>
      <w:r w:rsidR="003E37DB">
        <w:rPr>
          <w:lang w:bidi="he-IL"/>
        </w:rPr>
        <w:t>In this entourage</w:t>
      </w:r>
      <w:r w:rsidR="00EB62C4">
        <w:rPr>
          <w:lang w:bidi="he-IL"/>
        </w:rPr>
        <w:t xml:space="preserve">, </w:t>
      </w:r>
      <w:r w:rsidR="00EB62C4">
        <w:t>Sarah has the power, but</w:t>
      </w:r>
      <w:r w:rsidR="00854779">
        <w:t xml:space="preserve"> Hagar has the functioning womb and </w:t>
      </w:r>
      <w:r w:rsidR="00861E13">
        <w:t xml:space="preserve">she </w:t>
      </w:r>
      <w:r w:rsidR="00854779">
        <w:t xml:space="preserve">threatens to </w:t>
      </w:r>
      <w:r w:rsidR="00EB62C4">
        <w:t xml:space="preserve">outrank her; Sarah becomes </w:t>
      </w:r>
      <w:proofErr w:type="gramStart"/>
      <w:r w:rsidR="00EB62C4">
        <w:t>a nobody</w:t>
      </w:r>
      <w:proofErr w:type="gramEnd"/>
      <w:r w:rsidR="00EB62C4">
        <w:t>.</w:t>
      </w:r>
      <w:r w:rsidR="00EB62C4">
        <w:rPr>
          <w:rStyle w:val="FootnoteReference"/>
        </w:rPr>
        <w:footnoteReference w:id="265"/>
      </w:r>
      <w:r w:rsidR="00861E13">
        <w:t xml:space="preserve"> </w:t>
      </w:r>
      <w:r w:rsidR="00B33756">
        <w:rPr>
          <w:lang w:bidi="he-IL"/>
        </w:rPr>
        <w:t>But unbeknown to Hagar, that</w:t>
      </w:r>
      <w:r w:rsidR="00320EFE">
        <w:rPr>
          <w:lang w:bidi="he-IL"/>
        </w:rPr>
        <w:t xml:space="preserve"> effect of getting pregnant was scary. </w:t>
      </w:r>
      <w:r w:rsidR="003D56BA">
        <w:rPr>
          <w:lang w:bidi="he-IL"/>
        </w:rPr>
        <w:t>“</w:t>
      </w:r>
      <w:r w:rsidR="00320EFE">
        <w:rPr>
          <w:lang w:val="en-GB" w:bidi="he-IL"/>
        </w:rPr>
        <w:t>T</w:t>
      </w:r>
      <w:r w:rsidR="00320EFE" w:rsidRPr="00320EFE">
        <w:rPr>
          <w:lang w:val="en-GB" w:bidi="he-IL"/>
        </w:rPr>
        <w:t>he person who diminishes you I will curse</w:t>
      </w:r>
      <w:r w:rsidR="00320EFE">
        <w:rPr>
          <w:lang w:val="en-GB" w:bidi="he-IL"/>
        </w:rPr>
        <w:t>,</w:t>
      </w:r>
      <w:r w:rsidR="003D56BA">
        <w:rPr>
          <w:lang w:val="en-GB" w:bidi="he-IL"/>
        </w:rPr>
        <w:t>”</w:t>
      </w:r>
      <w:r w:rsidR="00320EFE">
        <w:rPr>
          <w:lang w:val="en-GB" w:bidi="he-IL"/>
        </w:rPr>
        <w:t xml:space="preserve"> Yahweh had promised Abraham (12:3). </w:t>
      </w:r>
      <w:r w:rsidR="00B33756">
        <w:rPr>
          <w:lang w:val="en-GB" w:bidi="he-IL"/>
        </w:rPr>
        <w:t>Hagar</w:t>
      </w:r>
      <w:r w:rsidR="00861E13">
        <w:rPr>
          <w:lang w:val="en-GB" w:bidi="he-IL"/>
        </w:rPr>
        <w:t xml:space="preserve"> might </w:t>
      </w:r>
      <w:r w:rsidR="008B1D77">
        <w:rPr>
          <w:lang w:val="en-GB" w:bidi="he-IL"/>
        </w:rPr>
        <w:t>have heard stories about servant girls in her position who became uppity and thought they might replace the first wife—</w:t>
      </w:r>
      <w:r w:rsidR="000166FC">
        <w:rPr>
          <w:lang w:val="en-GB" w:bidi="he-IL"/>
        </w:rPr>
        <w:t>a development</w:t>
      </w:r>
      <w:r w:rsidR="008B1D77">
        <w:rPr>
          <w:lang w:val="en-GB" w:bidi="he-IL"/>
        </w:rPr>
        <w:t xml:space="preserve"> that Hammurabi’s Law Code </w:t>
      </w:r>
      <w:r w:rsidR="00490CF6">
        <w:rPr>
          <w:lang w:val="en-GB" w:bidi="he-IL"/>
        </w:rPr>
        <w:t>#145-46 regulates against</w:t>
      </w:r>
      <w:r w:rsidR="000166FC">
        <w:rPr>
          <w:rStyle w:val="FootnoteReference"/>
          <w:lang w:val="en-GB" w:bidi="he-IL"/>
        </w:rPr>
        <w:footnoteReference w:id="266"/>
      </w:r>
      <w:r w:rsidR="00490CF6">
        <w:rPr>
          <w:lang w:val="en-GB" w:bidi="he-IL"/>
        </w:rPr>
        <w:t xml:space="preserve"> (cf. also Prov 30:21-23).</w:t>
      </w:r>
    </w:p>
    <w:p w14:paraId="61245547" w14:textId="2B561947" w:rsidR="000E672B" w:rsidRPr="002D0083" w:rsidRDefault="00320EFE" w:rsidP="002D0083">
      <w:pPr>
        <w:pStyle w:val="ListParagraph"/>
        <w:ind w:left="0" w:firstLine="720"/>
        <w:rPr>
          <w:lang w:bidi="he-IL"/>
        </w:rPr>
      </w:pPr>
      <w:r>
        <w:rPr>
          <w:lang w:bidi="he-IL"/>
        </w:rPr>
        <w:t xml:space="preserve">Once </w:t>
      </w:r>
      <w:r w:rsidR="00861E13">
        <w:rPr>
          <w:lang w:bidi="he-IL"/>
        </w:rPr>
        <w:t xml:space="preserve">again Sarah has a theology or </w:t>
      </w:r>
      <w:r>
        <w:rPr>
          <w:lang w:bidi="he-IL"/>
        </w:rPr>
        <w:t xml:space="preserve">spirituality (v. 5). </w:t>
      </w:r>
      <w:r w:rsidR="00DB440C">
        <w:rPr>
          <w:lang w:bidi="he-IL"/>
        </w:rPr>
        <w:t>She</w:t>
      </w:r>
      <w:r w:rsidR="00472423">
        <w:rPr>
          <w:lang w:bidi="he-IL"/>
        </w:rPr>
        <w:t xml:space="preserve"> feels violated by Hagar</w:t>
      </w:r>
      <w:r w:rsidR="000166FC">
        <w:rPr>
          <w:lang w:bidi="he-IL"/>
        </w:rPr>
        <w:t>. T</w:t>
      </w:r>
      <w:r w:rsidR="00DB440C">
        <w:rPr>
          <w:lang w:bidi="he-IL"/>
        </w:rPr>
        <w:t>his</w:t>
      </w:r>
      <w:r w:rsidR="00D930B5">
        <w:rPr>
          <w:lang w:bidi="he-IL"/>
        </w:rPr>
        <w:t xml:space="preserve"> feeling might seem</w:t>
      </w:r>
      <w:r w:rsidR="00DB440C">
        <w:rPr>
          <w:lang w:bidi="he-IL"/>
        </w:rPr>
        <w:t xml:space="preserve"> an overreaction (see the use of the word </w:t>
      </w:r>
      <w:r w:rsidR="00DB440C">
        <w:rPr>
          <w:i/>
          <w:lang w:bidi="he-IL"/>
        </w:rPr>
        <w:t xml:space="preserve">ḥāmās </w:t>
      </w:r>
      <w:r w:rsidR="00DB440C">
        <w:rPr>
          <w:lang w:bidi="he-IL"/>
        </w:rPr>
        <w:t>in 6:11, 13 and the comment), but it is apparently a real reaction</w:t>
      </w:r>
      <w:r w:rsidR="00B33756">
        <w:rPr>
          <w:lang w:bidi="he-IL"/>
        </w:rPr>
        <w:t xml:space="preserve">, and </w:t>
      </w:r>
      <w:r w:rsidR="00D930B5">
        <w:rPr>
          <w:lang w:bidi="he-IL"/>
        </w:rPr>
        <w:t xml:space="preserve">the word </w:t>
      </w:r>
      <w:r w:rsidR="003D56BA">
        <w:rPr>
          <w:lang w:bidi="he-IL"/>
        </w:rPr>
        <w:t>“</w:t>
      </w:r>
      <w:r w:rsidR="00D930B5">
        <w:rPr>
          <w:lang w:bidi="he-IL"/>
        </w:rPr>
        <w:t>violation</w:t>
      </w:r>
      <w:r w:rsidR="003D56BA">
        <w:rPr>
          <w:lang w:bidi="he-IL"/>
        </w:rPr>
        <w:t>”</w:t>
      </w:r>
      <w:r w:rsidR="00D930B5">
        <w:rPr>
          <w:lang w:bidi="he-IL"/>
        </w:rPr>
        <w:t xml:space="preserve"> </w:t>
      </w:r>
      <w:r w:rsidR="00B33756">
        <w:rPr>
          <w:lang w:bidi="he-IL"/>
        </w:rPr>
        <w:t xml:space="preserve">may suggest a fear of the </w:t>
      </w:r>
      <w:r w:rsidR="00D930B5">
        <w:rPr>
          <w:lang w:bidi="he-IL"/>
        </w:rPr>
        <w:t>development Hammurabi presupposes. Anyway,</w:t>
      </w:r>
      <w:r w:rsidR="00DB440C">
        <w:rPr>
          <w:lang w:bidi="he-IL"/>
        </w:rPr>
        <w:t xml:space="preserve"> it’s Abraham’s fault; one might see these words, too, as hard to justify, given that it was her idea not his. Now she wants Yahweh to decide who’s responsible and who therefore need</w:t>
      </w:r>
      <w:r w:rsidR="00B33756">
        <w:rPr>
          <w:lang w:bidi="he-IL"/>
        </w:rPr>
        <w:t>s to do something about it. It</w:t>
      </w:r>
      <w:r w:rsidR="00DB440C">
        <w:rPr>
          <w:lang w:bidi="he-IL"/>
        </w:rPr>
        <w:t xml:space="preserve"> is in principle an appropria</w:t>
      </w:r>
      <w:r w:rsidR="003E37DB">
        <w:rPr>
          <w:lang w:bidi="he-IL"/>
        </w:rPr>
        <w:t>te stance, and she is clear</w:t>
      </w:r>
      <w:r w:rsidR="00DB440C">
        <w:rPr>
          <w:lang w:bidi="he-IL"/>
        </w:rPr>
        <w:t xml:space="preserve"> </w:t>
      </w:r>
      <w:r w:rsidR="00861E13">
        <w:rPr>
          <w:lang w:bidi="he-IL"/>
        </w:rPr>
        <w:t xml:space="preserve">what Yahweh’s judgment will be, like </w:t>
      </w:r>
      <w:r w:rsidR="00CF1B3F">
        <w:rPr>
          <w:lang w:bidi="he-IL"/>
        </w:rPr>
        <w:t>David in 1 Sam 24:12, 15 [13, 16].</w:t>
      </w:r>
      <w:r w:rsidR="00CF1B3F">
        <w:rPr>
          <w:rStyle w:val="FootnoteReference"/>
          <w:lang w:bidi="he-IL"/>
        </w:rPr>
        <w:footnoteReference w:id="267"/>
      </w:r>
      <w:r w:rsidR="00CF1B3F">
        <w:rPr>
          <w:lang w:bidi="he-IL"/>
        </w:rPr>
        <w:t xml:space="preserve"> </w:t>
      </w:r>
      <w:r w:rsidR="008E45B2">
        <w:rPr>
          <w:lang w:bidi="he-IL"/>
        </w:rPr>
        <w:t xml:space="preserve">Yahweh, after all, is supposed to </w:t>
      </w:r>
      <w:r w:rsidR="007D0214">
        <w:rPr>
          <w:lang w:bidi="he-IL"/>
        </w:rPr>
        <w:t xml:space="preserve">be one who </w:t>
      </w:r>
      <w:r w:rsidR="003D56BA">
        <w:rPr>
          <w:lang w:bidi="he-IL"/>
        </w:rPr>
        <w:t>“</w:t>
      </w:r>
      <w:r w:rsidR="008E45B2">
        <w:rPr>
          <w:lang w:bidi="he-IL"/>
        </w:rPr>
        <w:t>care</w:t>
      </w:r>
      <w:r w:rsidR="007D0214">
        <w:rPr>
          <w:lang w:bidi="he-IL"/>
        </w:rPr>
        <w:t>s</w:t>
      </w:r>
      <w:r w:rsidR="008E45B2">
        <w:rPr>
          <w:lang w:bidi="he-IL"/>
        </w:rPr>
        <w:t xml:space="preserve"> for the weak and oppressed who cannot help themselves.</w:t>
      </w:r>
      <w:r w:rsidR="003D56BA">
        <w:rPr>
          <w:lang w:bidi="he-IL"/>
        </w:rPr>
        <w:t>”</w:t>
      </w:r>
      <w:r w:rsidR="007D0214">
        <w:rPr>
          <w:rStyle w:val="FootnoteReference"/>
          <w:lang w:bidi="he-IL"/>
        </w:rPr>
        <w:footnoteReference w:id="268"/>
      </w:r>
      <w:r w:rsidR="00861E13">
        <w:rPr>
          <w:lang w:bidi="he-IL"/>
        </w:rPr>
        <w:t xml:space="preserve"> I</w:t>
      </w:r>
      <w:r w:rsidR="00B33756">
        <w:rPr>
          <w:lang w:bidi="he-IL"/>
        </w:rPr>
        <w:t>mplicitly Sarah</w:t>
      </w:r>
      <w:r w:rsidR="00D930B5">
        <w:rPr>
          <w:lang w:bidi="he-IL"/>
        </w:rPr>
        <w:t xml:space="preserve"> is </w:t>
      </w:r>
      <w:r w:rsidR="008E45B2">
        <w:rPr>
          <w:lang w:bidi="he-IL"/>
        </w:rPr>
        <w:t xml:space="preserve">also </w:t>
      </w:r>
      <w:r w:rsidR="00D930B5">
        <w:rPr>
          <w:lang w:bidi="he-IL"/>
        </w:rPr>
        <w:t>suggesting that Abraham needs to acce</w:t>
      </w:r>
      <w:r w:rsidR="008E45B2">
        <w:rPr>
          <w:lang w:bidi="he-IL"/>
        </w:rPr>
        <w:t xml:space="preserve">pt some responsibility for </w:t>
      </w:r>
      <w:r w:rsidR="00B33756">
        <w:rPr>
          <w:lang w:bidi="he-IL"/>
        </w:rPr>
        <w:t xml:space="preserve">the actions of his new wife, </w:t>
      </w:r>
      <w:r w:rsidR="008E45B2">
        <w:rPr>
          <w:lang w:bidi="he-IL"/>
        </w:rPr>
        <w:t>as head of the household</w:t>
      </w:r>
      <w:r w:rsidR="00B33756">
        <w:rPr>
          <w:lang w:bidi="he-IL"/>
        </w:rPr>
        <w:t>,</w:t>
      </w:r>
      <w:r w:rsidR="008E45B2">
        <w:rPr>
          <w:lang w:bidi="he-IL"/>
        </w:rPr>
        <w:t xml:space="preserve"> </w:t>
      </w:r>
      <w:r w:rsidR="00D930B5">
        <w:rPr>
          <w:lang w:bidi="he-IL"/>
        </w:rPr>
        <w:t>rather than leaving God to sort it out.</w:t>
      </w:r>
      <w:r w:rsidR="00861E13">
        <w:rPr>
          <w:lang w:bidi="he-IL"/>
        </w:rPr>
        <w:t xml:space="preserve"> </w:t>
      </w:r>
      <w:r w:rsidR="003D56BA" w:rsidRPr="002D0083">
        <w:rPr>
          <w:lang w:bidi="he-IL"/>
        </w:rPr>
        <w:t>“</w:t>
      </w:r>
      <w:r w:rsidR="000E672B" w:rsidRPr="002D0083">
        <w:rPr>
          <w:lang w:bidi="he-IL"/>
        </w:rPr>
        <w:t>Why does the Hol</w:t>
      </w:r>
      <w:r w:rsidR="0029616F" w:rsidRPr="002D0083">
        <w:rPr>
          <w:lang w:bidi="he-IL"/>
        </w:rPr>
        <w:t>y Spirit mention these quarrels</w:t>
      </w:r>
      <w:proofErr w:type="gramStart"/>
      <w:r w:rsidR="0029616F" w:rsidRPr="002D0083">
        <w:rPr>
          <w:lang w:bidi="he-IL"/>
        </w:rPr>
        <w:t>?</w:t>
      </w:r>
      <w:r w:rsidR="00C77A30">
        <w:rPr>
          <w:lang w:bidi="he-IL"/>
        </w:rPr>
        <w:t>...</w:t>
      </w:r>
      <w:proofErr w:type="gramEnd"/>
      <w:r w:rsidR="0029616F" w:rsidRPr="002D0083">
        <w:rPr>
          <w:lang w:bidi="he-IL"/>
        </w:rPr>
        <w:t xml:space="preserve"> Was there nothing more important or more profitable to record?</w:t>
      </w:r>
      <w:r w:rsidR="003D56BA" w:rsidRPr="002D0083">
        <w:rPr>
          <w:lang w:bidi="he-IL"/>
        </w:rPr>
        <w:t>”</w:t>
      </w:r>
      <w:r w:rsidR="0029616F" w:rsidRPr="002D0083">
        <w:rPr>
          <w:lang w:bidi="he-IL"/>
        </w:rPr>
        <w:t xml:space="preserve"> But it is useful to us that the scriptures speak of such realities.</w:t>
      </w:r>
      <w:r w:rsidR="0029616F" w:rsidRPr="002D0083">
        <w:rPr>
          <w:vertAlign w:val="superscript"/>
          <w:lang w:bidi="he-IL"/>
        </w:rPr>
        <w:footnoteReference w:id="269"/>
      </w:r>
    </w:p>
    <w:p w14:paraId="49E8612E" w14:textId="56C62CDD" w:rsidR="00DB440C" w:rsidRDefault="007D0214" w:rsidP="00B00B84">
      <w:pPr>
        <w:pStyle w:val="ListParagraph"/>
        <w:ind w:left="0" w:firstLine="720"/>
        <w:rPr>
          <w:lang w:bidi="he-IL"/>
        </w:rPr>
      </w:pPr>
      <w:r>
        <w:rPr>
          <w:lang w:bidi="he-IL"/>
        </w:rPr>
        <w:t xml:space="preserve">Perhaps </w:t>
      </w:r>
      <w:r w:rsidR="00DB440C">
        <w:rPr>
          <w:lang w:bidi="he-IL"/>
        </w:rPr>
        <w:t>Abraham accepts respo</w:t>
      </w:r>
      <w:r w:rsidR="00BE530E">
        <w:rPr>
          <w:lang w:bidi="he-IL"/>
        </w:rPr>
        <w:t>nsibility (v. 6), though he</w:t>
      </w:r>
      <w:r w:rsidR="00BE530E" w:rsidRPr="00BE530E">
        <w:rPr>
          <w:lang w:bidi="he-IL"/>
        </w:rPr>
        <w:t xml:space="preserve"> </w:t>
      </w:r>
      <w:r w:rsidR="003D56BA">
        <w:rPr>
          <w:lang w:bidi="he-IL"/>
        </w:rPr>
        <w:t>“</w:t>
      </w:r>
      <w:r w:rsidR="00BE530E" w:rsidRPr="00BE530E">
        <w:rPr>
          <w:lang w:bidi="he-IL"/>
        </w:rPr>
        <w:t>may well have sighed privately over his temperamental wife (Prov 25:24; 27:15; Sir 25:16ff; 25:6-7).</w:t>
      </w:r>
      <w:r w:rsidR="003D56BA">
        <w:rPr>
          <w:lang w:bidi="he-IL"/>
        </w:rPr>
        <w:t>”</w:t>
      </w:r>
      <w:r w:rsidR="00BE530E" w:rsidRPr="00BE530E">
        <w:rPr>
          <w:vertAlign w:val="superscript"/>
          <w:lang w:bidi="he-IL"/>
        </w:rPr>
        <w:footnoteReference w:id="270"/>
      </w:r>
      <w:r w:rsidR="00BE530E" w:rsidRPr="00BE530E">
        <w:rPr>
          <w:lang w:bidi="he-IL"/>
        </w:rPr>
        <w:t xml:space="preserve"> </w:t>
      </w:r>
      <w:r w:rsidR="00BE530E">
        <w:rPr>
          <w:lang w:bidi="he-IL"/>
        </w:rPr>
        <w:t>Either he then subcontracts responsibility</w:t>
      </w:r>
      <w:r w:rsidR="00DB440C">
        <w:rPr>
          <w:lang w:bidi="he-IL"/>
        </w:rPr>
        <w:t xml:space="preserve"> to Sarah </w:t>
      </w:r>
      <w:r>
        <w:rPr>
          <w:lang w:bidi="he-IL"/>
        </w:rPr>
        <w:t>and gives her the power to decide what should be</w:t>
      </w:r>
      <w:r w:rsidR="00DB440C">
        <w:rPr>
          <w:lang w:bidi="he-IL"/>
        </w:rPr>
        <w:t xml:space="preserve"> do</w:t>
      </w:r>
      <w:r>
        <w:rPr>
          <w:lang w:bidi="he-IL"/>
        </w:rPr>
        <w:t>ne</w:t>
      </w:r>
      <w:r w:rsidR="00B33756">
        <w:rPr>
          <w:lang w:bidi="he-IL"/>
        </w:rPr>
        <w:t>,</w:t>
      </w:r>
      <w:r>
        <w:rPr>
          <w:lang w:bidi="he-IL"/>
        </w:rPr>
        <w:t xml:space="preserve"> or </w:t>
      </w:r>
      <w:r w:rsidR="00B33756">
        <w:rPr>
          <w:lang w:bidi="he-IL"/>
        </w:rPr>
        <w:t xml:space="preserve">he </w:t>
      </w:r>
      <w:r>
        <w:rPr>
          <w:lang w:bidi="he-IL"/>
        </w:rPr>
        <w:t>assumes that Hagar’</w:t>
      </w:r>
      <w:r w:rsidR="00176919">
        <w:rPr>
          <w:lang w:bidi="he-IL"/>
        </w:rPr>
        <w:t xml:space="preserve">s </w:t>
      </w:r>
      <w:r>
        <w:rPr>
          <w:lang w:bidi="he-IL"/>
        </w:rPr>
        <w:t xml:space="preserve">being </w:t>
      </w:r>
      <w:r w:rsidR="00176919">
        <w:rPr>
          <w:lang w:bidi="he-IL"/>
        </w:rPr>
        <w:t>his (secondary) wife doesn’t change her status as</w:t>
      </w:r>
      <w:r w:rsidR="00BE530E">
        <w:rPr>
          <w:lang w:bidi="he-IL"/>
        </w:rPr>
        <w:t xml:space="preserve"> Sarah’s maidservant—</w:t>
      </w:r>
      <w:r w:rsidR="00176919">
        <w:rPr>
          <w:lang w:bidi="he-IL"/>
        </w:rPr>
        <w:t xml:space="preserve">and Sarah is in charge of her maidservants. </w:t>
      </w:r>
      <w:r w:rsidR="00BE530E" w:rsidRPr="00BE530E">
        <w:rPr>
          <w:lang w:bidi="he-IL"/>
        </w:rPr>
        <w:t xml:space="preserve">Encouraging Sarah to do what is good in her eyes might again follow unwise precedents (see 3:6; 6:2). </w:t>
      </w:r>
      <w:r w:rsidR="00176919">
        <w:rPr>
          <w:lang w:bidi="he-IL"/>
        </w:rPr>
        <w:t xml:space="preserve">The action it encourages is </w:t>
      </w:r>
      <w:r w:rsidR="00E71A78">
        <w:rPr>
          <w:lang w:bidi="he-IL"/>
        </w:rPr>
        <w:t>no</w:t>
      </w:r>
      <w:r w:rsidR="0076417D">
        <w:rPr>
          <w:lang w:bidi="he-IL"/>
        </w:rPr>
        <w:t xml:space="preserve">t merely a restoration of or </w:t>
      </w:r>
      <w:r w:rsidR="00E71A78">
        <w:rPr>
          <w:lang w:bidi="he-IL"/>
        </w:rPr>
        <w:t xml:space="preserve">insistence on Hagar’s maidservant status. It encourages </w:t>
      </w:r>
      <w:r w:rsidR="00BE530E">
        <w:rPr>
          <w:lang w:bidi="he-IL"/>
        </w:rPr>
        <w:t>Sarah to put her down</w:t>
      </w:r>
      <w:r w:rsidR="00176919">
        <w:rPr>
          <w:lang w:bidi="he-IL"/>
        </w:rPr>
        <w:t xml:space="preserve">. </w:t>
      </w:r>
      <w:r w:rsidR="00D61710">
        <w:rPr>
          <w:lang w:bidi="he-IL"/>
        </w:rPr>
        <w:t xml:space="preserve">The hand to which Abraham surrenders Hagar is </w:t>
      </w:r>
      <w:r w:rsidR="003D56BA">
        <w:rPr>
          <w:lang w:bidi="he-IL"/>
        </w:rPr>
        <w:t>“</w:t>
      </w:r>
      <w:r w:rsidR="00D61710">
        <w:rPr>
          <w:lang w:bidi="he-IL"/>
        </w:rPr>
        <w:t>a hard hand, which humbles the hated rival.</w:t>
      </w:r>
      <w:r w:rsidR="003D56BA">
        <w:rPr>
          <w:lang w:bidi="he-IL"/>
        </w:rPr>
        <w:t>”</w:t>
      </w:r>
      <w:r w:rsidR="00D61710">
        <w:rPr>
          <w:rStyle w:val="FootnoteReference"/>
          <w:lang w:bidi="he-IL"/>
        </w:rPr>
        <w:footnoteReference w:id="271"/>
      </w:r>
      <w:r w:rsidR="00D61710">
        <w:rPr>
          <w:lang w:bidi="he-IL"/>
        </w:rPr>
        <w:t xml:space="preserve"> </w:t>
      </w:r>
      <w:r w:rsidR="00C01782">
        <w:rPr>
          <w:lang w:bidi="he-IL"/>
        </w:rPr>
        <w:t xml:space="preserve">Is Sarah powerless to control her own rage over her infertility and the </w:t>
      </w:r>
      <w:r w:rsidR="0019282C">
        <w:rPr>
          <w:lang w:bidi="he-IL"/>
        </w:rPr>
        <w:t>humiliation it has brought her?</w:t>
      </w:r>
      <w:r w:rsidR="0019282C">
        <w:rPr>
          <w:rStyle w:val="FootnoteReference"/>
        </w:rPr>
        <w:footnoteReference w:id="272"/>
      </w:r>
      <w:r w:rsidR="0076417D">
        <w:rPr>
          <w:lang w:bidi="he-IL"/>
        </w:rPr>
        <w:t xml:space="preserve"> While</w:t>
      </w:r>
      <w:r w:rsidR="00BE530E">
        <w:rPr>
          <w:lang w:bidi="he-IL"/>
        </w:rPr>
        <w:t xml:space="preserve"> her action</w:t>
      </w:r>
      <w:r w:rsidR="00D930B5">
        <w:rPr>
          <w:lang w:bidi="he-IL"/>
        </w:rPr>
        <w:t xml:space="preserve"> corresponds to the rule in Hammurabi about putting t</w:t>
      </w:r>
      <w:r w:rsidR="0076417D">
        <w:rPr>
          <w:lang w:bidi="he-IL"/>
        </w:rPr>
        <w:t xml:space="preserve">he maidservant in her place, </w:t>
      </w:r>
      <w:r w:rsidR="003D56BA">
        <w:rPr>
          <w:lang w:bidi="he-IL"/>
        </w:rPr>
        <w:t>“</w:t>
      </w:r>
      <w:r w:rsidR="00D930B5">
        <w:rPr>
          <w:lang w:bidi="he-IL"/>
        </w:rPr>
        <w:t>humble</w:t>
      </w:r>
      <w:r w:rsidR="003D56BA">
        <w:rPr>
          <w:lang w:bidi="he-IL"/>
        </w:rPr>
        <w:t>”</w:t>
      </w:r>
      <w:r w:rsidR="00D930B5">
        <w:rPr>
          <w:lang w:bidi="he-IL"/>
        </w:rPr>
        <w:t xml:space="preserve"> (‘</w:t>
      </w:r>
      <w:r w:rsidR="00D930B5" w:rsidRPr="00D930B5">
        <w:rPr>
          <w:i/>
          <w:lang w:bidi="he-IL"/>
        </w:rPr>
        <w:t>ānāh</w:t>
      </w:r>
      <w:r w:rsidR="00BE530E">
        <w:rPr>
          <w:lang w:bidi="he-IL"/>
        </w:rPr>
        <w:t xml:space="preserve"> piel) was</w:t>
      </w:r>
      <w:r w:rsidR="00D930B5">
        <w:rPr>
          <w:lang w:bidi="he-IL"/>
        </w:rPr>
        <w:t xml:space="preserve"> </w:t>
      </w:r>
      <w:r w:rsidR="0076417D">
        <w:rPr>
          <w:lang w:bidi="he-IL"/>
        </w:rPr>
        <w:t xml:space="preserve">ironically </w:t>
      </w:r>
      <w:r w:rsidR="00D930B5">
        <w:rPr>
          <w:lang w:bidi="he-IL"/>
        </w:rPr>
        <w:t>the word</w:t>
      </w:r>
      <w:r w:rsidR="00BE530E">
        <w:rPr>
          <w:lang w:bidi="he-IL"/>
        </w:rPr>
        <w:t xml:space="preserve"> that described</w:t>
      </w:r>
      <w:r w:rsidR="00176919">
        <w:rPr>
          <w:lang w:bidi="he-IL"/>
        </w:rPr>
        <w:t xml:space="preserve"> Hagar’s compatriots’ coming treatment of Sarah’s offspring (15:13). </w:t>
      </w:r>
      <w:r w:rsidR="001E6C6A">
        <w:rPr>
          <w:lang w:bidi="he-IL"/>
        </w:rPr>
        <w:t>Sarah indeed treats Hagar as more like a slave than a servant (again, cf. Deut 21:14).</w:t>
      </w:r>
      <w:r w:rsidR="0076417D">
        <w:rPr>
          <w:lang w:bidi="he-IL"/>
        </w:rPr>
        <w:t xml:space="preserve"> It’s not surprising that Hagar</w:t>
      </w:r>
      <w:r w:rsidR="005364E2">
        <w:rPr>
          <w:lang w:bidi="he-IL"/>
        </w:rPr>
        <w:t xml:space="preserve"> takes flight</w:t>
      </w:r>
      <w:r w:rsidR="00D930B5">
        <w:rPr>
          <w:lang w:bidi="he-IL"/>
        </w:rPr>
        <w:t xml:space="preserve"> (</w:t>
      </w:r>
      <w:r w:rsidR="00D930B5">
        <w:rPr>
          <w:i/>
          <w:lang w:bidi="he-IL"/>
        </w:rPr>
        <w:t>bāraḥ</w:t>
      </w:r>
      <w:r w:rsidR="00D930B5">
        <w:rPr>
          <w:lang w:bidi="he-IL"/>
        </w:rPr>
        <w:t>): again it’s a word that will apply to the Israelites escaping from Egypt (Exod 14:5)</w:t>
      </w:r>
      <w:r w:rsidR="005364E2">
        <w:rPr>
          <w:lang w:bidi="he-IL"/>
        </w:rPr>
        <w:t>. Hard masters alwa</w:t>
      </w:r>
      <w:r w:rsidR="00BE530E">
        <w:rPr>
          <w:lang w:bidi="he-IL"/>
        </w:rPr>
        <w:t>ys take the risk of servants fleeing</w:t>
      </w:r>
      <w:r w:rsidR="005364E2">
        <w:rPr>
          <w:lang w:bidi="he-IL"/>
        </w:rPr>
        <w:t xml:space="preserve"> (cf. Deut 23:15-16 [16-17]).</w:t>
      </w:r>
      <w:r w:rsidR="0076417D">
        <w:rPr>
          <w:lang w:bidi="he-IL"/>
        </w:rPr>
        <w:t xml:space="preserve"> E</w:t>
      </w:r>
      <w:r w:rsidR="00BE530E">
        <w:rPr>
          <w:lang w:bidi="he-IL"/>
        </w:rPr>
        <w:t>ven if you’</w:t>
      </w:r>
      <w:r w:rsidR="00E04481">
        <w:rPr>
          <w:lang w:bidi="he-IL"/>
        </w:rPr>
        <w:t xml:space="preserve">re pregnant </w:t>
      </w:r>
      <w:r w:rsidR="003D56BA">
        <w:rPr>
          <w:lang w:bidi="he-IL"/>
        </w:rPr>
        <w:t>“</w:t>
      </w:r>
      <w:r w:rsidR="00E04481">
        <w:rPr>
          <w:lang w:bidi="he-IL"/>
        </w:rPr>
        <w:t>better all the dangers of the desert path t</w:t>
      </w:r>
      <w:r w:rsidR="00BE530E">
        <w:rPr>
          <w:lang w:bidi="he-IL"/>
        </w:rPr>
        <w:t>han humiliation in Sarah’s tent.</w:t>
      </w:r>
      <w:r w:rsidR="003D56BA">
        <w:rPr>
          <w:lang w:bidi="he-IL"/>
        </w:rPr>
        <w:t>”</w:t>
      </w:r>
      <w:r w:rsidR="00E04481">
        <w:rPr>
          <w:rStyle w:val="FootnoteReference"/>
          <w:lang w:bidi="he-IL"/>
        </w:rPr>
        <w:footnoteReference w:id="273"/>
      </w:r>
      <w:r w:rsidR="00DC59E3">
        <w:rPr>
          <w:lang w:bidi="he-IL"/>
        </w:rPr>
        <w:t xml:space="preserve"> </w:t>
      </w:r>
      <w:r w:rsidR="003E37DB">
        <w:rPr>
          <w:lang w:bidi="he-IL"/>
        </w:rPr>
        <w:t xml:space="preserve">As </w:t>
      </w:r>
      <w:r w:rsidR="00DC59E3">
        <w:rPr>
          <w:lang w:bidi="he-IL"/>
        </w:rPr>
        <w:t>Abraham has not worried too much about his unborn child in telling Sarah she can do as she wishes</w:t>
      </w:r>
      <w:r w:rsidR="00BE530E">
        <w:rPr>
          <w:lang w:bidi="he-IL"/>
        </w:rPr>
        <w:t xml:space="preserve"> with Hagar</w:t>
      </w:r>
      <w:r w:rsidR="00DC59E3">
        <w:rPr>
          <w:lang w:bidi="he-IL"/>
        </w:rPr>
        <w:t xml:space="preserve">, </w:t>
      </w:r>
      <w:r w:rsidR="003E37DB">
        <w:rPr>
          <w:lang w:bidi="he-IL"/>
        </w:rPr>
        <w:t xml:space="preserve">so </w:t>
      </w:r>
      <w:r w:rsidR="00DC59E3">
        <w:rPr>
          <w:lang w:bidi="he-IL"/>
        </w:rPr>
        <w:t xml:space="preserve">Sarah has not </w:t>
      </w:r>
      <w:r w:rsidR="00DC59E3">
        <w:rPr>
          <w:lang w:bidi="he-IL"/>
        </w:rPr>
        <w:lastRenderedPageBreak/>
        <w:t xml:space="preserve">worried too much about him in the way </w:t>
      </w:r>
      <w:r w:rsidR="00BE530E">
        <w:rPr>
          <w:lang w:bidi="he-IL"/>
        </w:rPr>
        <w:t>she has treated her</w:t>
      </w:r>
      <w:r w:rsidR="00417561">
        <w:rPr>
          <w:lang w:bidi="he-IL"/>
        </w:rPr>
        <w:t>, and so Hagar runs away with the future of Abraham’s child in her womb.</w:t>
      </w:r>
      <w:r w:rsidR="00417561">
        <w:rPr>
          <w:rStyle w:val="FootnoteReference"/>
          <w:lang w:bidi="he-IL"/>
        </w:rPr>
        <w:footnoteReference w:id="274"/>
      </w:r>
      <w:r w:rsidR="00DC59E3">
        <w:rPr>
          <w:lang w:bidi="he-IL"/>
        </w:rPr>
        <w:t xml:space="preserve"> </w:t>
      </w:r>
      <w:r w:rsidR="00214F65">
        <w:rPr>
          <w:lang w:bidi="he-IL"/>
        </w:rPr>
        <w:t xml:space="preserve">She </w:t>
      </w:r>
      <w:r w:rsidR="00BE530E">
        <w:rPr>
          <w:lang w:bidi="he-IL"/>
        </w:rPr>
        <w:t xml:space="preserve">also thereby </w:t>
      </w:r>
      <w:r w:rsidR="003D56BA">
        <w:rPr>
          <w:lang w:bidi="he-IL"/>
        </w:rPr>
        <w:t>“</w:t>
      </w:r>
      <w:r w:rsidR="00214F65">
        <w:rPr>
          <w:lang w:bidi="he-IL"/>
        </w:rPr>
        <w:t>denies Sarai’s claim of Hagar’s child as hers, heir to Abram.</w:t>
      </w:r>
      <w:r w:rsidR="003D56BA">
        <w:rPr>
          <w:lang w:bidi="he-IL"/>
        </w:rPr>
        <w:t>”</w:t>
      </w:r>
      <w:r w:rsidR="00214F65">
        <w:rPr>
          <w:rStyle w:val="FootnoteReference"/>
          <w:lang w:bidi="he-IL"/>
        </w:rPr>
        <w:footnoteReference w:id="275"/>
      </w:r>
      <w:r w:rsidR="0076417D">
        <w:rPr>
          <w:lang w:bidi="he-IL"/>
        </w:rPr>
        <w:t xml:space="preserve"> </w:t>
      </w:r>
      <w:r w:rsidR="0076417D" w:rsidRPr="0076417D">
        <w:rPr>
          <w:lang w:bidi="he-IL"/>
        </w:rPr>
        <w:t>Hagar takes responsibility for herself and her future and her baby.</w:t>
      </w:r>
      <w:r w:rsidR="0076417D" w:rsidRPr="0076417D">
        <w:rPr>
          <w:vertAlign w:val="superscript"/>
          <w:lang w:bidi="he-IL"/>
        </w:rPr>
        <w:footnoteReference w:id="276"/>
      </w:r>
    </w:p>
    <w:p w14:paraId="058531C3" w14:textId="77777777" w:rsidR="003E37DB" w:rsidRDefault="001E6C6A" w:rsidP="0080069F">
      <w:pPr>
        <w:pStyle w:val="ListParagraph"/>
        <w:ind w:left="0" w:firstLine="720"/>
        <w:rPr>
          <w:lang w:bidi="he-IL"/>
        </w:rPr>
      </w:pPr>
      <w:r>
        <w:rPr>
          <w:b/>
          <w:lang w:bidi="he-IL"/>
        </w:rPr>
        <w:t>16:7-9</w:t>
      </w:r>
      <w:r>
        <w:rPr>
          <w:lang w:bidi="he-IL"/>
        </w:rPr>
        <w:t>. So far, it’s been a very h</w:t>
      </w:r>
      <w:r w:rsidR="0097087F">
        <w:rPr>
          <w:lang w:bidi="he-IL"/>
        </w:rPr>
        <w:t>uman</w:t>
      </w:r>
      <w:r w:rsidR="0076417D">
        <w:rPr>
          <w:lang w:bidi="he-IL"/>
        </w:rPr>
        <w:t xml:space="preserve"> story, </w:t>
      </w:r>
      <w:r w:rsidR="006E1DDC">
        <w:rPr>
          <w:lang w:bidi="he-IL"/>
        </w:rPr>
        <w:t xml:space="preserve">sadly familiar, </w:t>
      </w:r>
      <w:r w:rsidR="00872711">
        <w:rPr>
          <w:lang w:bidi="he-IL"/>
        </w:rPr>
        <w:t xml:space="preserve">with </w:t>
      </w:r>
      <w:r w:rsidR="0076417D">
        <w:rPr>
          <w:lang w:bidi="he-IL"/>
        </w:rPr>
        <w:t>its first scene ending in</w:t>
      </w:r>
      <w:r w:rsidR="0097087F">
        <w:rPr>
          <w:lang w:bidi="he-IL"/>
        </w:rPr>
        <w:t xml:space="preserve"> disaster for all concerned: </w:t>
      </w:r>
      <w:r w:rsidR="003D56BA">
        <w:rPr>
          <w:lang w:bidi="he-IL"/>
        </w:rPr>
        <w:t>“</w:t>
      </w:r>
      <w:r w:rsidR="0097087F">
        <w:rPr>
          <w:lang w:bidi="he-IL"/>
        </w:rPr>
        <w:t>Hagar has lost her home, Sarai her maid, and Abram his second wife and newborn child.</w:t>
      </w:r>
      <w:r w:rsidR="003D56BA">
        <w:rPr>
          <w:lang w:bidi="he-IL"/>
        </w:rPr>
        <w:t>”</w:t>
      </w:r>
      <w:r w:rsidR="0097087F" w:rsidRPr="0097087F">
        <w:rPr>
          <w:vertAlign w:val="superscript"/>
          <w:lang w:bidi="he-IL"/>
        </w:rPr>
        <w:footnoteReference w:id="277"/>
      </w:r>
      <w:r w:rsidR="0097087F">
        <w:rPr>
          <w:lang w:bidi="he-IL"/>
        </w:rPr>
        <w:t xml:space="preserve"> </w:t>
      </w:r>
      <w:r w:rsidR="0076417D">
        <w:rPr>
          <w:lang w:bidi="he-IL"/>
        </w:rPr>
        <w:t>Perhaps</w:t>
      </w:r>
      <w:r w:rsidR="00BE530E">
        <w:rPr>
          <w:lang w:bidi="he-IL"/>
        </w:rPr>
        <w:t xml:space="preserve"> n</w:t>
      </w:r>
      <w:r w:rsidR="006E1DDC">
        <w:rPr>
          <w:lang w:bidi="he-IL"/>
        </w:rPr>
        <w:t>o one escapes it without some discredit,</w:t>
      </w:r>
      <w:r w:rsidR="006E1DDC">
        <w:rPr>
          <w:rStyle w:val="FootnoteReference"/>
          <w:lang w:bidi="he-IL"/>
        </w:rPr>
        <w:footnoteReference w:id="278"/>
      </w:r>
      <w:r w:rsidR="00BE530E">
        <w:rPr>
          <w:lang w:bidi="he-IL"/>
        </w:rPr>
        <w:t xml:space="preserve"> though the story’s</w:t>
      </w:r>
      <w:r w:rsidR="006E1DDC">
        <w:rPr>
          <w:lang w:bidi="he-IL"/>
        </w:rPr>
        <w:t xml:space="preserve"> ambiguities make it inappropriate to focus on allocating blame.</w:t>
      </w:r>
      <w:r w:rsidR="006E1DDC">
        <w:rPr>
          <w:rStyle w:val="FootnoteReference"/>
          <w:lang w:bidi="he-IL"/>
        </w:rPr>
        <w:footnoteReference w:id="279"/>
      </w:r>
      <w:r w:rsidR="006E1DDC">
        <w:rPr>
          <w:lang w:bidi="he-IL"/>
        </w:rPr>
        <w:t xml:space="preserve"> </w:t>
      </w:r>
      <w:r>
        <w:rPr>
          <w:lang w:bidi="he-IL"/>
        </w:rPr>
        <w:t>Now something supernatural occurs, as happens in a number of these stories (see 12:1 within 11:27—12:8; 12:17 within 12:9—13</w:t>
      </w:r>
      <w:r w:rsidR="005364E2">
        <w:rPr>
          <w:lang w:bidi="he-IL"/>
        </w:rPr>
        <w:t xml:space="preserve">:4; 13:14-17 within 13:5-18). </w:t>
      </w:r>
    </w:p>
    <w:p w14:paraId="594E4BBB" w14:textId="2AA6924A" w:rsidR="001E6C6A" w:rsidRDefault="005364E2" w:rsidP="0080069F">
      <w:pPr>
        <w:pStyle w:val="ListParagraph"/>
        <w:ind w:left="0" w:firstLine="720"/>
        <w:rPr>
          <w:lang w:bidi="he-IL"/>
        </w:rPr>
      </w:pPr>
      <w:r w:rsidRPr="0080069F">
        <w:rPr>
          <w:rFonts w:asciiTheme="minorHAnsi" w:hAnsiTheme="minorHAnsi"/>
          <w:szCs w:val="22"/>
          <w:lang w:bidi="he-IL"/>
        </w:rPr>
        <w:t>It’s</w:t>
      </w:r>
      <w:r>
        <w:rPr>
          <w:lang w:bidi="he-IL"/>
        </w:rPr>
        <w:t xml:space="preserve"> the first appearance of an envoy from Yahweh</w:t>
      </w:r>
      <w:r w:rsidR="00C63781">
        <w:rPr>
          <w:lang w:bidi="he-IL"/>
        </w:rPr>
        <w:t xml:space="preserve"> (v. 7)</w:t>
      </w:r>
      <w:r w:rsidR="00BE530E">
        <w:rPr>
          <w:lang w:bidi="he-IL"/>
        </w:rPr>
        <w:t>. Such an</w:t>
      </w:r>
      <w:r>
        <w:rPr>
          <w:lang w:bidi="he-IL"/>
        </w:rPr>
        <w:t xml:space="preserve"> envoy (</w:t>
      </w:r>
      <w:proofErr w:type="gramStart"/>
      <w:r>
        <w:rPr>
          <w:i/>
          <w:lang w:bidi="he-IL"/>
        </w:rPr>
        <w:t>mal’āk</w:t>
      </w:r>
      <w:proofErr w:type="gramEnd"/>
      <w:r w:rsidR="0076417D">
        <w:rPr>
          <w:lang w:bidi="he-IL"/>
        </w:rPr>
        <w:t>) is like a presidential aide sent</w:t>
      </w:r>
      <w:r>
        <w:rPr>
          <w:lang w:bidi="he-IL"/>
        </w:rPr>
        <w:t xml:space="preserve"> to </w:t>
      </w:r>
      <w:r w:rsidR="00E71A78">
        <w:rPr>
          <w:lang w:bidi="he-IL"/>
        </w:rPr>
        <w:t>investigate some question or to</w:t>
      </w:r>
      <w:r>
        <w:rPr>
          <w:lang w:bidi="he-IL"/>
        </w:rPr>
        <w:t xml:space="preserve"> implement a </w:t>
      </w:r>
      <w:r w:rsidR="0076417D">
        <w:rPr>
          <w:lang w:bidi="he-IL"/>
        </w:rPr>
        <w:t xml:space="preserve">presidential </w:t>
      </w:r>
      <w:r>
        <w:rPr>
          <w:lang w:bidi="he-IL"/>
        </w:rPr>
        <w:t>decisi</w:t>
      </w:r>
      <w:r w:rsidR="0076417D">
        <w:rPr>
          <w:lang w:bidi="he-IL"/>
        </w:rPr>
        <w:t>on</w:t>
      </w:r>
      <w:r w:rsidR="00701063">
        <w:rPr>
          <w:lang w:bidi="he-IL"/>
        </w:rPr>
        <w:t xml:space="preserve">. </w:t>
      </w:r>
      <w:r>
        <w:rPr>
          <w:lang w:bidi="he-IL"/>
        </w:rPr>
        <w:t xml:space="preserve">LXX’s translation </w:t>
      </w:r>
      <w:proofErr w:type="gramStart"/>
      <w:r>
        <w:rPr>
          <w:i/>
          <w:lang w:bidi="he-IL"/>
        </w:rPr>
        <w:t>angelos</w:t>
      </w:r>
      <w:proofErr w:type="gramEnd"/>
      <w:r>
        <w:rPr>
          <w:lang w:bidi="he-IL"/>
        </w:rPr>
        <w:t>, suggest</w:t>
      </w:r>
      <w:r w:rsidR="001B32AB">
        <w:rPr>
          <w:lang w:bidi="he-IL"/>
        </w:rPr>
        <w:t xml:space="preserve">ing </w:t>
      </w:r>
      <w:r w:rsidR="00BE530E">
        <w:rPr>
          <w:lang w:bidi="he-IL"/>
        </w:rPr>
        <w:t xml:space="preserve">a </w:t>
      </w:r>
      <w:r w:rsidR="001B32AB">
        <w:rPr>
          <w:lang w:bidi="he-IL"/>
        </w:rPr>
        <w:t>messenger, is misleading, as</w:t>
      </w:r>
      <w:r>
        <w:rPr>
          <w:lang w:bidi="he-IL"/>
        </w:rPr>
        <w:t xml:space="preserve"> is English </w:t>
      </w:r>
      <w:r w:rsidR="003D56BA">
        <w:rPr>
          <w:lang w:bidi="he-IL"/>
        </w:rPr>
        <w:t>“</w:t>
      </w:r>
      <w:r>
        <w:rPr>
          <w:lang w:bidi="he-IL"/>
        </w:rPr>
        <w:t>angel</w:t>
      </w:r>
      <w:r w:rsidR="003D56BA">
        <w:rPr>
          <w:lang w:bidi="he-IL"/>
        </w:rPr>
        <w:t>”</w:t>
      </w:r>
      <w:r w:rsidR="00701063">
        <w:rPr>
          <w:lang w:bidi="he-IL"/>
        </w:rPr>
        <w:t xml:space="preserve">; </w:t>
      </w:r>
      <w:r w:rsidR="00BE530E">
        <w:rPr>
          <w:lang w:bidi="he-IL"/>
        </w:rPr>
        <w:t xml:space="preserve">the Hebrew word is related to </w:t>
      </w:r>
      <w:r w:rsidR="00701063">
        <w:rPr>
          <w:i/>
          <w:lang w:bidi="he-IL"/>
        </w:rPr>
        <w:t>mᵉlā’kāh</w:t>
      </w:r>
      <w:r w:rsidR="00BE530E">
        <w:rPr>
          <w:lang w:bidi="he-IL"/>
        </w:rPr>
        <w:t>, which</w:t>
      </w:r>
      <w:r w:rsidR="00701063">
        <w:rPr>
          <w:i/>
          <w:lang w:bidi="he-IL"/>
        </w:rPr>
        <w:t xml:space="preserve"> </w:t>
      </w:r>
      <w:r w:rsidR="00BE530E">
        <w:rPr>
          <w:lang w:bidi="he-IL"/>
        </w:rPr>
        <w:t xml:space="preserve">is simply </w:t>
      </w:r>
      <w:r w:rsidR="003D56BA">
        <w:rPr>
          <w:lang w:bidi="he-IL"/>
        </w:rPr>
        <w:t>“</w:t>
      </w:r>
      <w:r w:rsidR="00BE530E">
        <w:rPr>
          <w:lang w:bidi="he-IL"/>
        </w:rPr>
        <w:t>work.</w:t>
      </w:r>
      <w:r w:rsidR="003D56BA">
        <w:rPr>
          <w:lang w:bidi="he-IL"/>
        </w:rPr>
        <w:t>”</w:t>
      </w:r>
      <w:r w:rsidR="00BE530E">
        <w:rPr>
          <w:lang w:bidi="he-IL"/>
        </w:rPr>
        <w:t xml:space="preserve"> T</w:t>
      </w:r>
      <w:r w:rsidR="00701063">
        <w:rPr>
          <w:lang w:bidi="he-IL"/>
        </w:rPr>
        <w:t xml:space="preserve">his envoy is out on the job looking for </w:t>
      </w:r>
      <w:r w:rsidR="00C63781">
        <w:rPr>
          <w:lang w:bidi="he-IL"/>
        </w:rPr>
        <w:t>Hagar</w:t>
      </w:r>
      <w:r w:rsidR="001B32AB">
        <w:rPr>
          <w:lang w:bidi="he-IL"/>
        </w:rPr>
        <w:t xml:space="preserve"> on Yahweh’s behalf</w:t>
      </w:r>
      <w:r w:rsidR="0076417D">
        <w:rPr>
          <w:lang w:bidi="he-IL"/>
        </w:rPr>
        <w:t xml:space="preserve">. </w:t>
      </w:r>
      <w:r w:rsidR="003E37DB">
        <w:rPr>
          <w:lang w:bidi="he-IL"/>
        </w:rPr>
        <w:t>“</w:t>
      </w:r>
      <w:r w:rsidR="003E37DB" w:rsidRPr="0080069F">
        <w:rPr>
          <w:rFonts w:asciiTheme="minorHAnsi" w:eastAsiaTheme="minorHAnsi" w:hAnsiTheme="minorHAnsi" w:cs="Minion-Regular"/>
          <w:szCs w:val="22"/>
        </w:rPr>
        <w:t>Hagar was not running awa</w:t>
      </w:r>
      <w:r w:rsidR="003E37DB">
        <w:rPr>
          <w:rFonts w:asciiTheme="minorHAnsi" w:eastAsiaTheme="minorHAnsi" w:hAnsiTheme="minorHAnsi" w:cs="Minion-Regular"/>
          <w:szCs w:val="22"/>
        </w:rPr>
        <w:t>y in order to find God, but an ‘angel of Yahweh’</w:t>
      </w:r>
      <w:r w:rsidR="003E37DB" w:rsidRPr="0080069F">
        <w:rPr>
          <w:rFonts w:asciiTheme="minorHAnsi" w:eastAsiaTheme="minorHAnsi" w:hAnsiTheme="minorHAnsi" w:cs="Minion-Regular"/>
          <w:szCs w:val="22"/>
        </w:rPr>
        <w:t xml:space="preserve"> found</w:t>
      </w:r>
      <w:r w:rsidR="003E37DB">
        <w:rPr>
          <w:lang w:bidi="he-IL"/>
        </w:rPr>
        <w:t xml:space="preserve"> </w:t>
      </w:r>
      <w:r w:rsidR="003E37DB" w:rsidRPr="0080069F">
        <w:rPr>
          <w:rFonts w:asciiTheme="minorHAnsi" w:eastAsiaTheme="minorHAnsi" w:hAnsiTheme="minorHAnsi" w:cs="Minion-Regular"/>
          <w:szCs w:val="22"/>
        </w:rPr>
        <w:t>her running.</w:t>
      </w:r>
      <w:r w:rsidR="003E37DB">
        <w:rPr>
          <w:rFonts w:asciiTheme="minorHAnsi" w:eastAsiaTheme="minorHAnsi" w:hAnsiTheme="minorHAnsi" w:cs="Minion-Regular"/>
          <w:szCs w:val="22"/>
        </w:rPr>
        <w:t>”</w:t>
      </w:r>
      <w:r w:rsidR="003E37DB">
        <w:rPr>
          <w:rStyle w:val="FootnoteReference"/>
          <w:rFonts w:asciiTheme="minorHAnsi" w:eastAsiaTheme="minorHAnsi" w:hAnsiTheme="minorHAnsi" w:cs="Minion-Regular"/>
          <w:szCs w:val="22"/>
        </w:rPr>
        <w:footnoteReference w:id="280"/>
      </w:r>
      <w:r w:rsidR="003E37DB">
        <w:rPr>
          <w:rFonts w:asciiTheme="minorHAnsi" w:eastAsiaTheme="minorHAnsi" w:hAnsiTheme="minorHAnsi" w:cs="Minion-Regular"/>
          <w:szCs w:val="22"/>
        </w:rPr>
        <w:t xml:space="preserve"> </w:t>
      </w:r>
      <w:r w:rsidR="0076417D">
        <w:rPr>
          <w:lang w:bidi="he-IL"/>
        </w:rPr>
        <w:t>T</w:t>
      </w:r>
      <w:r w:rsidR="00BE530E">
        <w:rPr>
          <w:lang w:bidi="he-IL"/>
        </w:rPr>
        <w:t>o Hagar</w:t>
      </w:r>
      <w:r w:rsidR="00C63781">
        <w:rPr>
          <w:lang w:bidi="he-IL"/>
        </w:rPr>
        <w:t xml:space="preserve"> it would just seem an ordinary man (cf. 18:2 in association with 19:1). </w:t>
      </w:r>
      <w:r w:rsidR="001B32AB" w:rsidRPr="001B32AB">
        <w:rPr>
          <w:lang w:bidi="he-IL"/>
        </w:rPr>
        <w:t xml:space="preserve">Being found </w:t>
      </w:r>
      <w:r w:rsidR="007A02F7">
        <w:rPr>
          <w:lang w:bidi="he-IL"/>
        </w:rPr>
        <w:t xml:space="preserve">in the wilderness </w:t>
      </w:r>
      <w:r w:rsidR="001B32AB" w:rsidRPr="001B32AB">
        <w:rPr>
          <w:lang w:bidi="he-IL"/>
        </w:rPr>
        <w:t xml:space="preserve">by </w:t>
      </w:r>
      <w:r w:rsidR="007A02F7">
        <w:rPr>
          <w:lang w:bidi="he-IL"/>
        </w:rPr>
        <w:t>a man or by Yahweh’s envoy might or might not be good news;</w:t>
      </w:r>
      <w:r w:rsidR="001B32AB" w:rsidRPr="001B32AB">
        <w:rPr>
          <w:lang w:bidi="he-IL"/>
        </w:rPr>
        <w:t xml:space="preserve"> </w:t>
      </w:r>
      <w:r w:rsidR="007A02F7">
        <w:rPr>
          <w:lang w:bidi="he-IL"/>
        </w:rPr>
        <w:t>it will turn out to be</w:t>
      </w:r>
      <w:r w:rsidR="003B3161">
        <w:rPr>
          <w:lang w:bidi="he-IL"/>
        </w:rPr>
        <w:t xml:space="preserve"> </w:t>
      </w:r>
      <w:r w:rsidR="001B32AB" w:rsidRPr="001B32AB">
        <w:rPr>
          <w:lang w:bidi="he-IL"/>
        </w:rPr>
        <w:t xml:space="preserve">a mixture. </w:t>
      </w:r>
      <w:r w:rsidR="00C63781">
        <w:rPr>
          <w:lang w:bidi="he-IL"/>
        </w:rPr>
        <w:t>Presu</w:t>
      </w:r>
      <w:r w:rsidR="0076417D">
        <w:rPr>
          <w:lang w:bidi="he-IL"/>
        </w:rPr>
        <w:t>mably Yahweh sent this aide, but</w:t>
      </w:r>
      <w:r w:rsidR="00C63781">
        <w:rPr>
          <w:lang w:bidi="he-IL"/>
        </w:rPr>
        <w:t xml:space="preserve"> Genesis has no explanation for the sending. God does not usually send an aide after a runaway slave</w:t>
      </w:r>
      <w:r w:rsidR="0076417D">
        <w:rPr>
          <w:lang w:bidi="he-IL"/>
        </w:rPr>
        <w:t>, though</w:t>
      </w:r>
      <w:r w:rsidR="003B3161">
        <w:rPr>
          <w:lang w:bidi="he-IL"/>
        </w:rPr>
        <w:t xml:space="preserve"> Abraham might do so</w:t>
      </w:r>
      <w:r w:rsidR="00C63781">
        <w:rPr>
          <w:lang w:bidi="he-IL"/>
        </w:rPr>
        <w:t>. But Hagar has become no ordinary</w:t>
      </w:r>
      <w:r w:rsidR="0076417D">
        <w:rPr>
          <w:lang w:bidi="he-IL"/>
        </w:rPr>
        <w:t xml:space="preserve"> runaway. She is </w:t>
      </w:r>
      <w:r w:rsidR="00C63781">
        <w:rPr>
          <w:lang w:bidi="he-IL"/>
        </w:rPr>
        <w:t>carrying Abraham’s child.</w:t>
      </w:r>
      <w:r w:rsidR="0014612C">
        <w:rPr>
          <w:lang w:bidi="he-IL"/>
        </w:rPr>
        <w:t xml:space="preserve"> Shur is</w:t>
      </w:r>
      <w:r w:rsidR="00872419">
        <w:rPr>
          <w:lang w:bidi="he-IL"/>
        </w:rPr>
        <w:t xml:space="preserve"> a </w:t>
      </w:r>
      <w:r w:rsidR="00BF294E">
        <w:rPr>
          <w:lang w:bidi="he-IL"/>
        </w:rPr>
        <w:t>wilderness area on the inland route</w:t>
      </w:r>
      <w:r w:rsidR="0014612C">
        <w:rPr>
          <w:lang w:bidi="he-IL"/>
        </w:rPr>
        <w:t xml:space="preserve"> from Canaan to Egypt (cf. 20:1; 25:18; Exod 15:22-23). The road to or through Shur would be a natural place to look for Hagar as she tried to get back home to Egypt. </w:t>
      </w:r>
      <w:r w:rsidR="003B3161" w:rsidRPr="003B3161">
        <w:rPr>
          <w:lang w:bidi="he-IL"/>
        </w:rPr>
        <w:t xml:space="preserve">She will have been walking for a week. </w:t>
      </w:r>
      <w:r w:rsidR="0014612C">
        <w:rPr>
          <w:lang w:bidi="he-IL"/>
        </w:rPr>
        <w:t xml:space="preserve">Has she stopped by the spring just to get a drink and a rest, or to stay overnight, or to hitch a ride, </w:t>
      </w:r>
      <w:r w:rsidR="00872419">
        <w:rPr>
          <w:lang w:bidi="he-IL"/>
        </w:rPr>
        <w:t xml:space="preserve">or to see if some kinder master </w:t>
      </w:r>
      <w:r w:rsidR="003B3161">
        <w:rPr>
          <w:lang w:bidi="he-IL"/>
        </w:rPr>
        <w:t xml:space="preserve">will take her into his entourage, </w:t>
      </w:r>
      <w:r w:rsidR="00872419">
        <w:rPr>
          <w:lang w:bidi="he-IL"/>
        </w:rPr>
        <w:t>or is she giving up her</w:t>
      </w:r>
      <w:r w:rsidR="008B5ABC">
        <w:rPr>
          <w:lang w:bidi="he-IL"/>
        </w:rPr>
        <w:t xml:space="preserve"> impossible trek, o</w:t>
      </w:r>
      <w:r w:rsidR="001D1D0F">
        <w:rPr>
          <w:lang w:bidi="he-IL"/>
        </w:rPr>
        <w:t>r is she nearly home?</w:t>
      </w:r>
    </w:p>
    <w:p w14:paraId="2BBC3960" w14:textId="77777777" w:rsidR="00F90C36" w:rsidRDefault="00104986" w:rsidP="00B00B84">
      <w:pPr>
        <w:pStyle w:val="ListParagraph"/>
        <w:ind w:left="0" w:firstLine="720"/>
        <w:rPr>
          <w:lang w:bidi="he-IL"/>
        </w:rPr>
      </w:pPr>
      <w:r>
        <w:rPr>
          <w:lang w:bidi="he-IL"/>
        </w:rPr>
        <w:t xml:space="preserve">The envoy is the first person to address Hagar (v. 8), and he addresses her by name. </w:t>
      </w:r>
      <w:r w:rsidR="005A2BA3">
        <w:rPr>
          <w:lang w:bidi="he-IL"/>
        </w:rPr>
        <w:t>His questions are the natural ones to</w:t>
      </w:r>
      <w:r w:rsidR="00872419">
        <w:rPr>
          <w:lang w:bidi="he-IL"/>
        </w:rPr>
        <w:t xml:space="preserve"> ask of a fellow-traveler. F</w:t>
      </w:r>
      <w:r w:rsidR="005A2BA3">
        <w:rPr>
          <w:lang w:bidi="he-IL"/>
        </w:rPr>
        <w:t>or Yahweh’s envoy they are</w:t>
      </w:r>
      <w:r>
        <w:rPr>
          <w:lang w:bidi="he-IL"/>
        </w:rPr>
        <w:t xml:space="preserve"> questions</w:t>
      </w:r>
      <w:r w:rsidR="00106F71">
        <w:rPr>
          <w:lang w:bidi="he-IL"/>
        </w:rPr>
        <w:t xml:space="preserve"> to which one would have thought he already knew the answers</w:t>
      </w:r>
      <w:r w:rsidR="00825FE2">
        <w:rPr>
          <w:lang w:bidi="he-IL"/>
        </w:rPr>
        <w:t>, as is the case with</w:t>
      </w:r>
      <w:r>
        <w:rPr>
          <w:lang w:bidi="he-IL"/>
        </w:rPr>
        <w:t xml:space="preserve"> Yahweh in Gen 3—4</w:t>
      </w:r>
      <w:r w:rsidR="00106F71">
        <w:rPr>
          <w:lang w:bidi="he-IL"/>
        </w:rPr>
        <w:t xml:space="preserve">. </w:t>
      </w:r>
      <w:r w:rsidR="001B32AB">
        <w:rPr>
          <w:lang w:bidi="he-IL"/>
        </w:rPr>
        <w:t xml:space="preserve">After all, he knew her name and </w:t>
      </w:r>
      <w:r w:rsidR="00825FE2">
        <w:rPr>
          <w:lang w:bidi="he-IL"/>
        </w:rPr>
        <w:t xml:space="preserve">he </w:t>
      </w:r>
      <w:r w:rsidR="001B32AB">
        <w:rPr>
          <w:lang w:bidi="he-IL"/>
        </w:rPr>
        <w:t xml:space="preserve">knew where to find her. </w:t>
      </w:r>
      <w:r w:rsidR="00106F71">
        <w:rPr>
          <w:lang w:bidi="he-IL"/>
        </w:rPr>
        <w:t>But at least part of what is going on is tha</w:t>
      </w:r>
      <w:r w:rsidR="00825FE2">
        <w:rPr>
          <w:lang w:bidi="he-IL"/>
        </w:rPr>
        <w:t>t Hagar needs to articulate the answers</w:t>
      </w:r>
      <w:r w:rsidR="00872419">
        <w:rPr>
          <w:lang w:bidi="he-IL"/>
        </w:rPr>
        <w:t xml:space="preserve"> to</w:t>
      </w:r>
      <w:r w:rsidR="00106F71">
        <w:rPr>
          <w:lang w:bidi="he-IL"/>
        </w:rPr>
        <w:t xml:space="preserve"> herself and to him and to the people listening to her story. </w:t>
      </w:r>
      <w:r w:rsidR="001B32AB">
        <w:rPr>
          <w:lang w:bidi="he-IL"/>
        </w:rPr>
        <w:t>However, she</w:t>
      </w:r>
      <w:r w:rsidR="00825FE2">
        <w:rPr>
          <w:lang w:bidi="he-IL"/>
        </w:rPr>
        <w:t xml:space="preserve"> replies only to the first </w:t>
      </w:r>
      <w:r w:rsidR="001B32AB">
        <w:rPr>
          <w:lang w:bidi="he-IL"/>
        </w:rPr>
        <w:t>of the envoy’s question</w:t>
      </w:r>
      <w:r w:rsidR="00825FE2">
        <w:rPr>
          <w:lang w:bidi="he-IL"/>
        </w:rPr>
        <w:t>s</w:t>
      </w:r>
      <w:r w:rsidR="001B32AB">
        <w:rPr>
          <w:lang w:bidi="he-IL"/>
        </w:rPr>
        <w:t xml:space="preserve">; </w:t>
      </w:r>
      <w:r w:rsidR="00825FE2">
        <w:rPr>
          <w:lang w:bidi="he-IL"/>
        </w:rPr>
        <w:t xml:space="preserve">while </w:t>
      </w:r>
      <w:r w:rsidR="001B32AB">
        <w:rPr>
          <w:lang w:bidi="he-IL"/>
        </w:rPr>
        <w:t xml:space="preserve">we have assumed </w:t>
      </w:r>
      <w:r w:rsidR="00825FE2">
        <w:rPr>
          <w:lang w:bidi="he-IL"/>
        </w:rPr>
        <w:t xml:space="preserve">that </w:t>
      </w:r>
      <w:r w:rsidR="001B32AB">
        <w:rPr>
          <w:lang w:bidi="he-IL"/>
        </w:rPr>
        <w:t>she is</w:t>
      </w:r>
      <w:r w:rsidR="00825FE2">
        <w:rPr>
          <w:lang w:bidi="he-IL"/>
        </w:rPr>
        <w:t xml:space="preserve"> on her way home to Egypt, </w:t>
      </w:r>
      <w:r w:rsidR="001B32AB">
        <w:rPr>
          <w:lang w:bidi="he-IL"/>
        </w:rPr>
        <w:t>she does not talk about it.</w:t>
      </w:r>
      <w:r w:rsidR="00872419">
        <w:rPr>
          <w:lang w:bidi="he-IL"/>
        </w:rPr>
        <w:t xml:space="preserve"> Even r</w:t>
      </w:r>
      <w:r w:rsidR="00384D2F">
        <w:rPr>
          <w:lang w:bidi="he-IL"/>
        </w:rPr>
        <w:t xml:space="preserve">evealing what she does reveal might </w:t>
      </w:r>
      <w:r w:rsidR="00825FE2">
        <w:rPr>
          <w:lang w:bidi="he-IL"/>
        </w:rPr>
        <w:t xml:space="preserve">have </w:t>
      </w:r>
      <w:r w:rsidR="00384D2F">
        <w:rPr>
          <w:lang w:bidi="he-IL"/>
        </w:rPr>
        <w:t>be</w:t>
      </w:r>
      <w:r w:rsidR="00825FE2">
        <w:rPr>
          <w:lang w:bidi="he-IL"/>
        </w:rPr>
        <w:t>en</w:t>
      </w:r>
      <w:r w:rsidR="00384D2F">
        <w:rPr>
          <w:lang w:bidi="he-IL"/>
        </w:rPr>
        <w:t xml:space="preserve"> dangerous; there could be a reward for re</w:t>
      </w:r>
      <w:r w:rsidR="00872419">
        <w:rPr>
          <w:lang w:bidi="he-IL"/>
        </w:rPr>
        <w:t>turning a runaway servant</w:t>
      </w:r>
      <w:r w:rsidR="00384D2F">
        <w:rPr>
          <w:lang w:bidi="he-IL"/>
        </w:rPr>
        <w:t>.</w:t>
      </w:r>
      <w:r w:rsidR="006756FC">
        <w:rPr>
          <w:lang w:bidi="he-IL"/>
        </w:rPr>
        <w:t xml:space="preserve"> </w:t>
      </w:r>
    </w:p>
    <w:p w14:paraId="6EF1D5B0" w14:textId="668EE9F4" w:rsidR="00653001" w:rsidRPr="00653001" w:rsidRDefault="00872419" w:rsidP="00653001">
      <w:pPr>
        <w:pStyle w:val="ListParagraph"/>
        <w:ind w:left="0" w:firstLine="720"/>
        <w:rPr>
          <w:lang w:bidi="he-IL"/>
        </w:rPr>
      </w:pPr>
      <w:r>
        <w:rPr>
          <w:lang w:bidi="he-IL"/>
        </w:rPr>
        <w:t>In fact t</w:t>
      </w:r>
      <w:r w:rsidR="00106F71">
        <w:rPr>
          <w:lang w:bidi="he-IL"/>
        </w:rPr>
        <w:t>he envoy</w:t>
      </w:r>
      <w:r w:rsidR="00384D2F">
        <w:rPr>
          <w:lang w:bidi="he-IL"/>
        </w:rPr>
        <w:t xml:space="preserve"> m</w:t>
      </w:r>
      <w:r w:rsidR="008B5ABC">
        <w:rPr>
          <w:lang w:bidi="he-IL"/>
        </w:rPr>
        <w:t>oves in that direction (v. 9). Indeed, h</w:t>
      </w:r>
      <w:r w:rsidR="00384D2F">
        <w:rPr>
          <w:lang w:bidi="he-IL"/>
        </w:rPr>
        <w:t>i</w:t>
      </w:r>
      <w:r w:rsidR="00106F71">
        <w:rPr>
          <w:lang w:bidi="he-IL"/>
        </w:rPr>
        <w:t xml:space="preserve">s </w:t>
      </w:r>
      <w:r w:rsidR="00825FE2">
        <w:rPr>
          <w:lang w:bidi="he-IL"/>
        </w:rPr>
        <w:t xml:space="preserve">response might seem </w:t>
      </w:r>
      <w:r w:rsidR="00106F71">
        <w:rPr>
          <w:lang w:bidi="he-IL"/>
        </w:rPr>
        <w:t>extraordinarily hard, and the instruction to w</w:t>
      </w:r>
      <w:r>
        <w:rPr>
          <w:lang w:bidi="he-IL"/>
        </w:rPr>
        <w:t>alk a week ba</w:t>
      </w:r>
      <w:r w:rsidR="008B5ABC">
        <w:rPr>
          <w:lang w:bidi="he-IL"/>
        </w:rPr>
        <w:t xml:space="preserve">ck again is not its toughest </w:t>
      </w:r>
      <w:r>
        <w:rPr>
          <w:lang w:bidi="he-IL"/>
        </w:rPr>
        <w:t>aspect</w:t>
      </w:r>
      <w:r w:rsidR="00106F71">
        <w:rPr>
          <w:lang w:bidi="he-IL"/>
        </w:rPr>
        <w:t xml:space="preserve">. </w:t>
      </w:r>
      <w:r w:rsidR="00543621">
        <w:rPr>
          <w:lang w:bidi="he-IL"/>
        </w:rPr>
        <w:t>“It is the most pointed counter-example to the misleading over-generalization… that the biblical God is on the side of the impoverished and the oppressed.”</w:t>
      </w:r>
      <w:r w:rsidR="00543621">
        <w:rPr>
          <w:rStyle w:val="FootnoteReference"/>
          <w:lang w:bidi="he-IL"/>
        </w:rPr>
        <w:footnoteReference w:id="281"/>
      </w:r>
      <w:r w:rsidR="00543621">
        <w:rPr>
          <w:lang w:bidi="he-IL"/>
        </w:rPr>
        <w:t xml:space="preserve"> </w:t>
      </w:r>
      <w:r>
        <w:rPr>
          <w:lang w:bidi="he-IL"/>
        </w:rPr>
        <w:t xml:space="preserve">Why </w:t>
      </w:r>
      <w:r w:rsidR="00106F71">
        <w:rPr>
          <w:lang w:bidi="he-IL"/>
        </w:rPr>
        <w:t>does he make this re</w:t>
      </w:r>
      <w:r>
        <w:rPr>
          <w:lang w:bidi="he-IL"/>
        </w:rPr>
        <w:t>quirement of her? Because Hagar is the maidservant and Sarah is</w:t>
      </w:r>
      <w:r w:rsidR="00106F71">
        <w:rPr>
          <w:lang w:bidi="he-IL"/>
        </w:rPr>
        <w:t xml:space="preserve"> the mistress. </w:t>
      </w:r>
      <w:r w:rsidR="00D61710">
        <w:rPr>
          <w:lang w:bidi="he-IL"/>
        </w:rPr>
        <w:t xml:space="preserve">Hagar is to return to her mistress, not to her husband. </w:t>
      </w:r>
      <w:r w:rsidR="008B5ABC">
        <w:rPr>
          <w:lang w:bidi="he-IL"/>
        </w:rPr>
        <w:t>But</w:t>
      </w:r>
      <w:r w:rsidR="00106F71">
        <w:rPr>
          <w:lang w:bidi="he-IL"/>
        </w:rPr>
        <w:t xml:space="preserve"> behind that fact is Sarah’s being the wife of the man whose baby Hagar is carrying. Yes, Hagar had got dr</w:t>
      </w:r>
      <w:r w:rsidR="00653001">
        <w:rPr>
          <w:lang w:bidi="he-IL"/>
        </w:rPr>
        <w:t>awn into that family though which</w:t>
      </w:r>
      <w:r w:rsidR="00106F71">
        <w:rPr>
          <w:lang w:bidi="he-IL"/>
        </w:rPr>
        <w:t xml:space="preserve"> Yahweh is at work, and she cannot be allowed out of it</w:t>
      </w:r>
      <w:r w:rsidR="00F90C36">
        <w:rPr>
          <w:lang w:bidi="he-IL"/>
        </w:rPr>
        <w:t xml:space="preserve">, even if it means </w:t>
      </w:r>
      <w:r w:rsidR="00F90C36">
        <w:rPr>
          <w:lang w:bidi="he-IL"/>
        </w:rPr>
        <w:lastRenderedPageBreak/>
        <w:t>humbling, suffering, harsh treatment</w:t>
      </w:r>
      <w:r w:rsidR="00106F71">
        <w:rPr>
          <w:lang w:bidi="he-IL"/>
        </w:rPr>
        <w:t xml:space="preserve">. </w:t>
      </w:r>
      <w:r w:rsidR="00F90C36">
        <w:rPr>
          <w:lang w:bidi="he-IL"/>
        </w:rPr>
        <w:t>In the long run, it</w:t>
      </w:r>
      <w:r w:rsidR="00653001">
        <w:rPr>
          <w:lang w:bidi="he-IL"/>
        </w:rPr>
        <w:t xml:space="preserve"> will be in her interests, too. Indeed, perhaps</w:t>
      </w:r>
      <w:r w:rsidR="00D61710">
        <w:rPr>
          <w:lang w:bidi="he-IL"/>
        </w:rPr>
        <w:t xml:space="preserve"> </w:t>
      </w:r>
      <w:r w:rsidR="00653001">
        <w:rPr>
          <w:lang w:bidi="he-IL"/>
        </w:rPr>
        <w:t>the envoy is</w:t>
      </w:r>
      <w:r w:rsidR="00D61710">
        <w:rPr>
          <w:lang w:bidi="he-IL"/>
        </w:rPr>
        <w:t xml:space="preserve"> concerned with her interests</w:t>
      </w:r>
      <w:r w:rsidR="00653001">
        <w:rPr>
          <w:lang w:bidi="he-IL"/>
        </w:rPr>
        <w:t xml:space="preserve"> even in the short run</w:t>
      </w:r>
      <w:r w:rsidR="00D61710">
        <w:rPr>
          <w:lang w:bidi="he-IL"/>
        </w:rPr>
        <w:t>.</w:t>
      </w:r>
      <w:r>
        <w:rPr>
          <w:lang w:bidi="he-IL"/>
        </w:rPr>
        <w:t xml:space="preserve"> She is a pregnant woma</w:t>
      </w:r>
      <w:r w:rsidR="00653001">
        <w:rPr>
          <w:lang w:bidi="he-IL"/>
        </w:rPr>
        <w:t xml:space="preserve">n out in </w:t>
      </w:r>
      <w:r>
        <w:rPr>
          <w:lang w:bidi="he-IL"/>
        </w:rPr>
        <w:t>the desert</w:t>
      </w:r>
      <w:r w:rsidR="008B5ABC">
        <w:rPr>
          <w:lang w:bidi="he-IL"/>
        </w:rPr>
        <w:t>, perhaps</w:t>
      </w:r>
      <w:r>
        <w:rPr>
          <w:lang w:bidi="he-IL"/>
        </w:rPr>
        <w:t xml:space="preserve"> with still some distance</w:t>
      </w:r>
      <w:r w:rsidR="00653001">
        <w:rPr>
          <w:lang w:bidi="he-IL"/>
        </w:rPr>
        <w:t xml:space="preserve"> to go before s</w:t>
      </w:r>
      <w:r>
        <w:rPr>
          <w:lang w:bidi="he-IL"/>
        </w:rPr>
        <w:t>he reaches her former home. P</w:t>
      </w:r>
      <w:r w:rsidR="00653001">
        <w:rPr>
          <w:lang w:bidi="he-IL"/>
        </w:rPr>
        <w:t>erhaps he’s not simply being</w:t>
      </w:r>
      <w:r w:rsidR="008B5ABC">
        <w:rPr>
          <w:lang w:bidi="he-IL"/>
        </w:rPr>
        <w:t xml:space="preserve"> tough but</w:t>
      </w:r>
      <w:r w:rsidR="00653001" w:rsidRPr="00653001">
        <w:rPr>
          <w:lang w:bidi="he-IL"/>
        </w:rPr>
        <w:t xml:space="preserve"> rescuing her.</w:t>
      </w:r>
      <w:r w:rsidR="003C46E7">
        <w:rPr>
          <w:lang w:bidi="he-IL"/>
        </w:rPr>
        <w:t xml:space="preserve"> Her story illustrates how “God is intimately involved with those who suffer, but often not in a cataclysmic way.”</w:t>
      </w:r>
      <w:r w:rsidR="003C46E7">
        <w:rPr>
          <w:rStyle w:val="FootnoteReference"/>
          <w:lang w:bidi="he-IL"/>
        </w:rPr>
        <w:footnoteReference w:id="282"/>
      </w:r>
    </w:p>
    <w:p w14:paraId="4E9FBB85" w14:textId="0715EACB" w:rsidR="00F90C36" w:rsidRDefault="00F90C36" w:rsidP="00B00B84">
      <w:pPr>
        <w:pStyle w:val="ListParagraph"/>
        <w:ind w:left="0" w:firstLine="720"/>
        <w:rPr>
          <w:lang w:bidi="he-IL"/>
        </w:rPr>
      </w:pPr>
      <w:r>
        <w:rPr>
          <w:b/>
          <w:lang w:bidi="he-IL"/>
        </w:rPr>
        <w:t xml:space="preserve">16:10-12. </w:t>
      </w:r>
      <w:proofErr w:type="gramStart"/>
      <w:r w:rsidR="00FA56BF">
        <w:rPr>
          <w:lang w:bidi="he-IL"/>
        </w:rPr>
        <w:t>That</w:t>
      </w:r>
      <w:proofErr w:type="gramEnd"/>
      <w:r w:rsidR="00FA56BF">
        <w:rPr>
          <w:lang w:bidi="he-IL"/>
        </w:rPr>
        <w:t xml:space="preserve"> understanding</w:t>
      </w:r>
      <w:r w:rsidR="00653001">
        <w:rPr>
          <w:lang w:bidi="he-IL"/>
        </w:rPr>
        <w:t xml:space="preserve"> fits with the further </w:t>
      </w:r>
      <w:r w:rsidR="004B391F">
        <w:rPr>
          <w:lang w:bidi="he-IL"/>
        </w:rPr>
        <w:t xml:space="preserve">things </w:t>
      </w:r>
      <w:r w:rsidR="00653001">
        <w:rPr>
          <w:lang w:bidi="he-IL"/>
        </w:rPr>
        <w:t xml:space="preserve">he has </w:t>
      </w:r>
      <w:r w:rsidR="00872419">
        <w:rPr>
          <w:lang w:bidi="he-IL"/>
        </w:rPr>
        <w:t>to say</w:t>
      </w:r>
      <w:r w:rsidR="004B391F">
        <w:rPr>
          <w:lang w:bidi="he-IL"/>
        </w:rPr>
        <w:t xml:space="preserve">. </w:t>
      </w:r>
      <w:r w:rsidR="00653001">
        <w:rPr>
          <w:lang w:bidi="he-IL"/>
        </w:rPr>
        <w:t>If Sa</w:t>
      </w:r>
      <w:r w:rsidR="00872419">
        <w:rPr>
          <w:lang w:bidi="he-IL"/>
        </w:rPr>
        <w:t>rah had become diminished in Hagar’s</w:t>
      </w:r>
      <w:r w:rsidR="00653001">
        <w:rPr>
          <w:lang w:bidi="he-IL"/>
        </w:rPr>
        <w:t xml:space="preserve"> eyes, she had laid herself open to Yahweh’s curse (</w:t>
      </w:r>
      <w:r w:rsidR="00417561">
        <w:rPr>
          <w:lang w:bidi="he-IL"/>
        </w:rPr>
        <w:t>Gen 12:1-3</w:t>
      </w:r>
      <w:r w:rsidR="00653001">
        <w:rPr>
          <w:lang w:bidi="he-IL"/>
        </w:rPr>
        <w:t>)</w:t>
      </w:r>
      <w:r w:rsidR="00417561">
        <w:rPr>
          <w:lang w:bidi="he-IL"/>
        </w:rPr>
        <w:t xml:space="preserve">, </w:t>
      </w:r>
      <w:r w:rsidR="00653001">
        <w:rPr>
          <w:lang w:bidi="he-IL"/>
        </w:rPr>
        <w:t>but instead t</w:t>
      </w:r>
      <w:r w:rsidR="00417561">
        <w:rPr>
          <w:lang w:bidi="he-IL"/>
        </w:rPr>
        <w:t xml:space="preserve">he </w:t>
      </w:r>
      <w:r w:rsidR="00653001">
        <w:rPr>
          <w:lang w:bidi="he-IL"/>
        </w:rPr>
        <w:t xml:space="preserve">envoy </w:t>
      </w:r>
      <w:r w:rsidR="00417561">
        <w:rPr>
          <w:lang w:bidi="he-IL"/>
        </w:rPr>
        <w:t xml:space="preserve">blesses her in a way that fits the promise to Abraham in those verses. </w:t>
      </w:r>
      <w:r w:rsidR="00D6704F">
        <w:rPr>
          <w:lang w:bidi="he-IL"/>
        </w:rPr>
        <w:t>“To accompany Hagar on her return, God showers her with promises.”</w:t>
      </w:r>
      <w:r w:rsidR="00D6704F">
        <w:rPr>
          <w:rStyle w:val="FootnoteReference"/>
          <w:lang w:bidi="he-IL"/>
        </w:rPr>
        <w:footnoteReference w:id="283"/>
      </w:r>
      <w:r w:rsidR="00D6704F">
        <w:rPr>
          <w:lang w:bidi="he-IL"/>
        </w:rPr>
        <w:t xml:space="preserve"> </w:t>
      </w:r>
      <w:r w:rsidR="00872419">
        <w:rPr>
          <w:lang w:bidi="he-IL"/>
        </w:rPr>
        <w:t>P</w:t>
      </w:r>
      <w:r w:rsidR="00653001">
        <w:rPr>
          <w:lang w:bidi="he-IL"/>
        </w:rPr>
        <w:t>utting the words of blessing</w:t>
      </w:r>
      <w:r w:rsidR="004B391F">
        <w:rPr>
          <w:lang w:bidi="he-IL"/>
        </w:rPr>
        <w:t xml:space="preserve"> in poetic lines underlines their importance and authority.</w:t>
      </w:r>
      <w:r w:rsidR="007449EC">
        <w:rPr>
          <w:lang w:bidi="he-IL"/>
        </w:rPr>
        <w:t xml:space="preserve"> Again as often happens, the aide speaks as if he is Yahweh. It is Yahweh’s own words that he is passing on</w:t>
      </w:r>
      <w:r w:rsidR="006274D4">
        <w:rPr>
          <w:lang w:bidi="he-IL"/>
        </w:rPr>
        <w:t>: see v. 13</w:t>
      </w:r>
      <w:r w:rsidR="007449EC">
        <w:rPr>
          <w:lang w:bidi="he-IL"/>
        </w:rPr>
        <w:t>.</w:t>
      </w:r>
      <w:r w:rsidR="00872419">
        <w:rPr>
          <w:lang w:bidi="he-IL"/>
        </w:rPr>
        <w:t xml:space="preserve"> Indeed, it</w:t>
      </w:r>
      <w:r w:rsidR="00E71A78">
        <w:rPr>
          <w:lang w:bidi="he-IL"/>
        </w:rPr>
        <w:t xml:space="preserve"> is the</w:t>
      </w:r>
      <w:r w:rsidR="00872419">
        <w:rPr>
          <w:lang w:bidi="he-IL"/>
        </w:rPr>
        <w:t xml:space="preserve"> env</w:t>
      </w:r>
      <w:r w:rsidR="008B5ABC">
        <w:rPr>
          <w:lang w:bidi="he-IL"/>
        </w:rPr>
        <w:t>oy’s key function</w:t>
      </w:r>
      <w:r w:rsidR="00E71A78" w:rsidRPr="00E71A78">
        <w:rPr>
          <w:lang w:bidi="he-IL"/>
        </w:rPr>
        <w:t xml:space="preserve">—he </w:t>
      </w:r>
      <w:r w:rsidR="00872419">
        <w:rPr>
          <w:lang w:bidi="he-IL"/>
        </w:rPr>
        <w:t xml:space="preserve">actually is </w:t>
      </w:r>
      <w:r w:rsidR="00E71A78">
        <w:rPr>
          <w:lang w:bidi="he-IL"/>
        </w:rPr>
        <w:t>a messe</w:t>
      </w:r>
      <w:r w:rsidR="00E71A78" w:rsidRPr="00E71A78">
        <w:rPr>
          <w:lang w:bidi="he-IL"/>
        </w:rPr>
        <w:t>nger</w:t>
      </w:r>
      <w:r w:rsidR="00E71A78">
        <w:rPr>
          <w:lang w:bidi="he-IL"/>
        </w:rPr>
        <w:t xml:space="preserve">. </w:t>
      </w:r>
      <w:r w:rsidR="003D56BA">
        <w:rPr>
          <w:lang w:bidi="he-IL"/>
        </w:rPr>
        <w:t>“</w:t>
      </w:r>
      <w:r w:rsidR="00B1486D">
        <w:rPr>
          <w:lang w:bidi="he-IL"/>
        </w:rPr>
        <w:t>God is present not in the messenger, but in the message.</w:t>
      </w:r>
      <w:r w:rsidR="003D56BA">
        <w:rPr>
          <w:lang w:bidi="he-IL"/>
        </w:rPr>
        <w:t>”</w:t>
      </w:r>
      <w:r w:rsidR="00B1486D">
        <w:rPr>
          <w:rStyle w:val="FootnoteReference"/>
          <w:lang w:bidi="he-IL"/>
        </w:rPr>
        <w:footnoteReference w:id="284"/>
      </w:r>
    </w:p>
    <w:p w14:paraId="60E9BD73" w14:textId="750C989E" w:rsidR="004B391F" w:rsidRDefault="004B391F" w:rsidP="00B00B84">
      <w:pPr>
        <w:pStyle w:val="ListParagraph"/>
        <w:ind w:left="0" w:firstLine="720"/>
        <w:rPr>
          <w:lang w:bidi="he-IL"/>
        </w:rPr>
      </w:pPr>
      <w:r>
        <w:rPr>
          <w:lang w:bidi="he-IL"/>
        </w:rPr>
        <w:t xml:space="preserve">The first </w:t>
      </w:r>
      <w:r w:rsidR="00872419">
        <w:rPr>
          <w:lang w:bidi="he-IL"/>
        </w:rPr>
        <w:t>poetic line</w:t>
      </w:r>
      <w:r w:rsidR="008B5ABC">
        <w:rPr>
          <w:lang w:bidi="he-IL"/>
        </w:rPr>
        <w:t xml:space="preserve"> (</w:t>
      </w:r>
      <w:r w:rsidR="00872419">
        <w:rPr>
          <w:lang w:bidi="he-IL"/>
        </w:rPr>
        <w:t>v. 10</w:t>
      </w:r>
      <w:r w:rsidR="00B6200F">
        <w:rPr>
          <w:lang w:bidi="he-IL"/>
        </w:rPr>
        <w:t xml:space="preserve"> is full of </w:t>
      </w:r>
      <w:r w:rsidR="00FD3353">
        <w:rPr>
          <w:lang w:bidi="he-IL"/>
        </w:rPr>
        <w:t xml:space="preserve">resonances. Genesis has spoken before </w:t>
      </w:r>
      <w:r>
        <w:rPr>
          <w:lang w:bidi="he-IL"/>
        </w:rPr>
        <w:t>about Y</w:t>
      </w:r>
      <w:r w:rsidR="007449EC">
        <w:rPr>
          <w:lang w:bidi="he-IL"/>
        </w:rPr>
        <w:t xml:space="preserve">ahweh determining </w:t>
      </w:r>
      <w:r w:rsidR="00FD3353">
        <w:rPr>
          <w:lang w:bidi="he-IL"/>
        </w:rPr>
        <w:t>to</w:t>
      </w:r>
      <w:r w:rsidR="007449EC">
        <w:rPr>
          <w:lang w:bidi="he-IL"/>
        </w:rPr>
        <w:t xml:space="preserve"> </w:t>
      </w:r>
      <w:r w:rsidR="00FD3353">
        <w:rPr>
          <w:lang w:bidi="he-IL"/>
        </w:rPr>
        <w:t>“</w:t>
      </w:r>
      <w:r w:rsidR="007449EC">
        <w:rPr>
          <w:lang w:bidi="he-IL"/>
        </w:rPr>
        <w:t>make</w:t>
      </w:r>
      <w:r w:rsidR="00E07CEF">
        <w:rPr>
          <w:lang w:bidi="he-IL"/>
        </w:rPr>
        <w:t xml:space="preserve"> very numerous</w:t>
      </w:r>
      <w:r w:rsidR="003D56BA">
        <w:rPr>
          <w:lang w:bidi="he-IL"/>
        </w:rPr>
        <w:t>”</w:t>
      </w:r>
      <w:r w:rsidR="00E07CEF">
        <w:rPr>
          <w:lang w:bidi="he-IL"/>
        </w:rPr>
        <w:t>, to “make very great”</w:t>
      </w:r>
      <w:r w:rsidR="00FA56BF">
        <w:rPr>
          <w:lang w:bidi="he-IL"/>
        </w:rPr>
        <w:t>: he said i</w:t>
      </w:r>
      <w:r w:rsidR="007449EC">
        <w:rPr>
          <w:lang w:bidi="he-IL"/>
        </w:rPr>
        <w:t>t at 3:16, that other occasion when a man listened too easily to his wife</w:t>
      </w:r>
      <w:r w:rsidR="00FD3353">
        <w:rPr>
          <w:lang w:bidi="he-IL"/>
        </w:rPr>
        <w:t xml:space="preserve">. </w:t>
      </w:r>
      <w:r w:rsidR="007449EC">
        <w:rPr>
          <w:lang w:bidi="he-IL"/>
        </w:rPr>
        <w:t xml:space="preserve">Yahweh </w:t>
      </w:r>
      <w:r w:rsidR="00FD3353">
        <w:rPr>
          <w:lang w:bidi="he-IL"/>
        </w:rPr>
        <w:t xml:space="preserve">then </w:t>
      </w:r>
      <w:r w:rsidR="007449EC">
        <w:rPr>
          <w:lang w:bidi="he-IL"/>
        </w:rPr>
        <w:t>went on to speak about the</w:t>
      </w:r>
      <w:r w:rsidR="00FA56BF">
        <w:rPr>
          <w:lang w:bidi="he-IL"/>
        </w:rPr>
        <w:t xml:space="preserve"> pain of the woman’s pregnancy. H</w:t>
      </w:r>
      <w:r w:rsidR="00FD3353">
        <w:rPr>
          <w:lang w:bidi="he-IL"/>
        </w:rPr>
        <w:t>ere he</w:t>
      </w:r>
      <w:r w:rsidR="006424DC">
        <w:rPr>
          <w:lang w:bidi="he-IL"/>
        </w:rPr>
        <w:t xml:space="preserve"> promises to make very great</w:t>
      </w:r>
      <w:r w:rsidR="007449EC">
        <w:rPr>
          <w:lang w:bidi="he-IL"/>
        </w:rPr>
        <w:t xml:space="preserve"> </w:t>
      </w:r>
      <w:r w:rsidR="00FA56BF">
        <w:rPr>
          <w:lang w:bidi="he-IL"/>
        </w:rPr>
        <w:t>the</w:t>
      </w:r>
      <w:r w:rsidR="007449EC">
        <w:rPr>
          <w:lang w:bidi="he-IL"/>
        </w:rPr>
        <w:t xml:space="preserve"> woman’s offspring—great in the sense of numerous, as the parallel colon indicates</w:t>
      </w:r>
      <w:r w:rsidR="00FA56BF">
        <w:rPr>
          <w:lang w:bidi="he-IL"/>
        </w:rPr>
        <w:t xml:space="preserve">; </w:t>
      </w:r>
      <w:r w:rsidR="00B6200F">
        <w:rPr>
          <w:lang w:bidi="he-IL"/>
        </w:rPr>
        <w:t>25:12-18 will relate</w:t>
      </w:r>
      <w:r w:rsidR="00FA56BF">
        <w:rPr>
          <w:lang w:bidi="he-IL"/>
        </w:rPr>
        <w:t xml:space="preserve"> the f</w:t>
      </w:r>
      <w:r w:rsidR="006424DC">
        <w:rPr>
          <w:lang w:bidi="he-IL"/>
        </w:rPr>
        <w:t>ulfillment of the promise. This</w:t>
      </w:r>
      <w:r w:rsidR="00FA56BF">
        <w:rPr>
          <w:lang w:bidi="he-IL"/>
        </w:rPr>
        <w:t xml:space="preserve"> promise about offspring</w:t>
      </w:r>
      <w:r w:rsidR="007449EC">
        <w:rPr>
          <w:lang w:bidi="he-IL"/>
        </w:rPr>
        <w:t xml:space="preserve"> </w:t>
      </w:r>
      <w:r w:rsidR="00FD3353">
        <w:rPr>
          <w:lang w:bidi="he-IL"/>
        </w:rPr>
        <w:t>does pick</w:t>
      </w:r>
      <w:r w:rsidR="007449EC">
        <w:rPr>
          <w:lang w:bidi="he-IL"/>
        </w:rPr>
        <w:t xml:space="preserve"> up Yahweh’s promise to the man whose child she will bear. </w:t>
      </w:r>
      <w:r w:rsidR="00456A67">
        <w:rPr>
          <w:lang w:bidi="he-IL"/>
        </w:rPr>
        <w:t>It especially recalls 15:5 with its</w:t>
      </w:r>
      <w:r w:rsidR="007449EC">
        <w:rPr>
          <w:lang w:bidi="he-IL"/>
        </w:rPr>
        <w:t xml:space="preserve"> reference </w:t>
      </w:r>
      <w:r w:rsidR="00456A67">
        <w:rPr>
          <w:lang w:bidi="he-IL"/>
        </w:rPr>
        <w:t xml:space="preserve">to the impossibility of counting </w:t>
      </w:r>
      <w:r w:rsidR="00FD3353">
        <w:rPr>
          <w:lang w:bidi="he-IL"/>
        </w:rPr>
        <w:t xml:space="preserve">up </w:t>
      </w:r>
      <w:r w:rsidR="00456A67">
        <w:rPr>
          <w:lang w:bidi="he-IL"/>
        </w:rPr>
        <w:t xml:space="preserve">how many there are. </w:t>
      </w:r>
      <w:r w:rsidR="001B32AB">
        <w:rPr>
          <w:lang w:bidi="he-IL"/>
        </w:rPr>
        <w:t xml:space="preserve">The promise will be repeated for him and for </w:t>
      </w:r>
      <w:r w:rsidR="006F61D3">
        <w:rPr>
          <w:lang w:bidi="he-IL"/>
        </w:rPr>
        <w:t xml:space="preserve">Isaac and </w:t>
      </w:r>
      <w:r w:rsidR="00FA56BF">
        <w:rPr>
          <w:lang w:bidi="he-IL"/>
        </w:rPr>
        <w:t xml:space="preserve">for </w:t>
      </w:r>
      <w:r w:rsidR="00FD3353">
        <w:rPr>
          <w:lang w:bidi="he-IL"/>
        </w:rPr>
        <w:t>Jacob; Hagar</w:t>
      </w:r>
      <w:r w:rsidR="006F61D3">
        <w:rPr>
          <w:lang w:bidi="he-IL"/>
        </w:rPr>
        <w:t xml:space="preserve"> is the only woman to whom it is given. </w:t>
      </w:r>
      <w:r w:rsidR="00FD3353">
        <w:rPr>
          <w:lang w:bidi="he-IL"/>
        </w:rPr>
        <w:t>The necessity for he</w:t>
      </w:r>
      <w:r w:rsidR="00456A67">
        <w:rPr>
          <w:lang w:bidi="he-IL"/>
        </w:rPr>
        <w:t xml:space="preserve">r to return to </w:t>
      </w:r>
      <w:r w:rsidR="00FA56BF">
        <w:rPr>
          <w:lang w:bidi="he-IL"/>
        </w:rPr>
        <w:t>Abraham and Sarah is implicit</w:t>
      </w:r>
      <w:r w:rsidR="00B6200F">
        <w:rPr>
          <w:lang w:bidi="he-IL"/>
        </w:rPr>
        <w:t xml:space="preserve">. Her </w:t>
      </w:r>
      <w:r w:rsidR="00456A67">
        <w:rPr>
          <w:lang w:bidi="he-IL"/>
        </w:rPr>
        <w:t>offspring needs to be born in that context.</w:t>
      </w:r>
    </w:p>
    <w:p w14:paraId="0215C058" w14:textId="3FB31755" w:rsidR="00B1486D" w:rsidRDefault="006F61D3" w:rsidP="00B00B84">
      <w:pPr>
        <w:pStyle w:val="ListParagraph"/>
        <w:ind w:left="0" w:firstLine="720"/>
        <w:rPr>
          <w:lang w:bidi="he-IL"/>
        </w:rPr>
      </w:pPr>
      <w:r>
        <w:rPr>
          <w:lang w:bidi="he-IL"/>
        </w:rPr>
        <w:t xml:space="preserve">For the third time </w:t>
      </w:r>
      <w:r w:rsidR="007959FB">
        <w:rPr>
          <w:lang w:bidi="he-IL"/>
        </w:rPr>
        <w:t xml:space="preserve">in </w:t>
      </w:r>
      <w:r w:rsidR="00FA56BF">
        <w:rPr>
          <w:lang w:bidi="he-IL"/>
        </w:rPr>
        <w:t xml:space="preserve">three verses </w:t>
      </w:r>
      <w:r>
        <w:rPr>
          <w:lang w:bidi="he-IL"/>
        </w:rPr>
        <w:t>(v. 11</w:t>
      </w:r>
      <w:r w:rsidR="002E66BA">
        <w:rPr>
          <w:lang w:bidi="he-IL"/>
        </w:rPr>
        <w:t>a</w:t>
      </w:r>
      <w:r>
        <w:rPr>
          <w:lang w:bidi="he-IL"/>
        </w:rPr>
        <w:t xml:space="preserve">) </w:t>
      </w:r>
      <w:r w:rsidR="00FA56BF" w:rsidRPr="00FA56BF">
        <w:rPr>
          <w:lang w:bidi="he-IL"/>
        </w:rPr>
        <w:t xml:space="preserve">Genesis notes </w:t>
      </w:r>
      <w:r>
        <w:rPr>
          <w:lang w:bidi="he-IL"/>
        </w:rPr>
        <w:t>that it is Yahweh’s envoy who speaks the words that will follow. The</w:t>
      </w:r>
      <w:r w:rsidR="00FA56BF">
        <w:rPr>
          <w:lang w:bidi="he-IL"/>
        </w:rPr>
        <w:t xml:space="preserve"> repetition underscores that the</w:t>
      </w:r>
      <w:r>
        <w:rPr>
          <w:lang w:bidi="he-IL"/>
        </w:rPr>
        <w:t>y are to be taken seriously, whether they are a hard bidding or a</w:t>
      </w:r>
      <w:r w:rsidR="00FA56BF">
        <w:rPr>
          <w:lang w:bidi="he-IL"/>
        </w:rPr>
        <w:t>n encouraging</w:t>
      </w:r>
      <w:r>
        <w:rPr>
          <w:lang w:bidi="he-IL"/>
        </w:rPr>
        <w:t xml:space="preserve"> promise. The bidding has to </w:t>
      </w:r>
      <w:r w:rsidR="006424DC">
        <w:rPr>
          <w:lang w:bidi="he-IL"/>
        </w:rPr>
        <w:t>be seen in light of the promise and the promise</w:t>
      </w:r>
      <w:r>
        <w:rPr>
          <w:lang w:bidi="he-IL"/>
        </w:rPr>
        <w:t xml:space="preserve"> in light of the bidding, as was the case in Yahweh’s first words to Abraham (12:1-3). </w:t>
      </w:r>
      <w:r w:rsidR="00FA56BF">
        <w:rPr>
          <w:lang w:bidi="he-IL"/>
        </w:rPr>
        <w:t>T</w:t>
      </w:r>
      <w:r w:rsidR="00B1486D">
        <w:rPr>
          <w:lang w:bidi="he-IL"/>
        </w:rPr>
        <w:t>he</w:t>
      </w:r>
      <w:r w:rsidR="00FA56BF">
        <w:rPr>
          <w:lang w:bidi="he-IL"/>
        </w:rPr>
        <w:t>se words by the envoy</w:t>
      </w:r>
      <w:r w:rsidR="00B1486D">
        <w:rPr>
          <w:lang w:bidi="he-IL"/>
        </w:rPr>
        <w:t xml:space="preserve"> constitute the first oc</w:t>
      </w:r>
      <w:r w:rsidR="00FA56BF">
        <w:rPr>
          <w:lang w:bidi="he-IL"/>
        </w:rPr>
        <w:t xml:space="preserve">currence </w:t>
      </w:r>
      <w:r w:rsidR="00B1486D">
        <w:rPr>
          <w:lang w:bidi="he-IL"/>
        </w:rPr>
        <w:t xml:space="preserve">of a </w:t>
      </w:r>
      <w:r w:rsidR="00FA56BF">
        <w:rPr>
          <w:lang w:bidi="he-IL"/>
        </w:rPr>
        <w:t xml:space="preserve">formulation </w:t>
      </w:r>
      <w:r w:rsidR="00B1486D">
        <w:rPr>
          <w:lang w:bidi="he-IL"/>
        </w:rPr>
        <w:t>that will recur</w:t>
      </w:r>
      <w:r w:rsidR="00FA56BF">
        <w:rPr>
          <w:lang w:bidi="he-IL"/>
        </w:rPr>
        <w:t xml:space="preserve"> in the Scriptures, though each occurrence </w:t>
      </w:r>
      <w:r w:rsidR="00FA56BF" w:rsidRPr="00FA56BF">
        <w:rPr>
          <w:lang w:bidi="he-IL"/>
        </w:rPr>
        <w:t>has a distinctive significance in its context.</w:t>
      </w:r>
      <w:r w:rsidR="00FA56BF" w:rsidRPr="00FA56BF">
        <w:rPr>
          <w:vertAlign w:val="superscript"/>
          <w:lang w:bidi="he-IL"/>
        </w:rPr>
        <w:footnoteReference w:id="285"/>
      </w:r>
      <w:r w:rsidR="002E66BA">
        <w:rPr>
          <w:lang w:bidi="he-IL"/>
        </w:rPr>
        <w:t xml:space="preserve"> </w:t>
      </w:r>
      <w:r w:rsidR="006424DC">
        <w:rPr>
          <w:lang w:bidi="he-IL"/>
        </w:rPr>
        <w:t>Such announcements of a son’s birth to wome</w:t>
      </w:r>
      <w:r w:rsidR="00C5274B">
        <w:rPr>
          <w:lang w:bidi="he-IL"/>
        </w:rPr>
        <w:t>n who</w:t>
      </w:r>
      <w:r w:rsidR="00B1486D">
        <w:rPr>
          <w:lang w:bidi="he-IL"/>
        </w:rPr>
        <w:t xml:space="preserve"> </w:t>
      </w:r>
      <w:r w:rsidR="007959FB">
        <w:rPr>
          <w:lang w:bidi="he-IL"/>
        </w:rPr>
        <w:t>a</w:t>
      </w:r>
      <w:r w:rsidR="006424DC">
        <w:rPr>
          <w:lang w:bidi="he-IL"/>
        </w:rPr>
        <w:t>re</w:t>
      </w:r>
      <w:r w:rsidR="00FA56BF">
        <w:rPr>
          <w:lang w:bidi="he-IL"/>
        </w:rPr>
        <w:t xml:space="preserve"> not expecting to have </w:t>
      </w:r>
      <w:r w:rsidR="00B1486D">
        <w:rPr>
          <w:lang w:bidi="he-IL"/>
        </w:rPr>
        <w:t xml:space="preserve">one </w:t>
      </w:r>
      <w:r w:rsidR="00C5274B">
        <w:rPr>
          <w:lang w:bidi="he-IL"/>
        </w:rPr>
        <w:t>may includ</w:t>
      </w:r>
      <w:r w:rsidR="00B1486D">
        <w:rPr>
          <w:lang w:bidi="he-IL"/>
        </w:rPr>
        <w:t xml:space="preserve">e </w:t>
      </w:r>
      <w:r w:rsidR="006424DC">
        <w:rPr>
          <w:lang w:bidi="he-IL"/>
        </w:rPr>
        <w:t>the appearing of a</w:t>
      </w:r>
      <w:r w:rsidR="007959FB">
        <w:rPr>
          <w:lang w:bidi="he-IL"/>
        </w:rPr>
        <w:t>n</w:t>
      </w:r>
      <w:r w:rsidR="00C5274B">
        <w:rPr>
          <w:lang w:bidi="he-IL"/>
        </w:rPr>
        <w:t xml:space="preserve"> envoy and </w:t>
      </w:r>
      <w:r w:rsidR="00B1486D">
        <w:rPr>
          <w:lang w:bidi="he-IL"/>
        </w:rPr>
        <w:t>a</w:t>
      </w:r>
      <w:r w:rsidR="006424DC">
        <w:rPr>
          <w:lang w:bidi="he-IL"/>
        </w:rPr>
        <w:t xml:space="preserve"> greeting, an</w:t>
      </w:r>
      <w:r w:rsidR="00C5274B">
        <w:rPr>
          <w:lang w:bidi="he-IL"/>
        </w:rPr>
        <w:t xml:space="preserve"> an</w:t>
      </w:r>
      <w:r w:rsidR="006424DC">
        <w:rPr>
          <w:lang w:bidi="he-IL"/>
        </w:rPr>
        <w:t>nouncement of a</w:t>
      </w:r>
      <w:r w:rsidR="00B1486D">
        <w:rPr>
          <w:lang w:bidi="he-IL"/>
        </w:rPr>
        <w:t xml:space="preserve"> coming pregnancy and </w:t>
      </w:r>
      <w:r w:rsidR="00FA56BF">
        <w:rPr>
          <w:lang w:bidi="he-IL"/>
        </w:rPr>
        <w:t xml:space="preserve">of </w:t>
      </w:r>
      <w:r w:rsidR="00C5274B">
        <w:rPr>
          <w:lang w:bidi="he-IL"/>
        </w:rPr>
        <w:t xml:space="preserve">the </w:t>
      </w:r>
      <w:r w:rsidR="00B1486D">
        <w:rPr>
          <w:lang w:bidi="he-IL"/>
        </w:rPr>
        <w:t>birth</w:t>
      </w:r>
      <w:r w:rsidR="00C5274B">
        <w:rPr>
          <w:lang w:bidi="he-IL"/>
        </w:rPr>
        <w:t xml:space="preserve"> of a son, the specifying of the boy’s name and an explan</w:t>
      </w:r>
      <w:r w:rsidR="00FA56BF">
        <w:rPr>
          <w:lang w:bidi="he-IL"/>
        </w:rPr>
        <w:t>ation of it, and a declaration</w:t>
      </w:r>
      <w:r w:rsidR="00C5274B">
        <w:rPr>
          <w:lang w:bidi="he-IL"/>
        </w:rPr>
        <w:t xml:space="preserve"> about what will become of him (see Judg 13:3-5; Isa 7:14-16; Luke 1:18-22). </w:t>
      </w:r>
    </w:p>
    <w:p w14:paraId="1780A219" w14:textId="1E8C4B2A" w:rsidR="0083682C" w:rsidRPr="0083682C" w:rsidRDefault="002E66BA" w:rsidP="0083682C">
      <w:pPr>
        <w:pStyle w:val="ListParagraph"/>
        <w:ind w:left="0" w:firstLine="720"/>
        <w:rPr>
          <w:lang w:bidi="he-IL"/>
        </w:rPr>
      </w:pPr>
      <w:r>
        <w:rPr>
          <w:lang w:bidi="he-IL"/>
        </w:rPr>
        <w:t>Here, the</w:t>
      </w:r>
      <w:r w:rsidR="00456A67">
        <w:rPr>
          <w:lang w:bidi="he-IL"/>
        </w:rPr>
        <w:t xml:space="preserve"> follow-up promise </w:t>
      </w:r>
      <w:r>
        <w:rPr>
          <w:lang w:bidi="he-IL"/>
        </w:rPr>
        <w:t xml:space="preserve">(v. 11b) </w:t>
      </w:r>
      <w:r w:rsidR="00B31628">
        <w:rPr>
          <w:lang w:bidi="he-IL"/>
        </w:rPr>
        <w:t xml:space="preserve">indeed </w:t>
      </w:r>
      <w:r w:rsidR="00456A67">
        <w:rPr>
          <w:lang w:bidi="he-IL"/>
        </w:rPr>
        <w:t xml:space="preserve">first adds the child’s </w:t>
      </w:r>
      <w:r w:rsidR="006F61D3">
        <w:rPr>
          <w:lang w:bidi="he-IL"/>
        </w:rPr>
        <w:t xml:space="preserve">sex and then determines his </w:t>
      </w:r>
      <w:r w:rsidR="00456A67">
        <w:rPr>
          <w:lang w:bidi="he-IL"/>
        </w:rPr>
        <w:t xml:space="preserve">name. </w:t>
      </w:r>
      <w:r>
        <w:rPr>
          <w:lang w:bidi="he-IL"/>
        </w:rPr>
        <w:t>If Hagar was tempted t</w:t>
      </w:r>
      <w:r w:rsidR="007959FB">
        <w:rPr>
          <w:lang w:bidi="he-IL"/>
        </w:rPr>
        <w:t>o think</w:t>
      </w:r>
      <w:r>
        <w:rPr>
          <w:lang w:bidi="he-IL"/>
        </w:rPr>
        <w:t xml:space="preserve"> it was a tough requirement that she should go</w:t>
      </w:r>
      <w:r w:rsidR="00456A67">
        <w:rPr>
          <w:lang w:bidi="he-IL"/>
        </w:rPr>
        <w:t xml:space="preserve"> back to submit to Sarah’s ill-treatment, </w:t>
      </w:r>
      <w:r>
        <w:rPr>
          <w:lang w:bidi="he-IL"/>
        </w:rPr>
        <w:t>then the explanation might take the edge of</w:t>
      </w:r>
      <w:r w:rsidR="003B3161">
        <w:rPr>
          <w:lang w:bidi="he-IL"/>
        </w:rPr>
        <w:t>f</w:t>
      </w:r>
      <w:r>
        <w:rPr>
          <w:lang w:bidi="he-IL"/>
        </w:rPr>
        <w:t xml:space="preserve"> that sense that Yahweh was treating her as hard as Sarah </w:t>
      </w:r>
      <w:r w:rsidR="006424DC">
        <w:rPr>
          <w:lang w:bidi="he-IL"/>
        </w:rPr>
        <w:t xml:space="preserve">had, </w:t>
      </w:r>
      <w:r>
        <w:rPr>
          <w:lang w:bidi="he-IL"/>
        </w:rPr>
        <w:t>and not</w:t>
      </w:r>
      <w:r w:rsidR="00456A67">
        <w:rPr>
          <w:lang w:bidi="he-IL"/>
        </w:rPr>
        <w:t xml:space="preserve"> paying much attention to Hagar herself. </w:t>
      </w:r>
      <w:r>
        <w:rPr>
          <w:lang w:bidi="he-IL"/>
        </w:rPr>
        <w:t>A</w:t>
      </w:r>
      <w:r w:rsidR="00E7004C">
        <w:rPr>
          <w:lang w:bidi="he-IL"/>
        </w:rPr>
        <w:t>ctually Yahwe</w:t>
      </w:r>
      <w:r w:rsidR="006424DC">
        <w:rPr>
          <w:lang w:bidi="he-IL"/>
        </w:rPr>
        <w:t>h has been listening to Sarah’s treatment of</w:t>
      </w:r>
      <w:r w:rsidR="00E7004C" w:rsidRPr="00E7004C">
        <w:rPr>
          <w:lang w:bidi="he-IL"/>
        </w:rPr>
        <w:t xml:space="preserve"> her</w:t>
      </w:r>
      <w:r>
        <w:rPr>
          <w:lang w:bidi="he-IL"/>
        </w:rPr>
        <w:t>, and Hagar</w:t>
      </w:r>
      <w:r w:rsidR="00E7004C">
        <w:rPr>
          <w:lang w:bidi="he-IL"/>
        </w:rPr>
        <w:t xml:space="preserve"> is to name her son accordingly. </w:t>
      </w:r>
      <w:r w:rsidR="006424DC">
        <w:rPr>
          <w:lang w:bidi="he-IL"/>
        </w:rPr>
        <w:t>The name</w:t>
      </w:r>
      <w:r w:rsidR="007959FB">
        <w:rPr>
          <w:lang w:bidi="he-IL"/>
        </w:rPr>
        <w:t xml:space="preserve"> “Ishmael”</w:t>
      </w:r>
      <w:r w:rsidR="006424DC">
        <w:rPr>
          <w:lang w:bidi="he-IL"/>
        </w:rPr>
        <w:t xml:space="preserve"> </w:t>
      </w:r>
      <w:r w:rsidR="00384D2F">
        <w:rPr>
          <w:lang w:bidi="he-IL"/>
        </w:rPr>
        <w:t>recurs elsewhere (e.g., 2 Kin</w:t>
      </w:r>
      <w:r w:rsidR="007959FB">
        <w:rPr>
          <w:lang w:bidi="he-IL"/>
        </w:rPr>
        <w:t>gs 25:23, 25; 1 Chron 8:38);</w:t>
      </w:r>
      <w:r w:rsidR="00384D2F">
        <w:rPr>
          <w:lang w:bidi="he-IL"/>
        </w:rPr>
        <w:t xml:space="preserve"> in regular usage it would likely express his parents prayer for their child, </w:t>
      </w:r>
      <w:r w:rsidR="003D56BA">
        <w:rPr>
          <w:lang w:bidi="he-IL"/>
        </w:rPr>
        <w:t>“</w:t>
      </w:r>
      <w:r w:rsidR="00384D2F">
        <w:rPr>
          <w:lang w:bidi="he-IL"/>
        </w:rPr>
        <w:t>May God listen.</w:t>
      </w:r>
      <w:r w:rsidR="003D56BA">
        <w:rPr>
          <w:lang w:bidi="he-IL"/>
        </w:rPr>
        <w:t>”</w:t>
      </w:r>
      <w:r w:rsidR="00921816">
        <w:rPr>
          <w:lang w:bidi="he-IL"/>
        </w:rPr>
        <w:t xml:space="preserve"> </w:t>
      </w:r>
      <w:r>
        <w:rPr>
          <w:lang w:bidi="he-IL"/>
        </w:rPr>
        <w:t xml:space="preserve">Here it constitutes an affirmation. </w:t>
      </w:r>
      <w:r w:rsidR="007959FB">
        <w:rPr>
          <w:lang w:bidi="he-IL"/>
        </w:rPr>
        <w:t>Ishmael</w:t>
      </w:r>
      <w:r w:rsidR="00921816">
        <w:rPr>
          <w:lang w:bidi="he-IL"/>
        </w:rPr>
        <w:t xml:space="preserve"> is the first person to be named before being born.</w:t>
      </w:r>
      <w:r w:rsidR="00921816">
        <w:rPr>
          <w:rStyle w:val="FootnoteReference"/>
          <w:lang w:bidi="he-IL"/>
        </w:rPr>
        <w:footnoteReference w:id="286"/>
      </w:r>
      <w:r>
        <w:rPr>
          <w:lang w:bidi="he-IL"/>
        </w:rPr>
        <w:t xml:space="preserve"> </w:t>
      </w:r>
      <w:r w:rsidR="0083682C" w:rsidRPr="0083682C">
        <w:rPr>
          <w:lang w:bidi="he-IL"/>
        </w:rPr>
        <w:t xml:space="preserve">Genesis has not told us that </w:t>
      </w:r>
      <w:r w:rsidR="0083682C">
        <w:rPr>
          <w:lang w:bidi="he-IL"/>
        </w:rPr>
        <w:t>Sarah prayed in light of her conviction that Yahweh</w:t>
      </w:r>
      <w:r w:rsidR="0083682C" w:rsidRPr="0083682C">
        <w:rPr>
          <w:lang w:bidi="he-IL"/>
        </w:rPr>
        <w:t xml:space="preserve"> had closed her womb </w:t>
      </w:r>
      <w:r w:rsidR="0083682C">
        <w:rPr>
          <w:lang w:bidi="he-IL"/>
        </w:rPr>
        <w:t>or that Hagar prayed in light of</w:t>
      </w:r>
      <w:r w:rsidR="006424DC">
        <w:rPr>
          <w:lang w:bidi="he-IL"/>
        </w:rPr>
        <w:t xml:space="preserve"> her suffering. </w:t>
      </w:r>
      <w:r w:rsidR="0083682C">
        <w:rPr>
          <w:lang w:bidi="he-IL"/>
        </w:rPr>
        <w:t>I</w:t>
      </w:r>
      <w:r w:rsidR="0083682C" w:rsidRPr="0083682C">
        <w:rPr>
          <w:lang w:bidi="he-IL"/>
        </w:rPr>
        <w:t xml:space="preserve">t </w:t>
      </w:r>
      <w:r w:rsidR="0083682C">
        <w:rPr>
          <w:lang w:bidi="he-IL"/>
        </w:rPr>
        <w:t>does tell</w:t>
      </w:r>
      <w:r w:rsidR="006424DC">
        <w:rPr>
          <w:lang w:bidi="he-IL"/>
        </w:rPr>
        <w:t xml:space="preserve"> </w:t>
      </w:r>
      <w:r w:rsidR="006424DC">
        <w:rPr>
          <w:lang w:bidi="he-IL"/>
        </w:rPr>
        <w:lastRenderedPageBreak/>
        <w:t xml:space="preserve">us </w:t>
      </w:r>
      <w:r w:rsidR="0083682C" w:rsidRPr="0083682C">
        <w:rPr>
          <w:lang w:bidi="he-IL"/>
        </w:rPr>
        <w:t>that God was listening to the har</w:t>
      </w:r>
      <w:r w:rsidR="0083682C">
        <w:rPr>
          <w:lang w:bidi="he-IL"/>
        </w:rPr>
        <w:t>shness of what Sarah said to Hagar and did to her</w:t>
      </w:r>
      <w:r w:rsidR="00570B87">
        <w:rPr>
          <w:lang w:bidi="he-IL"/>
        </w:rPr>
        <w:t>. Sarah declared the hope that Yahweh would decide between herself and Abraham; he has</w:t>
      </w:r>
      <w:r w:rsidR="0083682C">
        <w:rPr>
          <w:lang w:bidi="he-IL"/>
        </w:rPr>
        <w:t xml:space="preserve"> decided between her and Hagar. </w:t>
      </w:r>
      <w:r w:rsidR="0083682C" w:rsidRPr="0083682C">
        <w:rPr>
          <w:lang w:bidi="he-IL"/>
        </w:rPr>
        <w:t xml:space="preserve">As happens in other passages (not least 14:18-23), Genesis combines the reference to El in Ishmael’s name (compare the name Israel) with a reference to Yahweh, whom the envoy does represent but whose name someone living in Abraham’s day would not use. </w:t>
      </w:r>
    </w:p>
    <w:p w14:paraId="3CD7606B" w14:textId="357D19CD" w:rsidR="00E7004C" w:rsidRDefault="00E7004C" w:rsidP="00B00B84">
      <w:pPr>
        <w:pStyle w:val="ListParagraph"/>
        <w:ind w:left="0" w:firstLine="720"/>
        <w:rPr>
          <w:lang w:bidi="he-IL"/>
        </w:rPr>
      </w:pPr>
      <w:r>
        <w:rPr>
          <w:lang w:bidi="he-IL"/>
        </w:rPr>
        <w:t xml:space="preserve">Then there is the child’s destiny (v. 12). Half-Egyptian, half-Abrahamic, his mother a maidservant and a secondary wife, what chance does he have? But Ishmael will not be </w:t>
      </w:r>
      <w:r w:rsidR="007959FB">
        <w:rPr>
          <w:lang w:bidi="he-IL"/>
        </w:rPr>
        <w:t>someone you can mess with. He’</w:t>
      </w:r>
      <w:r>
        <w:rPr>
          <w:lang w:bidi="he-IL"/>
        </w:rPr>
        <w:t xml:space="preserve">ll be like the wild donkeys </w:t>
      </w:r>
      <w:r w:rsidR="007959FB">
        <w:rPr>
          <w:lang w:bidi="he-IL"/>
        </w:rPr>
        <w:t>of the wilderness that you can’</w:t>
      </w:r>
      <w:r>
        <w:rPr>
          <w:lang w:bidi="he-IL"/>
        </w:rPr>
        <w:t>t tame</w:t>
      </w:r>
      <w:r w:rsidR="008708AA">
        <w:rPr>
          <w:lang w:bidi="he-IL"/>
        </w:rPr>
        <w:t xml:space="preserve"> (cf. Job 39:5-8)</w:t>
      </w:r>
      <w:r>
        <w:rPr>
          <w:lang w:bidi="he-IL"/>
        </w:rPr>
        <w:t xml:space="preserve">. </w:t>
      </w:r>
      <w:r w:rsidR="003D56BA">
        <w:rPr>
          <w:lang w:bidi="he-IL"/>
        </w:rPr>
        <w:t>“</w:t>
      </w:r>
      <w:r w:rsidR="00DE0B8D">
        <w:rPr>
          <w:lang w:bidi="he-IL"/>
        </w:rPr>
        <w:t>He will be free among men…. No stranger will rule over him.</w:t>
      </w:r>
      <w:r w:rsidR="003D56BA">
        <w:rPr>
          <w:lang w:bidi="he-IL"/>
        </w:rPr>
        <w:t>”</w:t>
      </w:r>
      <w:r w:rsidR="00DE0B8D">
        <w:rPr>
          <w:rStyle w:val="FootnoteReference"/>
          <w:lang w:bidi="he-IL"/>
        </w:rPr>
        <w:footnoteReference w:id="287"/>
      </w:r>
      <w:r w:rsidR="00DE0B8D">
        <w:rPr>
          <w:lang w:bidi="he-IL"/>
        </w:rPr>
        <w:t xml:space="preserve"> </w:t>
      </w:r>
      <w:r>
        <w:rPr>
          <w:lang w:bidi="he-IL"/>
        </w:rPr>
        <w:t xml:space="preserve">If people want to be in conflict with him, he will give as good as he gets. Like the story about Noah, Ham, and Canaan in Gen 9, for the audience </w:t>
      </w:r>
      <w:r w:rsidR="006274D4">
        <w:rPr>
          <w:lang w:bidi="he-IL"/>
        </w:rPr>
        <w:t xml:space="preserve">this declaration about Ishmael </w:t>
      </w:r>
      <w:r w:rsidR="0083682C">
        <w:rPr>
          <w:lang w:bidi="he-IL"/>
        </w:rPr>
        <w:t>may explain</w:t>
      </w:r>
      <w:r>
        <w:rPr>
          <w:lang w:bidi="he-IL"/>
        </w:rPr>
        <w:t xml:space="preserve"> why </w:t>
      </w:r>
      <w:r w:rsidR="006274D4">
        <w:rPr>
          <w:lang w:bidi="he-IL"/>
        </w:rPr>
        <w:t>the Ishmae</w:t>
      </w:r>
      <w:r w:rsidR="007959FB">
        <w:rPr>
          <w:lang w:bidi="he-IL"/>
        </w:rPr>
        <w:t xml:space="preserve">lites are the people they are. </w:t>
      </w:r>
      <w:r w:rsidR="00C90063">
        <w:rPr>
          <w:lang w:bidi="he-IL"/>
        </w:rPr>
        <w:t>The Ishmaelites</w:t>
      </w:r>
      <w:r w:rsidR="00C90063" w:rsidRPr="0083682C">
        <w:rPr>
          <w:lang w:bidi="he-IL"/>
        </w:rPr>
        <w:t xml:space="preserve"> feature in Mesopotamian inscriptions from Israelite times and they are traditionally understood to be the ancestors of the Arabs</w:t>
      </w:r>
      <w:r w:rsidR="00C90063">
        <w:rPr>
          <w:lang w:bidi="he-IL"/>
        </w:rPr>
        <w:t>. But t</w:t>
      </w:r>
      <w:r w:rsidR="006274D4">
        <w:rPr>
          <w:lang w:bidi="he-IL"/>
        </w:rPr>
        <w:t>here are few references</w:t>
      </w:r>
      <w:r w:rsidR="007959FB">
        <w:rPr>
          <w:lang w:bidi="he-IL"/>
        </w:rPr>
        <w:t xml:space="preserve"> to them in the First Testament, and</w:t>
      </w:r>
      <w:r w:rsidR="00A9598B">
        <w:rPr>
          <w:lang w:bidi="he-IL"/>
        </w:rPr>
        <w:t xml:space="preserve"> no indications of poor relationships with I</w:t>
      </w:r>
      <w:r w:rsidR="007959FB">
        <w:rPr>
          <w:lang w:bidi="he-IL"/>
        </w:rPr>
        <w:t>srael</w:t>
      </w:r>
      <w:r w:rsidR="004E3E4E">
        <w:rPr>
          <w:lang w:bidi="he-IL"/>
        </w:rPr>
        <w:t xml:space="preserve"> (indeed, see</w:t>
      </w:r>
      <w:r w:rsidR="00A9598B">
        <w:rPr>
          <w:lang w:bidi="he-IL"/>
        </w:rPr>
        <w:t xml:space="preserve"> e.g., 1 Chron 2:17; 27:30).</w:t>
      </w:r>
      <w:r w:rsidR="00B31628">
        <w:rPr>
          <w:lang w:bidi="he-IL"/>
        </w:rPr>
        <w:t xml:space="preserve"> </w:t>
      </w:r>
      <w:r w:rsidR="00C53756">
        <w:rPr>
          <w:lang w:bidi="he-IL"/>
        </w:rPr>
        <w:t>They are strange, yet they are family.</w:t>
      </w:r>
      <w:r w:rsidR="00C53756">
        <w:rPr>
          <w:rStyle w:val="FootnoteReference"/>
          <w:lang w:bidi="he-IL"/>
        </w:rPr>
        <w:footnoteReference w:id="288"/>
      </w:r>
      <w:r w:rsidR="00C53756">
        <w:rPr>
          <w:lang w:bidi="he-IL"/>
        </w:rPr>
        <w:t xml:space="preserve"> </w:t>
      </w:r>
      <w:r w:rsidR="004E3E4E">
        <w:rPr>
          <w:lang w:bidi="he-IL"/>
        </w:rPr>
        <w:t>T</w:t>
      </w:r>
      <w:r w:rsidR="00B31628">
        <w:rPr>
          <w:lang w:bidi="he-IL"/>
        </w:rPr>
        <w:t>he envoy’s characterization</w:t>
      </w:r>
      <w:r w:rsidR="0083682C">
        <w:rPr>
          <w:lang w:bidi="he-IL"/>
        </w:rPr>
        <w:t xml:space="preserve"> </w:t>
      </w:r>
      <w:r w:rsidR="007959FB">
        <w:rPr>
          <w:lang w:bidi="he-IL"/>
        </w:rPr>
        <w:t xml:space="preserve">of Ishmael as </w:t>
      </w:r>
      <w:r w:rsidR="007959FB" w:rsidRPr="00A9598B">
        <w:rPr>
          <w:lang w:bidi="he-IL"/>
        </w:rPr>
        <w:t>aggressive and determined</w:t>
      </w:r>
      <w:r w:rsidR="007959FB">
        <w:rPr>
          <w:lang w:bidi="he-IL"/>
        </w:rPr>
        <w:t xml:space="preserve"> </w:t>
      </w:r>
      <w:r w:rsidR="0083682C">
        <w:rPr>
          <w:lang w:bidi="he-IL"/>
        </w:rPr>
        <w:t>may suggest</w:t>
      </w:r>
      <w:r w:rsidR="007959FB">
        <w:rPr>
          <w:lang w:bidi="he-IL"/>
        </w:rPr>
        <w:t xml:space="preserve"> that he</w:t>
      </w:r>
      <w:r w:rsidR="00B31628">
        <w:rPr>
          <w:lang w:bidi="he-IL"/>
        </w:rPr>
        <w:t xml:space="preserve"> wi</w:t>
      </w:r>
      <w:r w:rsidR="007959FB">
        <w:rPr>
          <w:lang w:bidi="he-IL"/>
        </w:rPr>
        <w:t>ll be a true son of his father as Abraham was</w:t>
      </w:r>
      <w:r w:rsidR="00B31628">
        <w:rPr>
          <w:lang w:bidi="he-IL"/>
        </w:rPr>
        <w:t xml:space="preserve"> portrayed in Gen 14.</w:t>
      </w:r>
      <w:r w:rsidR="0083682C">
        <w:rPr>
          <w:lang w:bidi="he-IL"/>
        </w:rPr>
        <w:t xml:space="preserve"> </w:t>
      </w:r>
    </w:p>
    <w:p w14:paraId="2D9AB05B" w14:textId="6D22B69C" w:rsidR="006274D4" w:rsidRDefault="006274D4" w:rsidP="00B00B84">
      <w:pPr>
        <w:pStyle w:val="ListParagraph"/>
        <w:ind w:left="0" w:firstLine="720"/>
        <w:rPr>
          <w:lang w:bidi="he-IL"/>
        </w:rPr>
      </w:pPr>
      <w:r>
        <w:rPr>
          <w:b/>
          <w:lang w:bidi="he-IL"/>
        </w:rPr>
        <w:t xml:space="preserve">16:13-14. </w:t>
      </w:r>
      <w:r>
        <w:rPr>
          <w:lang w:bidi="he-IL"/>
        </w:rPr>
        <w:t>Hagar’s response adds a naming of God to the narrative</w:t>
      </w:r>
      <w:r w:rsidR="00B31628">
        <w:rPr>
          <w:lang w:bidi="he-IL"/>
        </w:rPr>
        <w:t xml:space="preserve">’s naming of her. </w:t>
      </w:r>
      <w:r w:rsidR="00095BD6" w:rsidRPr="00095BD6">
        <w:rPr>
          <w:lang w:bidi="he-IL"/>
        </w:rPr>
        <w:t>“Hagar i</w:t>
      </w:r>
      <w:r w:rsidR="00095BD6">
        <w:rPr>
          <w:lang w:bidi="he-IL"/>
        </w:rPr>
        <w:t>s a theologian,</w:t>
      </w:r>
      <w:r w:rsidR="00095BD6" w:rsidRPr="00095BD6">
        <w:rPr>
          <w:lang w:bidi="he-IL"/>
        </w:rPr>
        <w:t>”</w:t>
      </w:r>
      <w:r w:rsidR="00095BD6" w:rsidRPr="00095BD6">
        <w:rPr>
          <w:vertAlign w:val="superscript"/>
          <w:lang w:bidi="he-IL"/>
        </w:rPr>
        <w:footnoteReference w:id="289"/>
      </w:r>
      <w:r w:rsidR="00095BD6" w:rsidRPr="00095BD6">
        <w:rPr>
          <w:lang w:bidi="he-IL"/>
        </w:rPr>
        <w:t xml:space="preserve"> </w:t>
      </w:r>
      <w:r w:rsidR="00B31628">
        <w:rPr>
          <w:lang w:bidi="he-IL"/>
        </w:rPr>
        <w:t>the</w:t>
      </w:r>
      <w:r w:rsidR="001C3DC3">
        <w:rPr>
          <w:lang w:bidi="he-IL"/>
        </w:rPr>
        <w:t xml:space="preserve"> Scriptures’ first theolog</w:t>
      </w:r>
      <w:r w:rsidR="008A15D4">
        <w:rPr>
          <w:lang w:bidi="he-IL"/>
        </w:rPr>
        <w:t>ian</w:t>
      </w:r>
      <w:r w:rsidR="00095BD6">
        <w:rPr>
          <w:lang w:bidi="he-IL"/>
        </w:rPr>
        <w:t>,</w:t>
      </w:r>
      <w:r w:rsidR="008A15D4">
        <w:rPr>
          <w:lang w:bidi="he-IL"/>
        </w:rPr>
        <w:t xml:space="preserve"> and the only person in the First Testament who gives God a name.</w:t>
      </w:r>
      <w:r w:rsidR="001D1D0F">
        <w:rPr>
          <w:lang w:bidi="he-IL"/>
        </w:rPr>
        <w:t xml:space="preserve"> </w:t>
      </w:r>
      <w:r w:rsidR="00095BD6" w:rsidRPr="00095BD6">
        <w:rPr>
          <w:lang w:bidi="he-IL"/>
        </w:rPr>
        <w:t>The context of this declaration indicates the nature o</w:t>
      </w:r>
      <w:r w:rsidR="004E3E4E">
        <w:rPr>
          <w:lang w:bidi="he-IL"/>
        </w:rPr>
        <w:t>f theology as a response to a recognition that God has spoken to you</w:t>
      </w:r>
      <w:r w:rsidR="00095BD6" w:rsidRPr="00095BD6">
        <w:rPr>
          <w:lang w:bidi="he-IL"/>
        </w:rPr>
        <w:t xml:space="preserve">; Hagar has recognized it. </w:t>
      </w:r>
      <w:r w:rsidR="00B31628">
        <w:rPr>
          <w:lang w:bidi="he-IL"/>
        </w:rPr>
        <w:t xml:space="preserve">The </w:t>
      </w:r>
      <w:r w:rsidR="00095BD6">
        <w:rPr>
          <w:lang w:bidi="he-IL"/>
        </w:rPr>
        <w:t>form of the</w:t>
      </w:r>
      <w:r w:rsidR="00E8271C">
        <w:rPr>
          <w:lang w:bidi="he-IL"/>
        </w:rPr>
        <w:t xml:space="preserve"> declaration, </w:t>
      </w:r>
      <w:r w:rsidR="003D56BA">
        <w:rPr>
          <w:lang w:bidi="he-IL"/>
        </w:rPr>
        <w:t>“</w:t>
      </w:r>
      <w:r w:rsidR="00E8271C">
        <w:rPr>
          <w:lang w:bidi="he-IL"/>
        </w:rPr>
        <w:t>You are…,</w:t>
      </w:r>
      <w:r w:rsidR="003D56BA">
        <w:rPr>
          <w:lang w:bidi="he-IL"/>
        </w:rPr>
        <w:t>”</w:t>
      </w:r>
      <w:r w:rsidR="00E8271C">
        <w:rPr>
          <w:lang w:bidi="he-IL"/>
        </w:rPr>
        <w:t xml:space="preserve"> also mark</w:t>
      </w:r>
      <w:r w:rsidR="001D1D0F">
        <w:rPr>
          <w:lang w:bidi="he-IL"/>
        </w:rPr>
        <w:t>s</w:t>
      </w:r>
      <w:r w:rsidR="00E8271C">
        <w:rPr>
          <w:lang w:bidi="he-IL"/>
        </w:rPr>
        <w:t xml:space="preserve"> Hagar</w:t>
      </w:r>
      <w:r w:rsidR="00B31628">
        <w:rPr>
          <w:lang w:bidi="he-IL"/>
        </w:rPr>
        <w:t xml:space="preserve"> as someone who addresses God in praise (cf. Ps 77:14 [15].</w:t>
      </w:r>
      <w:r w:rsidR="00570B87">
        <w:rPr>
          <w:rStyle w:val="FootnoteReference"/>
          <w:lang w:bidi="he-IL"/>
        </w:rPr>
        <w:footnoteReference w:id="290"/>
      </w:r>
      <w:r w:rsidR="00B31628">
        <w:rPr>
          <w:lang w:bidi="he-IL"/>
        </w:rPr>
        <w:t xml:space="preserve"> </w:t>
      </w:r>
      <w:r w:rsidR="005371D5">
        <w:rPr>
          <w:lang w:bidi="he-IL"/>
        </w:rPr>
        <w:t>She knows that t</w:t>
      </w:r>
      <w:r w:rsidR="004E3E4E">
        <w:rPr>
          <w:lang w:bidi="he-IL"/>
        </w:rPr>
        <w:t>heology</w:t>
      </w:r>
      <w:r w:rsidR="00E8271C">
        <w:rPr>
          <w:lang w:bidi="he-IL"/>
        </w:rPr>
        <w:t xml:space="preserve"> is doxology. </w:t>
      </w:r>
      <w:r w:rsidR="004E3E4E">
        <w:rPr>
          <w:lang w:bidi="he-IL"/>
        </w:rPr>
        <w:t>It is paradoxical that</w:t>
      </w:r>
      <w:r w:rsidR="00E8271C">
        <w:rPr>
          <w:lang w:bidi="he-IL"/>
        </w:rPr>
        <w:t xml:space="preserve"> Genesis says that Hagar</w:t>
      </w:r>
      <w:r w:rsidR="001C3DC3">
        <w:rPr>
          <w:lang w:bidi="he-IL"/>
        </w:rPr>
        <w:t xml:space="preserve"> is giving a name to Yahweh,</w:t>
      </w:r>
      <w:r w:rsidR="004E3E4E">
        <w:rPr>
          <w:lang w:bidi="he-IL"/>
        </w:rPr>
        <w:t xml:space="preserve"> given that</w:t>
      </w:r>
      <w:r w:rsidR="008A15D4">
        <w:rPr>
          <w:lang w:bidi="he-IL"/>
        </w:rPr>
        <w:t xml:space="preserve"> </w:t>
      </w:r>
      <w:r w:rsidR="001C3DC3">
        <w:rPr>
          <w:lang w:bidi="he-IL"/>
        </w:rPr>
        <w:t xml:space="preserve">she wouldn’t know that Yahweh was the name of the God she was naming. She gives him a name </w:t>
      </w:r>
      <w:r w:rsidR="008A15D4">
        <w:rPr>
          <w:lang w:bidi="he-IL"/>
        </w:rPr>
        <w:t xml:space="preserve">that incorporates the term for God in Ishmael’s name and that </w:t>
      </w:r>
      <w:r w:rsidR="005371D5">
        <w:rPr>
          <w:lang w:bidi="he-IL"/>
        </w:rPr>
        <w:t xml:space="preserve">thus also </w:t>
      </w:r>
      <w:r w:rsidR="008A15D4">
        <w:rPr>
          <w:lang w:bidi="he-IL"/>
        </w:rPr>
        <w:t>parallels</w:t>
      </w:r>
      <w:r w:rsidR="001C3DC3">
        <w:rPr>
          <w:lang w:bidi="he-IL"/>
        </w:rPr>
        <w:t xml:space="preserve"> the one Melchizedek used. He </w:t>
      </w:r>
      <w:r w:rsidR="005371D5">
        <w:rPr>
          <w:lang w:bidi="he-IL"/>
        </w:rPr>
        <w:t xml:space="preserve">had </w:t>
      </w:r>
      <w:r w:rsidR="001C3DC3">
        <w:rPr>
          <w:lang w:bidi="he-IL"/>
        </w:rPr>
        <w:t xml:space="preserve">called God </w:t>
      </w:r>
      <w:r w:rsidR="00290765">
        <w:rPr>
          <w:i/>
          <w:lang w:bidi="he-IL"/>
        </w:rPr>
        <w:t>’ēl ‘</w:t>
      </w:r>
      <w:r w:rsidR="001C3DC3">
        <w:rPr>
          <w:i/>
          <w:lang w:bidi="he-IL"/>
        </w:rPr>
        <w:t>elyôn</w:t>
      </w:r>
      <w:r w:rsidR="001C3DC3">
        <w:rPr>
          <w:lang w:bidi="he-IL"/>
        </w:rPr>
        <w:t xml:space="preserve">; Hagar calls God </w:t>
      </w:r>
      <w:r w:rsidR="001C3DC3">
        <w:rPr>
          <w:i/>
          <w:lang w:bidi="he-IL"/>
        </w:rPr>
        <w:t>’ēl rŏ’î</w:t>
      </w:r>
      <w:r w:rsidR="00E8271C">
        <w:rPr>
          <w:lang w:bidi="he-IL"/>
        </w:rPr>
        <w:t>. H</w:t>
      </w:r>
      <w:r w:rsidR="00E36E51">
        <w:rPr>
          <w:lang w:bidi="he-IL"/>
        </w:rPr>
        <w:t xml:space="preserve">e is </w:t>
      </w:r>
      <w:r w:rsidR="003D56BA">
        <w:rPr>
          <w:lang w:bidi="he-IL"/>
        </w:rPr>
        <w:t>“</w:t>
      </w:r>
      <w:r w:rsidR="00E36E51">
        <w:rPr>
          <w:lang w:bidi="he-IL"/>
        </w:rPr>
        <w:t xml:space="preserve">God of </w:t>
      </w:r>
      <w:r w:rsidR="001C3DC3">
        <w:rPr>
          <w:lang w:bidi="he-IL"/>
        </w:rPr>
        <w:t>seeing</w:t>
      </w:r>
      <w:r w:rsidR="00E36E51">
        <w:rPr>
          <w:lang w:bidi="he-IL"/>
        </w:rPr>
        <w:t>/sight</w:t>
      </w:r>
      <w:r w:rsidR="001C3DC3">
        <w:rPr>
          <w:lang w:bidi="he-IL"/>
        </w:rPr>
        <w:t>,</w:t>
      </w:r>
      <w:r w:rsidR="003D56BA">
        <w:rPr>
          <w:lang w:bidi="he-IL"/>
        </w:rPr>
        <w:t>”</w:t>
      </w:r>
      <w:r w:rsidR="001C3DC3">
        <w:rPr>
          <w:lang w:bidi="he-IL"/>
        </w:rPr>
        <w:t xml:space="preserve"> which nic</w:t>
      </w:r>
      <w:r w:rsidR="00E36E51">
        <w:rPr>
          <w:lang w:bidi="he-IL"/>
        </w:rPr>
        <w:t xml:space="preserve">ely covers both </w:t>
      </w:r>
      <w:r w:rsidR="003D56BA">
        <w:rPr>
          <w:lang w:bidi="he-IL"/>
        </w:rPr>
        <w:t>“</w:t>
      </w:r>
      <w:r w:rsidR="00E36E51">
        <w:rPr>
          <w:lang w:bidi="he-IL"/>
        </w:rPr>
        <w:t>God who sees</w:t>
      </w:r>
      <w:r w:rsidR="003D56BA">
        <w:rPr>
          <w:lang w:bidi="he-IL"/>
        </w:rPr>
        <w:t>”</w:t>
      </w:r>
      <w:r w:rsidR="001C3DC3">
        <w:rPr>
          <w:lang w:bidi="he-IL"/>
        </w:rPr>
        <w:t xml:space="preserve"> and </w:t>
      </w:r>
      <w:r w:rsidR="003D56BA">
        <w:rPr>
          <w:lang w:bidi="he-IL"/>
        </w:rPr>
        <w:t>“</w:t>
      </w:r>
      <w:r w:rsidR="001C3DC3">
        <w:rPr>
          <w:lang w:bidi="he-IL"/>
        </w:rPr>
        <w:t>God whom I see.</w:t>
      </w:r>
      <w:r w:rsidR="003D56BA">
        <w:rPr>
          <w:lang w:bidi="he-IL"/>
        </w:rPr>
        <w:t>”</w:t>
      </w:r>
      <w:r w:rsidR="001C3DC3">
        <w:rPr>
          <w:lang w:bidi="he-IL"/>
        </w:rPr>
        <w:t xml:space="preserve"> </w:t>
      </w:r>
      <w:r w:rsidR="00BE7527">
        <w:rPr>
          <w:lang w:bidi="he-IL"/>
        </w:rPr>
        <w:t>He had spoken of hearing—hearing her ill-treatment at the hands of Sarah</w:t>
      </w:r>
      <w:r w:rsidR="005371D5">
        <w:rPr>
          <w:lang w:bidi="he-IL"/>
        </w:rPr>
        <w:t>, the truth expressed in Ishmael’s name</w:t>
      </w:r>
      <w:r w:rsidR="00BE7527">
        <w:rPr>
          <w:lang w:bidi="he-IL"/>
        </w:rPr>
        <w:t>. She speaks of his seeing—seeing</w:t>
      </w:r>
      <w:r w:rsidR="004E3E4E">
        <w:rPr>
          <w:lang w:bidi="he-IL"/>
        </w:rPr>
        <w:t xml:space="preserve"> her on the run. She </w:t>
      </w:r>
      <w:r w:rsidR="00674C30">
        <w:rPr>
          <w:lang w:bidi="he-IL"/>
        </w:rPr>
        <w:t>knows</w:t>
      </w:r>
      <w:r w:rsidR="00BE7527">
        <w:rPr>
          <w:lang w:bidi="he-IL"/>
        </w:rPr>
        <w:t xml:space="preserve"> that seeing Yahweh’s envoy is more or less the same as seeing God, though without the danger. He</w:t>
      </w:r>
      <w:r w:rsidR="00674C30">
        <w:rPr>
          <w:lang w:bidi="he-IL"/>
        </w:rPr>
        <w:t xml:space="preserve"> has seen her; she has seen him. The movement between talk of the envoy and of Yahweh himself will recur in 31:11-14. </w:t>
      </w:r>
    </w:p>
    <w:p w14:paraId="226C517A" w14:textId="237FC457" w:rsidR="00BE7527" w:rsidRDefault="007C2149" w:rsidP="00B00B84">
      <w:pPr>
        <w:pStyle w:val="ListParagraph"/>
        <w:ind w:left="0" w:firstLine="720"/>
        <w:rPr>
          <w:lang w:bidi="he-IL"/>
        </w:rPr>
      </w:pPr>
      <w:r>
        <w:rPr>
          <w:lang w:bidi="he-IL"/>
        </w:rPr>
        <w:t>T</w:t>
      </w:r>
      <w:r w:rsidR="00BE7527">
        <w:rPr>
          <w:lang w:bidi="he-IL"/>
        </w:rPr>
        <w:t xml:space="preserve">he well </w:t>
      </w:r>
      <w:r>
        <w:rPr>
          <w:lang w:bidi="he-IL"/>
        </w:rPr>
        <w:t xml:space="preserve">also </w:t>
      </w:r>
      <w:r w:rsidR="00BE7527">
        <w:rPr>
          <w:lang w:bidi="he-IL"/>
        </w:rPr>
        <w:t>gained its name from what happened there (v. 14)—or at least, the name reminded people of this story. Again, some of the people liste</w:t>
      </w:r>
      <w:r w:rsidR="008708AA">
        <w:rPr>
          <w:lang w:bidi="he-IL"/>
        </w:rPr>
        <w:t>ning to the story</w:t>
      </w:r>
      <w:r w:rsidR="005371D5">
        <w:rPr>
          <w:lang w:bidi="he-IL"/>
        </w:rPr>
        <w:t xml:space="preserve"> would know the well</w:t>
      </w:r>
      <w:r w:rsidR="005A2BA3">
        <w:rPr>
          <w:lang w:bidi="he-IL"/>
        </w:rPr>
        <w:t>. At that well Go</w:t>
      </w:r>
      <w:r w:rsidR="004E3E4E">
        <w:rPr>
          <w:lang w:bidi="he-IL"/>
        </w:rPr>
        <w:t xml:space="preserve">d had made himself known as </w:t>
      </w:r>
      <w:r w:rsidR="003D56BA">
        <w:rPr>
          <w:lang w:bidi="he-IL"/>
        </w:rPr>
        <w:t>“</w:t>
      </w:r>
      <w:r w:rsidR="00C011A3" w:rsidRPr="00C011A3">
        <w:rPr>
          <w:lang w:bidi="he-IL"/>
        </w:rPr>
        <w:t>The-one-who-sees-me-lives</w:t>
      </w:r>
      <w:r w:rsidR="005371D5">
        <w:rPr>
          <w:lang w:bidi="he-IL"/>
        </w:rPr>
        <w:t xml:space="preserve">” or “the one who lives sees me,” as </w:t>
      </w:r>
      <w:r w:rsidR="005A2BA3">
        <w:rPr>
          <w:lang w:bidi="he-IL"/>
        </w:rPr>
        <w:t xml:space="preserve">he had made himself known </w:t>
      </w:r>
      <w:r w:rsidR="004E3E4E">
        <w:rPr>
          <w:lang w:bidi="he-IL"/>
        </w:rPr>
        <w:t xml:space="preserve">at Jerusalem </w:t>
      </w:r>
      <w:r w:rsidR="005A2BA3">
        <w:rPr>
          <w:lang w:bidi="he-IL"/>
        </w:rPr>
        <w:t xml:space="preserve">as God </w:t>
      </w:r>
      <w:proofErr w:type="gramStart"/>
      <w:r w:rsidR="005A2BA3">
        <w:rPr>
          <w:lang w:bidi="he-IL"/>
        </w:rPr>
        <w:t>On</w:t>
      </w:r>
      <w:proofErr w:type="gramEnd"/>
      <w:r w:rsidR="005A2BA3">
        <w:rPr>
          <w:lang w:bidi="he-IL"/>
        </w:rPr>
        <w:t xml:space="preserve"> High. So </w:t>
      </w:r>
      <w:r w:rsidR="00C011A3">
        <w:rPr>
          <w:lang w:bidi="he-IL"/>
        </w:rPr>
        <w:t>they would call on God by that</w:t>
      </w:r>
      <w:r w:rsidR="005A2BA3">
        <w:rPr>
          <w:lang w:bidi="he-IL"/>
        </w:rPr>
        <w:t xml:space="preserve"> name</w:t>
      </w:r>
      <w:r w:rsidR="004E3E4E">
        <w:rPr>
          <w:lang w:bidi="he-IL"/>
        </w:rPr>
        <w:t xml:space="preserve"> </w:t>
      </w:r>
      <w:r w:rsidR="004E3E4E" w:rsidRPr="004E3E4E">
        <w:rPr>
          <w:lang w:bidi="he-IL"/>
        </w:rPr>
        <w:t>at this well</w:t>
      </w:r>
      <w:r w:rsidR="00E8271C">
        <w:rPr>
          <w:lang w:bidi="he-IL"/>
        </w:rPr>
        <w:t>.</w:t>
      </w:r>
      <w:r w:rsidR="008708AA">
        <w:rPr>
          <w:lang w:bidi="he-IL"/>
        </w:rPr>
        <w:t xml:space="preserve"> </w:t>
      </w:r>
      <w:r w:rsidR="001154C8">
        <w:rPr>
          <w:lang w:bidi="he-IL"/>
        </w:rPr>
        <w:t>Its location near Qadesh (cf. 14:7) is on the</w:t>
      </w:r>
      <w:r w:rsidR="00A10D11">
        <w:rPr>
          <w:lang w:bidi="he-IL"/>
        </w:rPr>
        <w:t xml:space="preserve"> way from Mamre</w:t>
      </w:r>
      <w:r w:rsidR="004E3E4E">
        <w:rPr>
          <w:lang w:bidi="he-IL"/>
        </w:rPr>
        <w:t xml:space="preserve"> to Shur, though </w:t>
      </w:r>
      <w:r w:rsidR="001154C8">
        <w:rPr>
          <w:lang w:bidi="he-IL"/>
        </w:rPr>
        <w:t>we don’t know where Bered is.</w:t>
      </w:r>
    </w:p>
    <w:p w14:paraId="307E7490" w14:textId="63F40968" w:rsidR="00921816" w:rsidRPr="001154C8" w:rsidRDefault="001154C8" w:rsidP="00B00B84">
      <w:pPr>
        <w:pStyle w:val="ListParagraph"/>
        <w:ind w:left="0" w:firstLine="720"/>
        <w:rPr>
          <w:lang w:bidi="he-IL"/>
        </w:rPr>
      </w:pPr>
      <w:r>
        <w:rPr>
          <w:b/>
          <w:lang w:bidi="he-IL"/>
        </w:rPr>
        <w:t>16:15-16</w:t>
      </w:r>
      <w:r>
        <w:rPr>
          <w:lang w:bidi="he-IL"/>
        </w:rPr>
        <w:t xml:space="preserve">. </w:t>
      </w:r>
      <w:r w:rsidR="00D61710" w:rsidRPr="00D61710">
        <w:rPr>
          <w:lang w:bidi="he-IL"/>
        </w:rPr>
        <w:t>Presumably</w:t>
      </w:r>
      <w:r w:rsidR="00D61710">
        <w:rPr>
          <w:b/>
          <w:lang w:bidi="he-IL"/>
        </w:rPr>
        <w:t xml:space="preserve"> </w:t>
      </w:r>
      <w:r w:rsidR="00D61710">
        <w:rPr>
          <w:lang w:bidi="he-IL"/>
        </w:rPr>
        <w:t>the story assumes that Hagar does</w:t>
      </w:r>
      <w:r w:rsidR="004E3E4E">
        <w:rPr>
          <w:lang w:bidi="he-IL"/>
        </w:rPr>
        <w:t xml:space="preserve"> as the envoy says, but it doesn’</w:t>
      </w:r>
      <w:r w:rsidR="00D61710">
        <w:rPr>
          <w:lang w:bidi="he-IL"/>
        </w:rPr>
        <w:t xml:space="preserve">t say so, and specifically </w:t>
      </w:r>
      <w:r w:rsidR="004E3E4E">
        <w:rPr>
          <w:lang w:bidi="he-IL"/>
        </w:rPr>
        <w:t>it doesn’</w:t>
      </w:r>
      <w:r w:rsidR="00C011A3">
        <w:rPr>
          <w:lang w:bidi="he-IL"/>
        </w:rPr>
        <w:t>t say that she</w:t>
      </w:r>
      <w:r w:rsidR="00D61710">
        <w:rPr>
          <w:lang w:bidi="he-IL"/>
        </w:rPr>
        <w:t xml:space="preserve"> return</w:t>
      </w:r>
      <w:r w:rsidR="00C011A3">
        <w:rPr>
          <w:lang w:bidi="he-IL"/>
        </w:rPr>
        <w:t>s</w:t>
      </w:r>
      <w:r w:rsidR="00D61710">
        <w:rPr>
          <w:lang w:bidi="he-IL"/>
        </w:rPr>
        <w:t xml:space="preserve"> to Sarah</w:t>
      </w:r>
      <w:r w:rsidR="00D61710" w:rsidRPr="00D61710">
        <w:rPr>
          <w:lang w:bidi="he-IL"/>
        </w:rPr>
        <w:t xml:space="preserve">. If anything, she returns to Abraham. </w:t>
      </w:r>
      <w:r w:rsidR="00D61710">
        <w:rPr>
          <w:lang w:bidi="he-IL"/>
        </w:rPr>
        <w:t>She</w:t>
      </w:r>
      <w:r w:rsidR="004E3E4E">
        <w:rPr>
          <w:lang w:bidi="he-IL"/>
        </w:rPr>
        <w:t xml:space="preserve"> has her</w:t>
      </w:r>
      <w:r>
        <w:rPr>
          <w:lang w:bidi="he-IL"/>
        </w:rPr>
        <w:t xml:space="preserve"> son, and Abraham names him in accordance with what the envoy said to her</w:t>
      </w:r>
      <w:r w:rsidR="008B776A">
        <w:rPr>
          <w:lang w:bidi="he-IL"/>
        </w:rPr>
        <w:t xml:space="preserve"> and</w:t>
      </w:r>
      <w:r w:rsidR="004E3E4E">
        <w:rPr>
          <w:lang w:bidi="he-IL"/>
        </w:rPr>
        <w:t xml:space="preserve"> the fact that she has borne his child</w:t>
      </w:r>
      <w:r w:rsidR="00A1768C">
        <w:rPr>
          <w:lang w:bidi="he-IL"/>
        </w:rPr>
        <w:t>.</w:t>
      </w:r>
      <w:r w:rsidR="005371D5">
        <w:rPr>
          <w:lang w:bidi="he-IL"/>
        </w:rPr>
        <w:t xml:space="preserve"> While one </w:t>
      </w:r>
      <w:r w:rsidR="00C011A3">
        <w:rPr>
          <w:lang w:bidi="he-IL"/>
        </w:rPr>
        <w:t>might have lik</w:t>
      </w:r>
      <w:r w:rsidR="007C2149">
        <w:rPr>
          <w:lang w:bidi="he-IL"/>
        </w:rPr>
        <w:t xml:space="preserve">ed the story to end with Hagar’s naming the child (mothers </w:t>
      </w:r>
      <w:r w:rsidR="007C2149">
        <w:rPr>
          <w:lang w:bidi="he-IL"/>
        </w:rPr>
        <w:lastRenderedPageBreak/>
        <w:t>and/or fathers can name children in the First Testament), Abraham’s naming him confirms his recognition and acceptance of the child and the child’s clear place at the center of the family. On the other hand, Sar</w:t>
      </w:r>
      <w:r w:rsidR="008B776A">
        <w:rPr>
          <w:lang w:bidi="he-IL"/>
        </w:rPr>
        <w:t>ah’s not naming him and the omission</w:t>
      </w:r>
      <w:r w:rsidR="007C2149">
        <w:rPr>
          <w:lang w:bidi="he-IL"/>
        </w:rPr>
        <w:t xml:space="preserve"> of any reference to her at the close of the story, though she</w:t>
      </w:r>
      <w:r w:rsidR="008B776A">
        <w:rPr>
          <w:lang w:bidi="he-IL"/>
        </w:rPr>
        <w:t xml:space="preserve"> had been </w:t>
      </w:r>
      <w:r w:rsidR="007C2149">
        <w:rPr>
          <w:lang w:bidi="he-IL"/>
        </w:rPr>
        <w:t>the one who set going the process whereby he was born</w:t>
      </w:r>
      <w:r w:rsidR="008B776A">
        <w:rPr>
          <w:lang w:bidi="he-IL"/>
        </w:rPr>
        <w:t>,</w:t>
      </w:r>
      <w:r w:rsidR="007C2149">
        <w:rPr>
          <w:lang w:bidi="he-IL"/>
        </w:rPr>
        <w:t xml:space="preserve"> implies that her hope that through him she might build h</w:t>
      </w:r>
      <w:r w:rsidR="005371D5">
        <w:rPr>
          <w:lang w:bidi="he-IL"/>
        </w:rPr>
        <w:t>erself up has not been realized.</w:t>
      </w:r>
      <w:r w:rsidR="007C2149">
        <w:rPr>
          <w:rStyle w:val="FootnoteReference"/>
          <w:lang w:bidi="he-IL"/>
        </w:rPr>
        <w:footnoteReference w:id="291"/>
      </w:r>
      <w:r w:rsidR="007C2149">
        <w:rPr>
          <w:lang w:bidi="he-IL"/>
        </w:rPr>
        <w:t xml:space="preserve"> </w:t>
      </w:r>
      <w:r w:rsidR="005371D5">
        <w:rPr>
          <w:lang w:bidi="he-IL"/>
        </w:rPr>
        <w:t xml:space="preserve">It is </w:t>
      </w:r>
      <w:r w:rsidR="007C2149">
        <w:rPr>
          <w:lang w:bidi="he-IL"/>
        </w:rPr>
        <w:t xml:space="preserve">Abraham </w:t>
      </w:r>
      <w:r w:rsidR="005371D5">
        <w:rPr>
          <w:lang w:bidi="he-IL"/>
        </w:rPr>
        <w:t xml:space="preserve">who </w:t>
      </w:r>
      <w:r w:rsidR="008B776A">
        <w:rPr>
          <w:lang w:bidi="he-IL"/>
        </w:rPr>
        <w:t>gets built up</w:t>
      </w:r>
      <w:r w:rsidR="00C011A3">
        <w:rPr>
          <w:lang w:bidi="he-IL"/>
        </w:rPr>
        <w:t xml:space="preserve"> (he</w:t>
      </w:r>
      <w:r w:rsidR="00C011A3" w:rsidRPr="00C011A3">
        <w:rPr>
          <w:lang w:bidi="he-IL"/>
        </w:rPr>
        <w:t xml:space="preserve"> is maybe 45 or 50 in our terms</w:t>
      </w:r>
      <w:r w:rsidR="00C011A3">
        <w:rPr>
          <w:lang w:bidi="he-IL"/>
        </w:rPr>
        <w:t>)</w:t>
      </w:r>
      <w:r w:rsidR="004E3E4E">
        <w:rPr>
          <w:lang w:bidi="he-IL"/>
        </w:rPr>
        <w:t>, and so does Hagar</w:t>
      </w:r>
      <w:r w:rsidR="008B776A">
        <w:rPr>
          <w:lang w:bidi="he-IL"/>
        </w:rPr>
        <w:t>.</w:t>
      </w:r>
      <w:r w:rsidR="0013052D">
        <w:rPr>
          <w:lang w:bidi="he-IL"/>
        </w:rPr>
        <w:t xml:space="preserve"> So</w:t>
      </w:r>
      <w:r w:rsidR="00C011A3">
        <w:rPr>
          <w:lang w:bidi="he-IL"/>
        </w:rPr>
        <w:t xml:space="preserve"> t</w:t>
      </w:r>
      <w:r w:rsidR="0013052D">
        <w:rPr>
          <w:lang w:bidi="he-IL"/>
        </w:rPr>
        <w:t>he story doesn’</w:t>
      </w:r>
      <w:r w:rsidR="004E3E4E">
        <w:rPr>
          <w:lang w:bidi="he-IL"/>
        </w:rPr>
        <w:t>t</w:t>
      </w:r>
      <w:r w:rsidR="00456C3A">
        <w:rPr>
          <w:lang w:bidi="he-IL"/>
        </w:rPr>
        <w:t xml:space="preserve"> resolve the</w:t>
      </w:r>
      <w:r w:rsidR="0013052D">
        <w:rPr>
          <w:lang w:bidi="he-IL"/>
        </w:rPr>
        <w:t xml:space="preserve"> tension from which it started; i</w:t>
      </w:r>
      <w:r w:rsidR="004E3E4E">
        <w:rPr>
          <w:lang w:bidi="he-IL"/>
        </w:rPr>
        <w:t>t</w:t>
      </w:r>
      <w:r w:rsidR="00456C3A">
        <w:rPr>
          <w:lang w:bidi="he-IL"/>
        </w:rPr>
        <w:t xml:space="preserve"> drop</w:t>
      </w:r>
      <w:r w:rsidR="004E3E4E">
        <w:rPr>
          <w:lang w:bidi="he-IL"/>
        </w:rPr>
        <w:t>s the tension for new motifs,</w:t>
      </w:r>
      <w:r w:rsidR="00456C3A">
        <w:rPr>
          <w:rStyle w:val="FootnoteReference"/>
          <w:lang w:bidi="he-IL"/>
        </w:rPr>
        <w:footnoteReference w:id="292"/>
      </w:r>
      <w:r w:rsidR="004E3E4E">
        <w:rPr>
          <w:lang w:bidi="he-IL"/>
        </w:rPr>
        <w:t xml:space="preserve"> as</w:t>
      </w:r>
      <w:r w:rsidR="00456C3A">
        <w:rPr>
          <w:lang w:bidi="he-IL"/>
        </w:rPr>
        <w:t xml:space="preserve"> </w:t>
      </w:r>
      <w:r w:rsidR="00C011A3">
        <w:rPr>
          <w:lang w:bidi="he-IL"/>
        </w:rPr>
        <w:t xml:space="preserve">sometimes </w:t>
      </w:r>
      <w:r w:rsidR="00456C3A">
        <w:rPr>
          <w:lang w:bidi="he-IL"/>
        </w:rPr>
        <w:t>happens to family conflicts.</w:t>
      </w:r>
      <w:r w:rsidR="00C011A3">
        <w:rPr>
          <w:lang w:bidi="he-IL"/>
        </w:rPr>
        <w:t xml:space="preserve"> In other respects t</w:t>
      </w:r>
      <w:r w:rsidR="00921816">
        <w:rPr>
          <w:lang w:bidi="he-IL"/>
        </w:rPr>
        <w:t>he story comes to a hap</w:t>
      </w:r>
      <w:r w:rsidR="00C011A3">
        <w:rPr>
          <w:lang w:bidi="he-IL"/>
        </w:rPr>
        <w:t xml:space="preserve">py end with God’s promise </w:t>
      </w:r>
      <w:r w:rsidR="00921816">
        <w:rPr>
          <w:lang w:bidi="he-IL"/>
        </w:rPr>
        <w:t>fulfilled and no rebuke on God’s part.</w:t>
      </w:r>
    </w:p>
    <w:p w14:paraId="7E4A7779" w14:textId="33C8AD0A" w:rsidR="00AD62DB" w:rsidRDefault="0013052D" w:rsidP="00AD62DB">
      <w:pPr>
        <w:pStyle w:val="Heading2"/>
        <w:rPr>
          <w:lang w:bidi="he-IL"/>
        </w:rPr>
      </w:pPr>
      <w:r>
        <w:rPr>
          <w:lang w:bidi="he-IL"/>
        </w:rPr>
        <w:t>Hagar</w:t>
      </w:r>
      <w:r w:rsidR="00214784">
        <w:rPr>
          <w:lang w:bidi="he-IL"/>
        </w:rPr>
        <w:t xml:space="preserve"> and Ishmael</w:t>
      </w:r>
    </w:p>
    <w:p w14:paraId="30787D9A" w14:textId="77777777" w:rsidR="00214784" w:rsidRPr="0013052D" w:rsidRDefault="00214784" w:rsidP="00214784">
      <w:r>
        <w:rPr>
          <w:rFonts w:cs="Courier New"/>
        </w:rPr>
        <w:t>Genesis 12—22 can be plausibly read concentrically:</w:t>
      </w:r>
      <w:r>
        <w:rPr>
          <w:rStyle w:val="FootnoteReference"/>
          <w:rFonts w:cs="Courier New"/>
        </w:rPr>
        <w:footnoteReference w:id="293"/>
      </w:r>
    </w:p>
    <w:p w14:paraId="197752D1" w14:textId="77777777" w:rsidR="00214784" w:rsidRPr="00953BE1" w:rsidRDefault="00214784" w:rsidP="00214784">
      <w:pPr>
        <w:pStyle w:val="PlainText"/>
        <w:rPr>
          <w:rFonts w:cs="Courier New"/>
        </w:rPr>
      </w:pPr>
    </w:p>
    <w:p w14:paraId="11B0D58C" w14:textId="77777777" w:rsidR="00214784" w:rsidRPr="00953BE1" w:rsidRDefault="00214784" w:rsidP="00214784">
      <w:pPr>
        <w:pStyle w:val="BodyTextIndent"/>
        <w:rPr>
          <w:rFonts w:asciiTheme="minorHAnsi" w:hAnsiTheme="minorHAnsi"/>
        </w:rPr>
      </w:pPr>
      <w:r w:rsidRPr="00953BE1">
        <w:rPr>
          <w:rFonts w:asciiTheme="minorHAnsi" w:hAnsiTheme="minorHAnsi"/>
        </w:rPr>
        <w:t xml:space="preserve">12a </w:t>
      </w:r>
      <w:r w:rsidRPr="00953BE1">
        <w:rPr>
          <w:rFonts w:asciiTheme="minorHAnsi" w:hAnsiTheme="minorHAnsi"/>
        </w:rPr>
        <w:tab/>
      </w:r>
      <w:proofErr w:type="gramStart"/>
      <w:r w:rsidRPr="00953BE1">
        <w:rPr>
          <w:rFonts w:asciiTheme="minorHAnsi" w:hAnsiTheme="minorHAnsi"/>
        </w:rPr>
        <w:t>The</w:t>
      </w:r>
      <w:proofErr w:type="gramEnd"/>
      <w:r w:rsidRPr="00953BE1">
        <w:rPr>
          <w:rFonts w:asciiTheme="minorHAnsi" w:hAnsiTheme="minorHAnsi"/>
        </w:rPr>
        <w:t xml:space="preserve"> call; blessing promised  </w:t>
      </w:r>
    </w:p>
    <w:p w14:paraId="47FD297C" w14:textId="77777777" w:rsidR="00214784" w:rsidRPr="00953BE1" w:rsidRDefault="00214784" w:rsidP="00214784">
      <w:pPr>
        <w:pStyle w:val="BodyTextIndent"/>
        <w:ind w:firstLine="720"/>
        <w:rPr>
          <w:rFonts w:asciiTheme="minorHAnsi" w:hAnsiTheme="minorHAnsi"/>
        </w:rPr>
      </w:pPr>
      <w:r w:rsidRPr="00953BE1">
        <w:rPr>
          <w:rFonts w:asciiTheme="minorHAnsi" w:hAnsiTheme="minorHAnsi"/>
        </w:rPr>
        <w:t xml:space="preserve">12b Abram in a foreign land; wife-sister motif  </w:t>
      </w:r>
    </w:p>
    <w:p w14:paraId="562D5AC7" w14:textId="77777777" w:rsidR="00214784" w:rsidRPr="00953BE1" w:rsidRDefault="00214784" w:rsidP="00214784">
      <w:pPr>
        <w:pStyle w:val="BodyTextIndent"/>
        <w:ind w:left="1440" w:firstLine="720"/>
        <w:rPr>
          <w:rFonts w:asciiTheme="minorHAnsi" w:hAnsiTheme="minorHAnsi"/>
        </w:rPr>
      </w:pPr>
      <w:r w:rsidRPr="00953BE1">
        <w:rPr>
          <w:rFonts w:asciiTheme="minorHAnsi" w:hAnsiTheme="minorHAnsi"/>
        </w:rPr>
        <w:t xml:space="preserve">13-14 </w:t>
      </w:r>
      <w:r w:rsidRPr="00953BE1">
        <w:rPr>
          <w:rFonts w:asciiTheme="minorHAnsi" w:hAnsiTheme="minorHAnsi"/>
        </w:rPr>
        <w:tab/>
        <w:t xml:space="preserve">Lot in danger; Sodom  </w:t>
      </w:r>
    </w:p>
    <w:p w14:paraId="2500713E" w14:textId="77777777" w:rsidR="00214784" w:rsidRPr="00953BE1" w:rsidRDefault="00214784" w:rsidP="00214784">
      <w:pPr>
        <w:pStyle w:val="BodyTextIndent"/>
        <w:ind w:left="2160" w:firstLine="720"/>
        <w:rPr>
          <w:rFonts w:asciiTheme="minorHAnsi" w:hAnsiTheme="minorHAnsi"/>
        </w:rPr>
      </w:pPr>
      <w:r w:rsidRPr="00953BE1">
        <w:rPr>
          <w:rFonts w:asciiTheme="minorHAnsi" w:hAnsiTheme="minorHAnsi"/>
        </w:rPr>
        <w:t xml:space="preserve">15    </w:t>
      </w:r>
      <w:r w:rsidRPr="00953BE1">
        <w:rPr>
          <w:rFonts w:asciiTheme="minorHAnsi" w:hAnsiTheme="minorHAnsi"/>
        </w:rPr>
        <w:tab/>
        <w:t>Covenant</w:t>
      </w:r>
    </w:p>
    <w:p w14:paraId="1D050F0C" w14:textId="77777777" w:rsidR="00214784" w:rsidRPr="00953BE1" w:rsidRDefault="00214784" w:rsidP="00214784">
      <w:pPr>
        <w:pStyle w:val="BodyTextIndent"/>
        <w:ind w:left="2880" w:firstLine="720"/>
        <w:rPr>
          <w:rFonts w:asciiTheme="minorHAnsi" w:hAnsiTheme="minorHAnsi"/>
        </w:rPr>
      </w:pPr>
      <w:r w:rsidRPr="00953BE1">
        <w:rPr>
          <w:rFonts w:asciiTheme="minorHAnsi" w:hAnsiTheme="minorHAnsi"/>
        </w:rPr>
        <w:t xml:space="preserve">16    </w:t>
      </w:r>
      <w:r w:rsidRPr="00953BE1">
        <w:rPr>
          <w:rFonts w:asciiTheme="minorHAnsi" w:hAnsiTheme="minorHAnsi"/>
        </w:rPr>
        <w:tab/>
        <w:t>Hagar and Ishmael</w:t>
      </w:r>
    </w:p>
    <w:p w14:paraId="661F09B0" w14:textId="77777777" w:rsidR="00214784" w:rsidRPr="00953BE1" w:rsidRDefault="00214784" w:rsidP="00214784">
      <w:pPr>
        <w:pStyle w:val="BodyTextIndent"/>
        <w:ind w:left="2160" w:firstLine="720"/>
        <w:rPr>
          <w:rFonts w:asciiTheme="minorHAnsi" w:hAnsiTheme="minorHAnsi"/>
        </w:rPr>
      </w:pPr>
      <w:r w:rsidRPr="00953BE1">
        <w:rPr>
          <w:rFonts w:asciiTheme="minorHAnsi" w:hAnsiTheme="minorHAnsi"/>
        </w:rPr>
        <w:t xml:space="preserve">17    </w:t>
      </w:r>
      <w:r w:rsidRPr="00953BE1">
        <w:rPr>
          <w:rFonts w:asciiTheme="minorHAnsi" w:hAnsiTheme="minorHAnsi"/>
        </w:rPr>
        <w:tab/>
        <w:t xml:space="preserve">Covenant   </w:t>
      </w:r>
    </w:p>
    <w:p w14:paraId="4FC385F8" w14:textId="77777777" w:rsidR="00214784" w:rsidRPr="00953BE1" w:rsidRDefault="00214784" w:rsidP="00214784">
      <w:pPr>
        <w:pStyle w:val="BodyTextIndent"/>
        <w:ind w:left="1440" w:firstLine="720"/>
        <w:rPr>
          <w:rFonts w:asciiTheme="minorHAnsi" w:hAnsiTheme="minorHAnsi"/>
        </w:rPr>
      </w:pPr>
      <w:r w:rsidRPr="00953BE1">
        <w:rPr>
          <w:rFonts w:asciiTheme="minorHAnsi" w:hAnsiTheme="minorHAnsi"/>
        </w:rPr>
        <w:t xml:space="preserve">18-19 </w:t>
      </w:r>
      <w:r w:rsidRPr="00953BE1">
        <w:rPr>
          <w:rFonts w:asciiTheme="minorHAnsi" w:hAnsiTheme="minorHAnsi"/>
        </w:rPr>
        <w:tab/>
        <w:t>Lot in danger; Sodom</w:t>
      </w:r>
    </w:p>
    <w:p w14:paraId="1AF75D8D" w14:textId="77777777" w:rsidR="00214784" w:rsidRPr="00953BE1" w:rsidRDefault="00214784" w:rsidP="00214784">
      <w:pPr>
        <w:pStyle w:val="BodyTextIndent"/>
        <w:ind w:firstLine="720"/>
        <w:rPr>
          <w:rFonts w:asciiTheme="minorHAnsi" w:hAnsiTheme="minorHAnsi"/>
        </w:rPr>
      </w:pPr>
      <w:r w:rsidRPr="00953BE1">
        <w:rPr>
          <w:rFonts w:asciiTheme="minorHAnsi" w:hAnsiTheme="minorHAnsi"/>
        </w:rPr>
        <w:t>20   Abraham in a foreign land; wife-sister motif</w:t>
      </w:r>
    </w:p>
    <w:p w14:paraId="1ECCB7A0" w14:textId="77777777" w:rsidR="00214784" w:rsidRPr="00953BE1" w:rsidRDefault="00214784" w:rsidP="00214784">
      <w:pPr>
        <w:pStyle w:val="BodyTextIndent"/>
        <w:ind w:left="2880" w:firstLine="720"/>
        <w:rPr>
          <w:rFonts w:asciiTheme="minorHAnsi" w:hAnsiTheme="minorHAnsi"/>
        </w:rPr>
      </w:pPr>
      <w:r w:rsidRPr="00953BE1">
        <w:rPr>
          <w:rFonts w:asciiTheme="minorHAnsi" w:hAnsiTheme="minorHAnsi"/>
        </w:rPr>
        <w:t xml:space="preserve">21  </w:t>
      </w:r>
      <w:r w:rsidRPr="00953BE1">
        <w:rPr>
          <w:rFonts w:asciiTheme="minorHAnsi" w:hAnsiTheme="minorHAnsi"/>
        </w:rPr>
        <w:tab/>
        <w:t>Hagar and Ishmael</w:t>
      </w:r>
    </w:p>
    <w:p w14:paraId="2EAD40F4" w14:textId="77777777" w:rsidR="00214784" w:rsidRDefault="00214784" w:rsidP="00214784">
      <w:pPr>
        <w:pStyle w:val="BodyTextIndent"/>
        <w:rPr>
          <w:rFonts w:asciiTheme="minorHAnsi" w:hAnsiTheme="minorHAnsi"/>
        </w:rPr>
      </w:pPr>
      <w:r w:rsidRPr="00953BE1">
        <w:rPr>
          <w:rFonts w:asciiTheme="minorHAnsi" w:hAnsiTheme="minorHAnsi"/>
        </w:rPr>
        <w:t xml:space="preserve">22  </w:t>
      </w:r>
      <w:r w:rsidRPr="00953BE1">
        <w:rPr>
          <w:rFonts w:asciiTheme="minorHAnsi" w:hAnsiTheme="minorHAnsi"/>
        </w:rPr>
        <w:tab/>
        <w:t xml:space="preserve">The call; blessing confirmed   </w:t>
      </w:r>
    </w:p>
    <w:p w14:paraId="47A1A396" w14:textId="77777777" w:rsidR="00214784" w:rsidRDefault="00214784" w:rsidP="00214784">
      <w:pPr>
        <w:pStyle w:val="BodyTextIndent"/>
        <w:rPr>
          <w:rFonts w:asciiTheme="minorHAnsi" w:hAnsiTheme="minorHAnsi"/>
        </w:rPr>
      </w:pPr>
    </w:p>
    <w:p w14:paraId="1F0D8E41" w14:textId="77777777" w:rsidR="00214784" w:rsidRDefault="00214784" w:rsidP="00214784">
      <w:pPr>
        <w:rPr>
          <w:lang w:bidi="he-IL"/>
        </w:rPr>
      </w:pPr>
      <w:r>
        <w:rPr>
          <w:rFonts w:cs="Courier New"/>
        </w:rPr>
        <w:t>It is then a feature of the palistrophe that Hagar and Ishmael come at its center, and disturb it again before it comes to an end.</w:t>
      </w:r>
      <w:r>
        <w:rPr>
          <w:rStyle w:val="FootnoteReference"/>
          <w:rFonts w:cs="Courier New"/>
        </w:rPr>
        <w:footnoteReference w:id="294"/>
      </w:r>
      <w:r>
        <w:rPr>
          <w:rFonts w:cs="Courier New"/>
        </w:rPr>
        <w:t xml:space="preserve"> </w:t>
      </w:r>
      <w:r>
        <w:rPr>
          <w:lang w:bidi="he-IL"/>
        </w:rPr>
        <w:t xml:space="preserve">The story illustrates how “God has not </w:t>
      </w:r>
      <w:r w:rsidRPr="00A7735F">
        <w:rPr>
          <w:lang w:bidi="he-IL"/>
        </w:rPr>
        <w:t xml:space="preserve">exclusively </w:t>
      </w:r>
      <w:r>
        <w:rPr>
          <w:lang w:bidi="he-IL"/>
        </w:rPr>
        <w:t xml:space="preserve">committed </w:t>
      </w:r>
      <w:r w:rsidRPr="00A7735F">
        <w:t>himself to Abraham-Sarah. God’s concern is not confined to the elect line. There is passion and concern for the troubled ones who stand outside that line.</w:t>
      </w:r>
      <w:r>
        <w:t>”</w:t>
      </w:r>
      <w:r>
        <w:rPr>
          <w:rStyle w:val="FootnoteReference"/>
        </w:rPr>
        <w:footnoteReference w:id="295"/>
      </w:r>
      <w:r>
        <w:t xml:space="preserve"> Yahweh listens to the humbling of Hagar as he will listen to the humbling of the Israelites in Egypt. Yahweh sees her and makes himself known to her as the one who is looking after her as he will see the Israelites’ suffering under the Egyptians. He lets Hagar see him in the Sinai desert as he will let Moses see him in the Sinai desert. He is involved in the destiny of the Ishmaelites as he is involved in the destiny of the Israelites even though they have different places in the working out of his purpose. And humanity’s wild donkeys with their fierceness and aggressiveness are among the people made in his image. The question is only what they do with their fierceness and aggressiveness.</w:t>
      </w:r>
    </w:p>
    <w:p w14:paraId="3E4B5BF8" w14:textId="7D13117B" w:rsidR="0013052D" w:rsidRDefault="00214784" w:rsidP="00214784">
      <w:pPr>
        <w:rPr>
          <w:lang w:bidi="he-IL"/>
        </w:rPr>
      </w:pPr>
      <w:r>
        <w:rPr>
          <w:lang w:bidi="he-IL"/>
        </w:rPr>
        <w:t xml:space="preserve"> </w:t>
      </w:r>
      <w:r w:rsidR="0013052D">
        <w:rPr>
          <w:lang w:bidi="he-IL"/>
        </w:rPr>
        <w:t>“In the messenger’s greeting Hagar has met God in action, reaching the earth and beholding the human in her distress.” Abraham and Sarah may have acted in accordance with Middle Eastern law and custom, but God implicitly critiques it.</w:t>
      </w:r>
      <w:r w:rsidR="0013052D">
        <w:rPr>
          <w:rStyle w:val="FootnoteReference"/>
          <w:lang w:bidi="he-IL"/>
        </w:rPr>
        <w:footnoteReference w:id="296"/>
      </w:r>
      <w:r w:rsidR="0013052D">
        <w:rPr>
          <w:lang w:bidi="he-IL"/>
        </w:rPr>
        <w:t xml:space="preserve"> Luke 1 then reaches back to the Hagar story when it “narrates a </w:t>
      </w:r>
      <w:r w:rsidR="0013052D">
        <w:rPr>
          <w:lang w:bidi="he-IL"/>
        </w:rPr>
        <w:lastRenderedPageBreak/>
        <w:t xml:space="preserve">similar meeting with a messenger of God, which evokes the same reaction: ‘For he has regarded the low estate of his handmaiden.’” Further, God’s self-revelation here through his messenger suggests a way of understanding his self-revelation through Jesus. </w:t>
      </w:r>
      <w:r w:rsidR="0013052D" w:rsidRPr="00FB4C9D">
        <w:rPr>
          <w:lang w:bidi="he-IL"/>
        </w:rPr>
        <w:t>The person of the messenger of Yahweh, both divine and human, suggests a biblical (rather than Greek) starting point for thinking about the incarnation</w:t>
      </w:r>
      <w:r w:rsidR="0013052D">
        <w:rPr>
          <w:lang w:bidi="he-IL"/>
        </w:rPr>
        <w:t>.</w:t>
      </w:r>
      <w:r w:rsidR="0013052D">
        <w:rPr>
          <w:rStyle w:val="FootnoteReference"/>
          <w:lang w:bidi="he-IL"/>
        </w:rPr>
        <w:footnoteReference w:id="297"/>
      </w:r>
    </w:p>
    <w:p w14:paraId="0075D793" w14:textId="53F8AE3F" w:rsidR="00A978F7" w:rsidRDefault="00214784" w:rsidP="0013052D">
      <w:r>
        <w:t xml:space="preserve">But in a Western and post-colonial context it is important to note that </w:t>
      </w:r>
      <w:r w:rsidR="0046712F">
        <w:t>Hagar is an African woman.</w:t>
      </w:r>
      <w:r w:rsidR="0046712F">
        <w:rPr>
          <w:rStyle w:val="FootnoteReference"/>
        </w:rPr>
        <w:footnoteReference w:id="298"/>
      </w:r>
      <w:r w:rsidR="0046712F">
        <w:t xml:space="preserve"> </w:t>
      </w:r>
      <w:r w:rsidR="0013052D">
        <w:t xml:space="preserve">And </w:t>
      </w:r>
      <w:r w:rsidR="003D56BA">
        <w:t>“</w:t>
      </w:r>
      <w:r w:rsidR="0013052D">
        <w:t>f</w:t>
      </w:r>
      <w:r w:rsidR="00A978F7">
        <w:t>or more than a hundred years Hagar — the African slave of the Hebrew woman Sarah — has appeared in the deposits of African-American culture. Sculptors, writers, poets, scholars, preachers and just plain folks have passed along the biblical figure Hagar to generation after generation of black folks.</w:t>
      </w:r>
      <w:r w:rsidR="003D56BA">
        <w:t>”</w:t>
      </w:r>
      <w:r w:rsidR="00A978F7">
        <w:rPr>
          <w:rStyle w:val="FootnoteReference"/>
        </w:rPr>
        <w:footnoteReference w:id="299"/>
      </w:r>
      <w:r w:rsidR="00036B21">
        <w:t xml:space="preserve"> </w:t>
      </w:r>
      <w:r w:rsidR="0013052D">
        <w:rPr>
          <w:rFonts w:eastAsia="Times New Roman"/>
        </w:rPr>
        <w:t>Women who experience “</w:t>
      </w:r>
      <w:r w:rsidR="0013052D" w:rsidRPr="00DE693F">
        <w:rPr>
          <w:rFonts w:eastAsia="Times New Roman"/>
        </w:rPr>
        <w:t xml:space="preserve">slavery, poverty, ethnicity, sexual and economic exploitation, surrogacy, rape, domestic violence, homelessness, </w:t>
      </w:r>
      <w:proofErr w:type="gramStart"/>
      <w:r w:rsidR="0013052D" w:rsidRPr="00DE693F">
        <w:rPr>
          <w:rFonts w:eastAsia="Times New Roman"/>
        </w:rPr>
        <w:t>motherhood</w:t>
      </w:r>
      <w:proofErr w:type="gramEnd"/>
      <w:r w:rsidR="0013052D" w:rsidRPr="00DE693F">
        <w:rPr>
          <w:rFonts w:eastAsia="Times New Roman"/>
        </w:rPr>
        <w:t xml:space="preserve">, single-parenting </w:t>
      </w:r>
      <w:r w:rsidR="0013052D">
        <w:rPr>
          <w:rFonts w:eastAsia="Times New Roman"/>
        </w:rPr>
        <w:t>and radical encounters with God”</w:t>
      </w:r>
      <w:r w:rsidR="0013052D" w:rsidRPr="00DE693F">
        <w:rPr>
          <w:rFonts w:eastAsia="Times New Roman"/>
          <w:vertAlign w:val="superscript"/>
        </w:rPr>
        <w:footnoteReference w:id="300"/>
      </w:r>
      <w:r w:rsidR="0013052D">
        <w:rPr>
          <w:rFonts w:eastAsia="Times New Roman"/>
        </w:rPr>
        <w:t xml:space="preserve"> have been able to find themselves in Hagar’s story. The encounter with God is God’s encounter with her, and she is someone whom the story treats “with special honors.”</w:t>
      </w:r>
      <w:r w:rsidR="0013052D">
        <w:rPr>
          <w:rStyle w:val="FootnoteReference"/>
          <w:rFonts w:eastAsia="Times New Roman"/>
        </w:rPr>
        <w:footnoteReference w:id="301"/>
      </w:r>
      <w:r w:rsidR="0013052D">
        <w:rPr>
          <w:rFonts w:eastAsia="Times New Roman"/>
        </w:rPr>
        <w:t xml:space="preserve"> </w:t>
      </w:r>
      <w:r w:rsidR="00036B21">
        <w:t>In scholarly writing over recent decades, her story has become a dominant them in the study of Genesis 12—50.</w:t>
      </w:r>
      <w:r w:rsidR="000D2F32">
        <w:rPr>
          <w:rStyle w:val="FootnoteReference"/>
        </w:rPr>
        <w:footnoteReference w:id="302"/>
      </w:r>
      <w:r w:rsidR="00036B21">
        <w:t xml:space="preserve"> </w:t>
      </w:r>
    </w:p>
    <w:p w14:paraId="341CF6A7" w14:textId="51AD2722" w:rsidR="0013052D" w:rsidRDefault="00214784" w:rsidP="0013052D">
      <w:pPr>
        <w:rPr>
          <w:rStyle w:val="st"/>
        </w:rPr>
      </w:pPr>
      <w:r>
        <w:t xml:space="preserve">Appreciative and troubled readings of Hagar’s story overlap with appreciative and troubled readings of Paul’s Letter to Philemon. </w:t>
      </w:r>
      <w:r w:rsidR="0013052D">
        <w:rPr>
          <w:lang w:bidi="he-IL"/>
        </w:rPr>
        <w:t>Paul’s sending Onesimus back to Philemon follows the example of the envoy</w:t>
      </w:r>
      <w:r>
        <w:rPr>
          <w:lang w:bidi="he-IL"/>
        </w:rPr>
        <w:t xml:space="preserve"> in the Hagar story</w:t>
      </w:r>
      <w:r w:rsidR="0013052D">
        <w:rPr>
          <w:lang w:bidi="he-IL"/>
        </w:rPr>
        <w:t>, though Onesimus is a slave in the Roman sense and not merely a servant</w:t>
      </w:r>
      <w:r>
        <w:rPr>
          <w:lang w:bidi="he-IL"/>
        </w:rPr>
        <w:t xml:space="preserve"> in the Middle Eastern sense. One</w:t>
      </w:r>
      <w:r w:rsidR="0013052D">
        <w:rPr>
          <w:lang w:bidi="he-IL"/>
        </w:rPr>
        <w:t xml:space="preserve"> would prefer both the servant and the slave to be free</w:t>
      </w:r>
      <w:r>
        <w:rPr>
          <w:lang w:bidi="he-IL"/>
        </w:rPr>
        <w:t>d</w:t>
      </w:r>
      <w:r w:rsidR="0013052D">
        <w:rPr>
          <w:lang w:bidi="he-IL"/>
        </w:rPr>
        <w:t>, but both the envoy and the apostle combine realism with theological considerations. The envoy is perhaps being realistic about a pregnant woman trekking through the desert, and is taking account of whose baby she is carrying (not Sarah’s!). The apostle is perhaps being realistic about the integral place of slavery in the life of the Roman Empire, and is taking account of the revolution that Jesus has nevertheless brought to the rela</w:t>
      </w:r>
      <w:r>
        <w:rPr>
          <w:lang w:bidi="he-IL"/>
        </w:rPr>
        <w:t xml:space="preserve">tionship of masters and slaves. </w:t>
      </w:r>
      <w:r w:rsidR="0013052D">
        <w:rPr>
          <w:rStyle w:val="st"/>
        </w:rPr>
        <w:t xml:space="preserve">“God liberates and God </w:t>
      </w:r>
      <w:r w:rsidR="0013052D" w:rsidRPr="0027472B">
        <w:rPr>
          <w:rStyle w:val="Emphasis"/>
          <w:i w:val="0"/>
        </w:rPr>
        <w:t>does not always liberate the oppressed</w:t>
      </w:r>
      <w:r w:rsidR="0013052D">
        <w:rPr>
          <w:rStyle w:val="st"/>
        </w:rPr>
        <w:t>. God speaks comforting words to the survival and quality-of-life struggle of many families.”</w:t>
      </w:r>
      <w:r w:rsidR="0013052D">
        <w:rPr>
          <w:rStyle w:val="FootnoteReference"/>
        </w:rPr>
        <w:footnoteReference w:id="303"/>
      </w:r>
      <w:r w:rsidR="0013052D">
        <w:rPr>
          <w:rStyle w:val="st"/>
        </w:rPr>
        <w:t xml:space="preserve"> </w:t>
      </w:r>
      <w:r>
        <w:rPr>
          <w:lang w:bidi="he-IL"/>
        </w:rPr>
        <w:t xml:space="preserve">God “does not always liberate the oppressed as they would like, but… hears and responds to the cry of the desperate.” </w:t>
      </w:r>
      <w:r w:rsidR="0013052D">
        <w:rPr>
          <w:rStyle w:val="st"/>
        </w:rPr>
        <w:t>Thus “God is at work in both liberation and survival” and we need a theology of support and care and a theology of survival.</w:t>
      </w:r>
      <w:r w:rsidRPr="00214784">
        <w:rPr>
          <w:rStyle w:val="FootnoteReference"/>
          <w:lang w:bidi="he-IL"/>
        </w:rPr>
        <w:t xml:space="preserve"> </w:t>
      </w:r>
      <w:r>
        <w:rPr>
          <w:rStyle w:val="FootnoteReference"/>
          <w:lang w:bidi="he-IL"/>
        </w:rPr>
        <w:footnoteReference w:id="304"/>
      </w:r>
    </w:p>
    <w:p w14:paraId="6DDBADB6" w14:textId="77777777" w:rsidR="0013052D" w:rsidRPr="00953BE1" w:rsidRDefault="0013052D" w:rsidP="0013052D">
      <w:pPr>
        <w:pStyle w:val="PlainText"/>
        <w:rPr>
          <w:rFonts w:cs="Courier New"/>
        </w:rPr>
      </w:pPr>
    </w:p>
    <w:p w14:paraId="75001286" w14:textId="77777777" w:rsidR="0013052D" w:rsidRDefault="0013052D" w:rsidP="002D0083">
      <w:pPr>
        <w:rPr>
          <w:lang w:bidi="he-IL"/>
        </w:rPr>
      </w:pPr>
    </w:p>
    <w:p w14:paraId="61D3A029" w14:textId="77777777" w:rsidR="003C4C3D" w:rsidRDefault="003C4C3D">
      <w:pPr>
        <w:spacing w:after="200" w:line="276" w:lineRule="auto"/>
        <w:ind w:firstLine="0"/>
        <w:rPr>
          <w:lang w:bidi="he-IL"/>
        </w:rPr>
      </w:pPr>
      <w:r>
        <w:rPr>
          <w:lang w:bidi="he-IL"/>
        </w:rPr>
        <w:br w:type="page"/>
      </w:r>
    </w:p>
    <w:p w14:paraId="0EB42B1A" w14:textId="77777777" w:rsidR="003C4C3D" w:rsidRDefault="003C4C3D" w:rsidP="003C4C3D">
      <w:pPr>
        <w:pStyle w:val="Heading1"/>
        <w:rPr>
          <w:lang w:bidi="he-IL"/>
        </w:rPr>
      </w:pPr>
      <w:r>
        <w:rPr>
          <w:lang w:bidi="he-IL"/>
        </w:rPr>
        <w:lastRenderedPageBreak/>
        <w:t>Ge</w:t>
      </w:r>
      <w:r w:rsidR="00522E6F">
        <w:rPr>
          <w:lang w:bidi="he-IL"/>
        </w:rPr>
        <w:t>nesis 17:1-27—</w:t>
      </w:r>
      <w:proofErr w:type="gramStart"/>
      <w:r w:rsidR="00522E6F">
        <w:rPr>
          <w:lang w:bidi="he-IL"/>
        </w:rPr>
        <w:t>The</w:t>
      </w:r>
      <w:proofErr w:type="gramEnd"/>
      <w:r w:rsidR="00522E6F">
        <w:rPr>
          <w:lang w:bidi="he-IL"/>
        </w:rPr>
        <w:t xml:space="preserve"> Pact and Its Sign</w:t>
      </w:r>
    </w:p>
    <w:p w14:paraId="0997BA72" w14:textId="77777777" w:rsidR="00141055" w:rsidRPr="00DA695A" w:rsidRDefault="00141055" w:rsidP="00141055">
      <w:pPr>
        <w:pStyle w:val="Heading2"/>
        <w:rPr>
          <w:lang w:bidi="he-IL"/>
        </w:rPr>
      </w:pPr>
      <w:r>
        <w:rPr>
          <w:lang w:bidi="he-IL"/>
        </w:rPr>
        <w:t>Overview</w:t>
      </w:r>
    </w:p>
    <w:p w14:paraId="1CD866BB" w14:textId="58813707" w:rsidR="00EC37C0" w:rsidRDefault="006D13B4" w:rsidP="006D13B4">
      <w:pPr>
        <w:rPr>
          <w:lang w:bidi="he-IL"/>
        </w:rPr>
      </w:pPr>
      <w:r>
        <w:rPr>
          <w:lang w:bidi="he-IL"/>
        </w:rPr>
        <w:t>Like Gen 15, this chapter reports Yahweh’s intention to make a pact with Abraham</w:t>
      </w:r>
      <w:r w:rsidR="00522E6F">
        <w:rPr>
          <w:lang w:bidi="he-IL"/>
        </w:rPr>
        <w:t xml:space="preserve"> (the word </w:t>
      </w:r>
      <w:r w:rsidR="003D56BA">
        <w:rPr>
          <w:lang w:bidi="he-IL"/>
        </w:rPr>
        <w:t>“</w:t>
      </w:r>
      <w:r w:rsidR="00522E6F">
        <w:rPr>
          <w:lang w:bidi="he-IL"/>
        </w:rPr>
        <w:t>pact</w:t>
      </w:r>
      <w:r w:rsidR="003D56BA">
        <w:rPr>
          <w:lang w:bidi="he-IL"/>
        </w:rPr>
        <w:t>”</w:t>
      </w:r>
      <w:r w:rsidR="00522E6F">
        <w:rPr>
          <w:lang w:bidi="he-IL"/>
        </w:rPr>
        <w:t xml:space="preserve"> comes thirteen times, more than any other chapter in the Scriptures)</w:t>
      </w:r>
      <w:r w:rsidR="00A270D0">
        <w:rPr>
          <w:lang w:bidi="he-IL"/>
        </w:rPr>
        <w:t xml:space="preserve"> to give him many descendants</w:t>
      </w:r>
      <w:r>
        <w:rPr>
          <w:lang w:bidi="he-IL"/>
        </w:rPr>
        <w:t xml:space="preserve"> and to give hi</w:t>
      </w:r>
      <w:r w:rsidR="00A270D0">
        <w:rPr>
          <w:lang w:bidi="he-IL"/>
        </w:rPr>
        <w:t xml:space="preserve">m the land of Canaan as his </w:t>
      </w:r>
      <w:r>
        <w:rPr>
          <w:lang w:bidi="he-IL"/>
        </w:rPr>
        <w:t xml:space="preserve">possession. </w:t>
      </w:r>
      <w:r w:rsidR="00A270D0">
        <w:rPr>
          <w:lang w:bidi="he-IL"/>
        </w:rPr>
        <w:t xml:space="preserve">Whereas </w:t>
      </w:r>
      <w:r w:rsidR="00AF6247">
        <w:rPr>
          <w:lang w:bidi="he-IL"/>
        </w:rPr>
        <w:t xml:space="preserve">Gen </w:t>
      </w:r>
      <w:r w:rsidR="004169C6">
        <w:rPr>
          <w:lang w:bidi="he-IL"/>
        </w:rPr>
        <w:t xml:space="preserve">15 </w:t>
      </w:r>
      <w:r w:rsidR="00AF6247">
        <w:rPr>
          <w:lang w:bidi="he-IL"/>
        </w:rPr>
        <w:t xml:space="preserve">speaks </w:t>
      </w:r>
      <w:r w:rsidR="004169C6">
        <w:rPr>
          <w:lang w:bidi="he-IL"/>
        </w:rPr>
        <w:t xml:space="preserve">most </w:t>
      </w:r>
      <w:r w:rsidR="00AF6247">
        <w:rPr>
          <w:lang w:bidi="he-IL"/>
        </w:rPr>
        <w:t>of the land b</w:t>
      </w:r>
      <w:r w:rsidR="00A270D0">
        <w:rPr>
          <w:lang w:bidi="he-IL"/>
        </w:rPr>
        <w:t>ut also of the descendants,</w:t>
      </w:r>
      <w:r w:rsidR="004169C6">
        <w:rPr>
          <w:lang w:bidi="he-IL"/>
        </w:rPr>
        <w:t xml:space="preserve"> Gen 17 speaks most of the descendants but also of the land.</w:t>
      </w:r>
      <w:r w:rsidR="00AF6247">
        <w:rPr>
          <w:lang w:bidi="he-IL"/>
        </w:rPr>
        <w:t xml:space="preserve"> </w:t>
      </w:r>
      <w:r w:rsidR="004169C6">
        <w:rPr>
          <w:lang w:bidi="he-IL"/>
        </w:rPr>
        <w:t xml:space="preserve">In </w:t>
      </w:r>
      <w:r w:rsidR="00AF6247">
        <w:rPr>
          <w:lang w:bidi="he-IL"/>
        </w:rPr>
        <w:t>Gen 15 Yahweh solemnizes the pact on hi</w:t>
      </w:r>
      <w:r w:rsidR="004169C6">
        <w:rPr>
          <w:lang w:bidi="he-IL"/>
        </w:rPr>
        <w:t>s part by a visible ritual; in Gen 17</w:t>
      </w:r>
      <w:r w:rsidR="00AF6247">
        <w:rPr>
          <w:lang w:bidi="he-IL"/>
        </w:rPr>
        <w:t xml:space="preserve"> Abraham implements the pact on his part by a visible sign. </w:t>
      </w:r>
      <w:r w:rsidR="004169C6">
        <w:rPr>
          <w:lang w:bidi="he-IL"/>
        </w:rPr>
        <w:t>In Gen 17 God</w:t>
      </w:r>
      <w:r w:rsidR="000A271B">
        <w:rPr>
          <w:lang w:bidi="he-IL"/>
        </w:rPr>
        <w:t xml:space="preserve"> </w:t>
      </w:r>
    </w:p>
    <w:p w14:paraId="34E9DA11" w14:textId="77777777" w:rsidR="004169C6" w:rsidRDefault="004169C6" w:rsidP="006D13B4">
      <w:pPr>
        <w:rPr>
          <w:lang w:bidi="he-IL"/>
        </w:rPr>
      </w:pPr>
    </w:p>
    <w:p w14:paraId="0A5F989E" w14:textId="77777777" w:rsidR="004169C6" w:rsidRDefault="004169C6" w:rsidP="004169C6">
      <w:pPr>
        <w:pStyle w:val="ListParagraph"/>
        <w:numPr>
          <w:ilvl w:val="0"/>
          <w:numId w:val="35"/>
        </w:numPr>
        <w:ind w:left="720"/>
        <w:rPr>
          <w:lang w:bidi="he-IL"/>
        </w:rPr>
      </w:pPr>
      <w:r>
        <w:rPr>
          <w:lang w:bidi="he-IL"/>
        </w:rPr>
        <w:t xml:space="preserve">declares that the pact will be permanent and heightens other aspects of </w:t>
      </w:r>
      <w:r w:rsidRPr="004169C6">
        <w:rPr>
          <w:lang w:bidi="he-IL"/>
        </w:rPr>
        <w:t>the promises</w:t>
      </w:r>
    </w:p>
    <w:p w14:paraId="106EA218" w14:textId="77777777" w:rsidR="00EC37C0" w:rsidRDefault="004169C6" w:rsidP="00EC37C0">
      <w:pPr>
        <w:pStyle w:val="ListParagraph"/>
        <w:numPr>
          <w:ilvl w:val="0"/>
          <w:numId w:val="35"/>
        </w:numPr>
        <w:ind w:left="720"/>
        <w:rPr>
          <w:lang w:bidi="he-IL"/>
        </w:rPr>
      </w:pPr>
      <w:r>
        <w:rPr>
          <w:lang w:bidi="he-IL"/>
        </w:rPr>
        <w:t>gives Abraham and Sarah</w:t>
      </w:r>
      <w:r w:rsidR="00EC37C0">
        <w:rPr>
          <w:lang w:bidi="he-IL"/>
        </w:rPr>
        <w:t xml:space="preserve"> new names</w:t>
      </w:r>
    </w:p>
    <w:p w14:paraId="7F4D2B23" w14:textId="33369162" w:rsidR="00EC37C0" w:rsidRDefault="00A270D0" w:rsidP="00EC37C0">
      <w:pPr>
        <w:pStyle w:val="ListParagraph"/>
        <w:numPr>
          <w:ilvl w:val="0"/>
          <w:numId w:val="35"/>
        </w:numPr>
        <w:ind w:left="720"/>
        <w:rPr>
          <w:lang w:bidi="he-IL"/>
        </w:rPr>
      </w:pPr>
      <w:r>
        <w:rPr>
          <w:lang w:bidi="he-IL"/>
        </w:rPr>
        <w:t>requires of the men in the</w:t>
      </w:r>
      <w:r w:rsidR="006D13B4">
        <w:rPr>
          <w:lang w:bidi="he-IL"/>
        </w:rPr>
        <w:t xml:space="preserve"> family the practice of circumcision</w:t>
      </w:r>
    </w:p>
    <w:p w14:paraId="4E7CD54D" w14:textId="77777777" w:rsidR="006D13B4" w:rsidRDefault="000A271B" w:rsidP="00EC37C0">
      <w:pPr>
        <w:pStyle w:val="ListParagraph"/>
        <w:numPr>
          <w:ilvl w:val="0"/>
          <w:numId w:val="35"/>
        </w:numPr>
        <w:ind w:left="720"/>
        <w:rPr>
          <w:lang w:bidi="he-IL"/>
        </w:rPr>
      </w:pPr>
      <w:r>
        <w:rPr>
          <w:lang w:bidi="he-IL"/>
        </w:rPr>
        <w:t>insists that the main promise will be fulfilled through a son that Sarah</w:t>
      </w:r>
      <w:r w:rsidR="00EC37C0">
        <w:rPr>
          <w:lang w:bidi="he-IL"/>
        </w:rPr>
        <w:t xml:space="preserve"> will yet bear</w:t>
      </w:r>
    </w:p>
    <w:p w14:paraId="260FC0EB" w14:textId="77777777" w:rsidR="00AF6247" w:rsidRDefault="00AF6247" w:rsidP="00EC37C0">
      <w:pPr>
        <w:pStyle w:val="ListParagraph"/>
        <w:numPr>
          <w:ilvl w:val="0"/>
          <w:numId w:val="35"/>
        </w:numPr>
        <w:ind w:left="720"/>
        <w:rPr>
          <w:lang w:bidi="he-IL"/>
        </w:rPr>
      </w:pPr>
      <w:proofErr w:type="gramStart"/>
      <w:r>
        <w:rPr>
          <w:lang w:bidi="he-IL"/>
        </w:rPr>
        <w:t>adds</w:t>
      </w:r>
      <w:proofErr w:type="gramEnd"/>
      <w:r>
        <w:rPr>
          <w:lang w:bidi="he-IL"/>
        </w:rPr>
        <w:t xml:space="preserve"> a promise for Ishmael and emphasizes the inclusion of the rest of the household.</w:t>
      </w:r>
    </w:p>
    <w:p w14:paraId="4568B7F6" w14:textId="77777777" w:rsidR="004169C6" w:rsidRDefault="004169C6" w:rsidP="004169C6">
      <w:pPr>
        <w:rPr>
          <w:lang w:bidi="he-IL"/>
        </w:rPr>
      </w:pPr>
    </w:p>
    <w:p w14:paraId="5D6621DF" w14:textId="77777777" w:rsidR="004169C6" w:rsidRDefault="00EB47EA" w:rsidP="004169C6">
      <w:pPr>
        <w:ind w:firstLine="0"/>
        <w:rPr>
          <w:lang w:bidi="he-IL"/>
        </w:rPr>
      </w:pPr>
      <w:r>
        <w:rPr>
          <w:lang w:bidi="he-IL"/>
        </w:rPr>
        <w:t xml:space="preserve">Gen 17 has been seen as the highpoint or </w:t>
      </w:r>
      <w:r w:rsidR="003D56BA">
        <w:rPr>
          <w:lang w:bidi="he-IL"/>
        </w:rPr>
        <w:t>“</w:t>
      </w:r>
      <w:r>
        <w:rPr>
          <w:lang w:bidi="he-IL"/>
        </w:rPr>
        <w:t>watershed</w:t>
      </w:r>
      <w:r w:rsidR="003D56BA">
        <w:rPr>
          <w:lang w:bidi="he-IL"/>
        </w:rPr>
        <w:t>”</w:t>
      </w:r>
      <w:r>
        <w:rPr>
          <w:lang w:bidi="he-IL"/>
        </w:rPr>
        <w:t xml:space="preserve"> of the Abraham story.</w:t>
      </w:r>
      <w:r>
        <w:rPr>
          <w:rStyle w:val="FootnoteReference"/>
          <w:lang w:bidi="he-IL"/>
        </w:rPr>
        <w:footnoteReference w:id="305"/>
      </w:r>
      <w:r>
        <w:rPr>
          <w:lang w:bidi="he-IL"/>
        </w:rPr>
        <w:t xml:space="preserve"> One might then see it as answeri</w:t>
      </w:r>
      <w:r w:rsidR="003C4463">
        <w:rPr>
          <w:lang w:bidi="he-IL"/>
        </w:rPr>
        <w:t xml:space="preserve">ng the question, what is </w:t>
      </w:r>
      <w:r>
        <w:rPr>
          <w:lang w:bidi="he-IL"/>
        </w:rPr>
        <w:t xml:space="preserve">the </w:t>
      </w:r>
      <w:r w:rsidR="003C4463">
        <w:rPr>
          <w:lang w:bidi="he-IL"/>
        </w:rPr>
        <w:t xml:space="preserve">fundamental nature of God’s </w:t>
      </w:r>
      <w:r w:rsidR="00957D6A">
        <w:rPr>
          <w:lang w:bidi="he-IL"/>
        </w:rPr>
        <w:t xml:space="preserve">pact or </w:t>
      </w:r>
      <w:r w:rsidR="003C4463">
        <w:rPr>
          <w:lang w:bidi="he-IL"/>
        </w:rPr>
        <w:t>covenant</w:t>
      </w:r>
      <w:r>
        <w:rPr>
          <w:lang w:bidi="he-IL"/>
        </w:rPr>
        <w:t xml:space="preserve"> with Abr</w:t>
      </w:r>
      <w:r w:rsidR="00036B21">
        <w:rPr>
          <w:lang w:bidi="he-IL"/>
        </w:rPr>
        <w:t>aham and thus with Israel? T</w:t>
      </w:r>
      <w:r>
        <w:rPr>
          <w:lang w:bidi="he-IL"/>
        </w:rPr>
        <w:t>he answer is that it involves</w:t>
      </w:r>
    </w:p>
    <w:p w14:paraId="322E491F" w14:textId="77777777" w:rsidR="00EB47EA" w:rsidRDefault="00EB47EA" w:rsidP="004169C6">
      <w:pPr>
        <w:ind w:firstLine="0"/>
        <w:rPr>
          <w:lang w:bidi="he-IL"/>
        </w:rPr>
      </w:pPr>
    </w:p>
    <w:p w14:paraId="34B7ED53" w14:textId="77777777" w:rsidR="00EB47EA" w:rsidRDefault="00EB47EA" w:rsidP="00EB47EA">
      <w:pPr>
        <w:pStyle w:val="ListParagraph"/>
        <w:numPr>
          <w:ilvl w:val="0"/>
          <w:numId w:val="36"/>
        </w:numPr>
        <w:rPr>
          <w:lang w:bidi="he-IL"/>
        </w:rPr>
      </w:pPr>
      <w:r>
        <w:rPr>
          <w:lang w:bidi="he-IL"/>
        </w:rPr>
        <w:t>God’s age-long promise that Abraham’s offspring will be a numerous people, that they will possess the land of Canaan, and that he will be God for them.</w:t>
      </w:r>
    </w:p>
    <w:p w14:paraId="0F18526F" w14:textId="77777777" w:rsidR="00EB47EA" w:rsidRPr="006D13B4" w:rsidRDefault="003C4463" w:rsidP="00EB47EA">
      <w:pPr>
        <w:pStyle w:val="ListParagraph"/>
        <w:numPr>
          <w:ilvl w:val="0"/>
          <w:numId w:val="36"/>
        </w:numPr>
        <w:rPr>
          <w:lang w:bidi="he-IL"/>
        </w:rPr>
      </w:pPr>
      <w:r>
        <w:rPr>
          <w:lang w:bidi="he-IL"/>
        </w:rPr>
        <w:t>Their practice of circumcision, their living transparently in integrity before him, and their recognizing their membership of a larger family.</w:t>
      </w:r>
    </w:p>
    <w:p w14:paraId="331F3887" w14:textId="77777777" w:rsidR="003C4C3D" w:rsidRPr="00495304" w:rsidRDefault="003C4C3D" w:rsidP="003C4C3D">
      <w:pPr>
        <w:pStyle w:val="Heading2"/>
        <w:rPr>
          <w:vertAlign w:val="superscript"/>
          <w:lang w:bidi="he-IL"/>
        </w:rPr>
      </w:pPr>
      <w:r w:rsidRPr="00DA695A">
        <w:rPr>
          <w:lang w:bidi="he-IL"/>
        </w:rPr>
        <w:t>Translation</w:t>
      </w:r>
    </w:p>
    <w:p w14:paraId="4FC86277" w14:textId="77777777" w:rsidR="009F5AEF" w:rsidRDefault="003C4C3D" w:rsidP="003C4C3D">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w:t>
      </w:r>
      <w:r>
        <w:rPr>
          <w:rFonts w:ascii="Calibri" w:eastAsia="Times New Roman" w:hAnsi="Calibri" w:cs="Times New Roman"/>
          <w:szCs w:val="18"/>
          <w:lang w:val="en-GB" w:bidi="he-IL"/>
        </w:rPr>
        <w:t>Ab</w:t>
      </w:r>
      <w:r w:rsidRPr="003C4C3D">
        <w:rPr>
          <w:rFonts w:ascii="Calibri" w:eastAsia="Times New Roman" w:hAnsi="Calibri" w:cs="Times New Roman"/>
          <w:szCs w:val="18"/>
          <w:lang w:val="en-GB" w:bidi="he-IL"/>
        </w:rPr>
        <w:t xml:space="preserve">ram was a man of ninety-nine years. Yahweh appeared to Abram and said to him, </w:t>
      </w:r>
      <w:r w:rsidR="003D56BA">
        <w:rPr>
          <w:rFonts w:ascii="Calibri" w:eastAsia="Times New Roman" w:hAnsi="Calibri" w:cs="Times New Roman"/>
          <w:szCs w:val="18"/>
          <w:lang w:val="en-GB" w:bidi="he-IL"/>
        </w:rPr>
        <w:t>“</w:t>
      </w:r>
      <w:r w:rsidR="002F0C81">
        <w:rPr>
          <w:rFonts w:ascii="Calibri" w:eastAsia="Times New Roman" w:hAnsi="Calibri" w:cs="Times New Roman"/>
          <w:szCs w:val="18"/>
          <w:lang w:val="en-GB" w:bidi="he-IL"/>
        </w:rPr>
        <w:t>I am El</w:t>
      </w:r>
      <w:r w:rsidR="003C4463">
        <w:rPr>
          <w:rFonts w:ascii="Calibri" w:eastAsia="Times New Roman" w:hAnsi="Calibri" w:cs="Times New Roman"/>
          <w:szCs w:val="18"/>
          <w:lang w:val="en-GB" w:bidi="he-IL"/>
        </w:rPr>
        <w:t xml:space="preserve"> Š</w:t>
      </w:r>
      <w:r w:rsidR="00D00F15">
        <w:rPr>
          <w:rFonts w:ascii="Calibri" w:eastAsia="Times New Roman" w:hAnsi="Calibri" w:cs="Times New Roman"/>
          <w:szCs w:val="18"/>
          <w:lang w:val="en-GB" w:bidi="he-IL"/>
        </w:rPr>
        <w:t>adday. Walk about</w:t>
      </w:r>
      <w:r w:rsidRPr="003C4C3D">
        <w:rPr>
          <w:rFonts w:ascii="Calibri" w:eastAsia="Times New Roman" w:hAnsi="Calibri" w:cs="Times New Roman"/>
          <w:szCs w:val="18"/>
          <w:lang w:val="en-GB" w:bidi="he-IL"/>
        </w:rPr>
        <w:t xml:space="preserve"> before me and </w:t>
      </w:r>
      <w:r w:rsidR="00D94648">
        <w:rPr>
          <w:rFonts w:ascii="Calibri" w:eastAsia="Times New Roman" w:hAnsi="Calibri" w:cs="Times New Roman"/>
          <w:szCs w:val="18"/>
          <w:lang w:val="en-GB" w:bidi="he-IL"/>
        </w:rPr>
        <w:t>be a person of integrity;</w:t>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2</w:t>
      </w:r>
      <w:r w:rsidR="00D94648">
        <w:rPr>
          <w:rFonts w:ascii="Calibri" w:eastAsia="Times New Roman" w:hAnsi="Calibri" w:cs="Times New Roman"/>
          <w:szCs w:val="18"/>
          <w:lang w:val="en-GB" w:bidi="he-IL"/>
        </w:rPr>
        <w:t>and I</w:t>
      </w:r>
      <w:r w:rsidR="000F7798">
        <w:rPr>
          <w:rFonts w:ascii="Calibri" w:eastAsia="Times New Roman" w:hAnsi="Calibri" w:cs="Times New Roman"/>
          <w:szCs w:val="18"/>
          <w:lang w:val="en-GB" w:bidi="he-IL"/>
        </w:rPr>
        <w:t xml:space="preserve"> wi</w:t>
      </w:r>
      <w:r w:rsidR="00C67015">
        <w:rPr>
          <w:rFonts w:ascii="Calibri" w:eastAsia="Times New Roman" w:hAnsi="Calibri" w:cs="Times New Roman"/>
          <w:szCs w:val="18"/>
          <w:lang w:val="en-GB" w:bidi="he-IL"/>
        </w:rPr>
        <w:t>ll make</w:t>
      </w:r>
      <w:r w:rsidR="001B3D2E">
        <w:rPr>
          <w:rStyle w:val="FootnoteReference"/>
          <w:rFonts w:ascii="Calibri" w:eastAsia="Times New Roman" w:hAnsi="Calibri" w:cs="Times New Roman"/>
          <w:szCs w:val="18"/>
          <w:lang w:val="en-GB" w:bidi="he-IL"/>
        </w:rPr>
        <w:footnoteReference w:id="306"/>
      </w:r>
      <w:r w:rsidRPr="003C4C3D">
        <w:rPr>
          <w:rFonts w:ascii="Calibri" w:eastAsia="Times New Roman" w:hAnsi="Calibri" w:cs="Times New Roman"/>
          <w:szCs w:val="18"/>
          <w:lang w:val="en-GB" w:bidi="he-IL"/>
        </w:rPr>
        <w:t xml:space="preserve"> my pact between me and you, and make you very, very numerous.</w:t>
      </w:r>
      <w:r w:rsidR="003D56BA">
        <w:rPr>
          <w:rFonts w:ascii="Calibri" w:eastAsia="Times New Roman" w:hAnsi="Calibri" w:cs="Times New Roman"/>
          <w:szCs w:val="18"/>
          <w:lang w:val="en-GB" w:bidi="he-IL"/>
        </w:rPr>
        <w:t>”</w:t>
      </w:r>
      <w:r w:rsidRPr="003C4C3D">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3</w:t>
      </w:r>
      <w:r w:rsidR="00976BB3">
        <w:rPr>
          <w:rFonts w:ascii="Calibri" w:eastAsia="Times New Roman" w:hAnsi="Calibri" w:cs="Times New Roman"/>
          <w:szCs w:val="18"/>
          <w:lang w:val="en-GB" w:bidi="he-IL"/>
        </w:rPr>
        <w:t xml:space="preserve">Abram fell on his face. </w:t>
      </w:r>
    </w:p>
    <w:p w14:paraId="55765DC0" w14:textId="3346BC9F" w:rsidR="003C4C3D" w:rsidRPr="003C4C3D" w:rsidRDefault="003C4C3D" w:rsidP="003C4C3D">
      <w:pPr>
        <w:rPr>
          <w:rFonts w:ascii="Calibri" w:eastAsia="Times New Roman" w:hAnsi="Calibri" w:cs="Times New Roman"/>
          <w:szCs w:val="18"/>
          <w:lang w:val="en-GB" w:bidi="he-IL"/>
        </w:rPr>
      </w:pPr>
      <w:r>
        <w:rPr>
          <w:rFonts w:ascii="Calibri" w:eastAsia="Times New Roman" w:hAnsi="Calibri" w:cs="Times New Roman"/>
          <w:szCs w:val="18"/>
          <w:lang w:val="en-GB" w:bidi="he-IL"/>
        </w:rPr>
        <w:t xml:space="preserve">God spoke with him: </w:t>
      </w:r>
      <w:r>
        <w:rPr>
          <w:rFonts w:ascii="Calibri" w:eastAsia="Times New Roman" w:hAnsi="Calibri" w:cs="Times New Roman"/>
          <w:szCs w:val="18"/>
          <w:vertAlign w:val="superscript"/>
          <w:lang w:val="en-GB" w:bidi="he-IL"/>
        </w:rPr>
        <w:t>4</w:t>
      </w:r>
      <w:r w:rsidR="003D56BA">
        <w:rPr>
          <w:rFonts w:ascii="Calibri" w:eastAsia="Times New Roman" w:hAnsi="Calibri" w:cs="Times New Roman"/>
          <w:szCs w:val="18"/>
          <w:lang w:val="en-GB" w:bidi="he-IL"/>
        </w:rPr>
        <w:t>”</w:t>
      </w:r>
      <w:r w:rsidRPr="003C4C3D">
        <w:rPr>
          <w:rFonts w:ascii="Calibri" w:eastAsia="Times New Roman" w:hAnsi="Calibri" w:cs="Times New Roman"/>
          <w:szCs w:val="18"/>
          <w:lang w:val="en-GB" w:bidi="he-IL"/>
        </w:rPr>
        <w:t>I mysel</w:t>
      </w:r>
      <w:r w:rsidR="003C4463">
        <w:rPr>
          <w:rFonts w:ascii="Calibri" w:eastAsia="Times New Roman" w:hAnsi="Calibri" w:cs="Times New Roman"/>
          <w:szCs w:val="18"/>
          <w:lang w:val="en-GB" w:bidi="he-IL"/>
        </w:rPr>
        <w:t>f—here is my pact with you. You wi</w:t>
      </w:r>
      <w:r w:rsidRPr="003C4C3D">
        <w:rPr>
          <w:rFonts w:ascii="Calibri" w:eastAsia="Times New Roman" w:hAnsi="Calibri" w:cs="Times New Roman"/>
          <w:szCs w:val="18"/>
          <w:lang w:val="en-GB" w:bidi="he-IL"/>
        </w:rPr>
        <w:t>ll become the ancestor of a horde of nations</w:t>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5</w:t>
      </w:r>
      <w:r w:rsidR="003C4463">
        <w:rPr>
          <w:rFonts w:ascii="Calibri" w:eastAsia="Times New Roman" w:hAnsi="Calibri" w:cs="Times New Roman"/>
          <w:szCs w:val="18"/>
          <w:lang w:val="en-GB" w:bidi="he-IL"/>
        </w:rPr>
        <w:t>You wi</w:t>
      </w:r>
      <w:r w:rsidRPr="003C4C3D">
        <w:rPr>
          <w:rFonts w:ascii="Calibri" w:eastAsia="Times New Roman" w:hAnsi="Calibri" w:cs="Times New Roman"/>
          <w:szCs w:val="18"/>
          <w:lang w:val="en-GB" w:bidi="he-IL"/>
        </w:rPr>
        <w:t xml:space="preserve">ll </w:t>
      </w:r>
      <w:r w:rsidR="00192FE6">
        <w:rPr>
          <w:rFonts w:ascii="Calibri" w:eastAsia="Times New Roman" w:hAnsi="Calibri" w:cs="Times New Roman"/>
          <w:szCs w:val="18"/>
          <w:lang w:val="en-GB" w:bidi="he-IL"/>
        </w:rPr>
        <w:t>no longer be named Abram: y</w:t>
      </w:r>
      <w:r w:rsidRPr="003C4C3D">
        <w:rPr>
          <w:rFonts w:ascii="Calibri" w:eastAsia="Times New Roman" w:hAnsi="Calibri" w:cs="Times New Roman"/>
          <w:szCs w:val="18"/>
          <w:lang w:val="en-GB" w:bidi="he-IL"/>
        </w:rPr>
        <w:t>our n</w:t>
      </w:r>
      <w:r w:rsidR="0089187C">
        <w:rPr>
          <w:rFonts w:ascii="Calibri" w:eastAsia="Times New Roman" w:hAnsi="Calibri" w:cs="Times New Roman"/>
          <w:szCs w:val="18"/>
          <w:lang w:val="en-GB" w:bidi="he-IL"/>
        </w:rPr>
        <w:t>ame w</w:t>
      </w:r>
      <w:r w:rsidR="00E92840">
        <w:rPr>
          <w:rFonts w:ascii="Calibri" w:eastAsia="Times New Roman" w:hAnsi="Calibri" w:cs="Times New Roman"/>
          <w:szCs w:val="18"/>
          <w:lang w:val="en-GB" w:bidi="he-IL"/>
        </w:rPr>
        <w:t>ill be Abraham, because I am making</w:t>
      </w:r>
      <w:r>
        <w:rPr>
          <w:rFonts w:ascii="Calibri" w:eastAsia="Times New Roman" w:hAnsi="Calibri" w:cs="Times New Roman"/>
          <w:szCs w:val="18"/>
          <w:lang w:val="en-GB" w:bidi="he-IL"/>
        </w:rPr>
        <w:t xml:space="preserve"> you</w:t>
      </w:r>
      <w:r w:rsidR="0089187C">
        <w:rPr>
          <w:rStyle w:val="FootnoteReference"/>
          <w:rFonts w:ascii="Calibri" w:eastAsia="Times New Roman" w:hAnsi="Calibri" w:cs="Times New Roman"/>
          <w:szCs w:val="18"/>
          <w:lang w:val="en-GB" w:bidi="he-IL"/>
        </w:rPr>
        <w:footnoteReference w:id="307"/>
      </w:r>
      <w:r>
        <w:rPr>
          <w:rFonts w:ascii="Calibri" w:eastAsia="Times New Roman" w:hAnsi="Calibri" w:cs="Times New Roman"/>
          <w:szCs w:val="18"/>
          <w:lang w:val="en-GB" w:bidi="he-IL"/>
        </w:rPr>
        <w:t xml:space="preserve"> the </w:t>
      </w:r>
      <w:r w:rsidR="00047A44">
        <w:rPr>
          <w:rFonts w:ascii="Calibri" w:eastAsia="Times New Roman" w:hAnsi="Calibri" w:cs="Times New Roman"/>
          <w:szCs w:val="18"/>
          <w:lang w:val="en-GB" w:bidi="he-IL"/>
        </w:rPr>
        <w:t>“</w:t>
      </w:r>
      <w:r w:rsidRPr="003C4C3D">
        <w:rPr>
          <w:rFonts w:ascii="Calibri" w:eastAsia="Times New Roman" w:hAnsi="Calibri" w:cs="Times New Roman"/>
          <w:szCs w:val="18"/>
          <w:lang w:val="en-GB" w:bidi="he-IL"/>
        </w:rPr>
        <w:t>ancestor of a horde</w:t>
      </w:r>
      <w:r w:rsidR="00047A44">
        <w:rPr>
          <w:rFonts w:ascii="Calibri" w:eastAsia="Times New Roman" w:hAnsi="Calibri" w:cs="Times New Roman"/>
          <w:szCs w:val="18"/>
          <w:lang w:val="en-GB" w:bidi="he-IL"/>
        </w:rPr>
        <w:t>”</w:t>
      </w:r>
      <w:r>
        <w:rPr>
          <w:rFonts w:ascii="Calibri" w:eastAsia="Times New Roman" w:hAnsi="Calibri" w:cs="Times New Roman"/>
          <w:szCs w:val="18"/>
          <w:lang w:val="en-GB" w:bidi="he-IL"/>
        </w:rPr>
        <w:t xml:space="preserve"> </w:t>
      </w:r>
      <w:r w:rsidRPr="003C4C3D">
        <w:rPr>
          <w:rFonts w:ascii="Calibri" w:eastAsia="Times New Roman" w:hAnsi="Calibri" w:cs="Times New Roman"/>
          <w:szCs w:val="18"/>
          <w:lang w:val="en-GB" w:bidi="he-IL"/>
        </w:rPr>
        <w:t xml:space="preserve">of nations. </w:t>
      </w:r>
      <w:r>
        <w:rPr>
          <w:rFonts w:ascii="Calibri" w:eastAsia="Times New Roman" w:hAnsi="Calibri" w:cs="Times New Roman"/>
          <w:szCs w:val="18"/>
          <w:vertAlign w:val="superscript"/>
          <w:lang w:val="en-GB" w:bidi="he-IL"/>
        </w:rPr>
        <w:t>6</w:t>
      </w:r>
      <w:r w:rsidR="0014500E">
        <w:rPr>
          <w:rFonts w:ascii="Calibri" w:eastAsia="Times New Roman" w:hAnsi="Calibri" w:cs="Times New Roman"/>
          <w:szCs w:val="18"/>
          <w:lang w:val="en-GB" w:bidi="he-IL"/>
        </w:rPr>
        <w:t>I wi</w:t>
      </w:r>
      <w:r w:rsidR="008001FA">
        <w:rPr>
          <w:rFonts w:ascii="Calibri" w:eastAsia="Times New Roman" w:hAnsi="Calibri" w:cs="Times New Roman"/>
          <w:szCs w:val="18"/>
          <w:lang w:val="en-GB" w:bidi="he-IL"/>
        </w:rPr>
        <w:t>ll enable</w:t>
      </w:r>
      <w:r w:rsidR="00752547">
        <w:rPr>
          <w:rFonts w:ascii="Calibri" w:eastAsia="Times New Roman" w:hAnsi="Calibri" w:cs="Times New Roman"/>
          <w:szCs w:val="18"/>
          <w:lang w:val="en-GB" w:bidi="he-IL"/>
        </w:rPr>
        <w:t xml:space="preserve"> you </w:t>
      </w:r>
      <w:r w:rsidR="008001FA">
        <w:rPr>
          <w:rFonts w:ascii="Calibri" w:eastAsia="Times New Roman" w:hAnsi="Calibri" w:cs="Times New Roman"/>
          <w:szCs w:val="18"/>
          <w:lang w:val="en-GB" w:bidi="he-IL"/>
        </w:rPr>
        <w:t xml:space="preserve">to be </w:t>
      </w:r>
      <w:r w:rsidR="0014500E">
        <w:rPr>
          <w:rFonts w:ascii="Calibri" w:eastAsia="Times New Roman" w:hAnsi="Calibri" w:cs="Times New Roman"/>
          <w:szCs w:val="18"/>
          <w:lang w:val="en-GB" w:bidi="he-IL"/>
        </w:rPr>
        <w:t>very, very fruitful and</w:t>
      </w:r>
      <w:r w:rsidRPr="003C4C3D">
        <w:rPr>
          <w:rFonts w:ascii="Calibri" w:eastAsia="Times New Roman" w:hAnsi="Calibri" w:cs="Times New Roman"/>
          <w:szCs w:val="18"/>
          <w:lang w:val="en-GB" w:bidi="he-IL"/>
        </w:rPr>
        <w:t xml:space="preserve"> make you into n</w:t>
      </w:r>
      <w:r w:rsidR="00047A44">
        <w:rPr>
          <w:rFonts w:ascii="Calibri" w:eastAsia="Times New Roman" w:hAnsi="Calibri" w:cs="Times New Roman"/>
          <w:szCs w:val="18"/>
          <w:lang w:val="en-GB" w:bidi="he-IL"/>
        </w:rPr>
        <w:t>ations. From you kings will go</w:t>
      </w:r>
      <w:r w:rsidR="00B00F31">
        <w:rPr>
          <w:rFonts w:ascii="Calibri" w:eastAsia="Times New Roman" w:hAnsi="Calibri" w:cs="Times New Roman"/>
          <w:szCs w:val="18"/>
          <w:lang w:val="en-GB" w:bidi="he-IL"/>
        </w:rPr>
        <w:t xml:space="preserve"> out</w:t>
      </w:r>
      <w:r w:rsidRPr="003C4C3D">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7</w:t>
      </w:r>
      <w:r w:rsidR="003C4463">
        <w:rPr>
          <w:rFonts w:ascii="Calibri" w:eastAsia="Times New Roman" w:hAnsi="Calibri" w:cs="Times New Roman"/>
          <w:szCs w:val="18"/>
          <w:lang w:val="en-GB" w:bidi="he-IL"/>
        </w:rPr>
        <w:t>I wi</w:t>
      </w:r>
      <w:r w:rsidR="005025AC">
        <w:rPr>
          <w:rFonts w:ascii="Calibri" w:eastAsia="Times New Roman" w:hAnsi="Calibri" w:cs="Times New Roman"/>
          <w:szCs w:val="18"/>
          <w:lang w:val="en-GB" w:bidi="he-IL"/>
        </w:rPr>
        <w:t xml:space="preserve">ll </w:t>
      </w:r>
      <w:r w:rsidR="002D6B99">
        <w:rPr>
          <w:rFonts w:ascii="Calibri" w:eastAsia="Times New Roman" w:hAnsi="Calibri" w:cs="Times New Roman"/>
          <w:szCs w:val="18"/>
          <w:lang w:val="en-GB" w:bidi="he-IL"/>
        </w:rPr>
        <w:t>implement</w:t>
      </w:r>
      <w:r w:rsidRPr="003C4C3D">
        <w:rPr>
          <w:rFonts w:ascii="Calibri" w:eastAsia="Times New Roman" w:hAnsi="Calibri" w:cs="Times New Roman"/>
          <w:szCs w:val="18"/>
          <w:lang w:val="en-GB" w:bidi="he-IL"/>
        </w:rPr>
        <w:t xml:space="preserve"> my pact between me and you and your offspring after you, through t</w:t>
      </w:r>
      <w:r w:rsidR="00B506D3">
        <w:rPr>
          <w:rFonts w:ascii="Calibri" w:eastAsia="Times New Roman" w:hAnsi="Calibri" w:cs="Times New Roman"/>
          <w:szCs w:val="18"/>
          <w:lang w:val="en-GB" w:bidi="he-IL"/>
        </w:rPr>
        <w:t>heir generations, as an age-long</w:t>
      </w:r>
      <w:r w:rsidRPr="003C4C3D">
        <w:rPr>
          <w:rFonts w:ascii="Calibri" w:eastAsia="Times New Roman" w:hAnsi="Calibri" w:cs="Times New Roman"/>
          <w:szCs w:val="18"/>
          <w:lang w:val="en-GB" w:bidi="he-IL"/>
        </w:rPr>
        <w:t xml:space="preserve"> pact, to be God for you and for your offspring after you. </w:t>
      </w:r>
      <w:r>
        <w:rPr>
          <w:rFonts w:ascii="Calibri" w:eastAsia="Times New Roman" w:hAnsi="Calibri" w:cs="Times New Roman"/>
          <w:szCs w:val="18"/>
          <w:vertAlign w:val="superscript"/>
          <w:lang w:val="en-GB" w:bidi="he-IL"/>
        </w:rPr>
        <w:t>8</w:t>
      </w:r>
      <w:r w:rsidRPr="003C4C3D">
        <w:rPr>
          <w:rFonts w:ascii="Calibri" w:eastAsia="Times New Roman" w:hAnsi="Calibri" w:cs="Times New Roman"/>
          <w:szCs w:val="18"/>
          <w:lang w:val="en-GB" w:bidi="he-IL"/>
        </w:rPr>
        <w:t xml:space="preserve">I </w:t>
      </w:r>
      <w:r w:rsidR="00385029">
        <w:rPr>
          <w:rFonts w:ascii="Calibri" w:eastAsia="Times New Roman" w:hAnsi="Calibri" w:cs="Times New Roman"/>
          <w:szCs w:val="18"/>
          <w:lang w:val="en-GB" w:bidi="he-IL"/>
        </w:rPr>
        <w:t>wi</w:t>
      </w:r>
      <w:r w:rsidRPr="003C4C3D">
        <w:rPr>
          <w:rFonts w:ascii="Calibri" w:eastAsia="Times New Roman" w:hAnsi="Calibri" w:cs="Times New Roman"/>
          <w:szCs w:val="18"/>
          <w:lang w:val="en-GB" w:bidi="he-IL"/>
        </w:rPr>
        <w:t>ll give to you, and to your offspring</w:t>
      </w:r>
      <w:r w:rsidR="00B00F31">
        <w:rPr>
          <w:rFonts w:ascii="Calibri" w:eastAsia="Times New Roman" w:hAnsi="Calibri" w:cs="Times New Roman"/>
          <w:szCs w:val="18"/>
          <w:lang w:val="en-GB" w:bidi="he-IL"/>
        </w:rPr>
        <w:t xml:space="preserve"> after you, the country where you a</w:t>
      </w:r>
      <w:r w:rsidRPr="003C4C3D">
        <w:rPr>
          <w:rFonts w:ascii="Calibri" w:eastAsia="Times New Roman" w:hAnsi="Calibri" w:cs="Times New Roman"/>
          <w:szCs w:val="18"/>
          <w:lang w:val="en-GB" w:bidi="he-IL"/>
        </w:rPr>
        <w:t>re residing</w:t>
      </w:r>
      <w:r w:rsidR="00B94B49">
        <w:rPr>
          <w:rFonts w:ascii="Calibri" w:eastAsia="Times New Roman" w:hAnsi="Calibri" w:cs="Times New Roman"/>
          <w:szCs w:val="18"/>
          <w:lang w:val="en-GB" w:bidi="he-IL"/>
        </w:rPr>
        <w:t xml:space="preserve"> as aliens</w:t>
      </w:r>
      <w:r w:rsidRPr="003C4C3D">
        <w:rPr>
          <w:rFonts w:ascii="Calibri" w:eastAsia="Times New Roman" w:hAnsi="Calibri" w:cs="Times New Roman"/>
          <w:szCs w:val="18"/>
          <w:lang w:val="en-GB" w:bidi="he-IL"/>
        </w:rPr>
        <w:t>, the entire c</w:t>
      </w:r>
      <w:r w:rsidR="003C4463">
        <w:rPr>
          <w:rFonts w:ascii="Calibri" w:eastAsia="Times New Roman" w:hAnsi="Calibri" w:cs="Times New Roman"/>
          <w:szCs w:val="18"/>
          <w:lang w:val="en-GB" w:bidi="he-IL"/>
        </w:rPr>
        <w:t>ountry of Kena‘</w:t>
      </w:r>
      <w:r w:rsidR="00B506D3">
        <w:rPr>
          <w:rFonts w:ascii="Calibri" w:eastAsia="Times New Roman" w:hAnsi="Calibri" w:cs="Times New Roman"/>
          <w:szCs w:val="18"/>
          <w:lang w:val="en-GB" w:bidi="he-IL"/>
        </w:rPr>
        <w:t>an, as an age-long</w:t>
      </w:r>
      <w:r w:rsidRPr="003C4C3D">
        <w:rPr>
          <w:rFonts w:ascii="Calibri" w:eastAsia="Times New Roman" w:hAnsi="Calibri" w:cs="Times New Roman"/>
          <w:szCs w:val="18"/>
          <w:lang w:val="en-GB" w:bidi="he-IL"/>
        </w:rPr>
        <w:t xml:space="preserve"> holding, and I </w:t>
      </w:r>
      <w:r w:rsidR="003C4463">
        <w:rPr>
          <w:rFonts w:ascii="Calibri" w:eastAsia="Times New Roman" w:hAnsi="Calibri" w:cs="Times New Roman"/>
          <w:szCs w:val="18"/>
          <w:lang w:val="en-GB" w:bidi="he-IL"/>
        </w:rPr>
        <w:t>will</w:t>
      </w:r>
      <w:r w:rsidRPr="003C4C3D">
        <w:rPr>
          <w:rFonts w:ascii="Calibri" w:eastAsia="Times New Roman" w:hAnsi="Calibri" w:cs="Times New Roman"/>
          <w:szCs w:val="18"/>
          <w:lang w:val="en-GB" w:bidi="he-IL"/>
        </w:rPr>
        <w:t xml:space="preserve"> be God for them.</w:t>
      </w:r>
      <w:r w:rsidR="003D56BA">
        <w:rPr>
          <w:rFonts w:ascii="Calibri" w:eastAsia="Times New Roman" w:hAnsi="Calibri" w:cs="Times New Roman"/>
          <w:szCs w:val="18"/>
          <w:lang w:val="en-GB" w:bidi="he-IL"/>
        </w:rPr>
        <w:t>”</w:t>
      </w:r>
      <w:r w:rsidRPr="003C4C3D">
        <w:rPr>
          <w:rFonts w:ascii="Calibri" w:eastAsia="Times New Roman" w:hAnsi="Calibri" w:cs="Times New Roman"/>
          <w:szCs w:val="18"/>
          <w:lang w:val="en-GB" w:bidi="he-IL"/>
        </w:rPr>
        <w:t xml:space="preserve"> </w:t>
      </w:r>
    </w:p>
    <w:p w14:paraId="38F76585" w14:textId="0D3C15A9" w:rsidR="003C4C3D" w:rsidRPr="003C4C3D" w:rsidRDefault="003C4C3D" w:rsidP="003C4C3D">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9</w:t>
      </w:r>
      <w:r w:rsidR="003C4463">
        <w:rPr>
          <w:rFonts w:ascii="Calibri" w:eastAsia="Times New Roman" w:hAnsi="Calibri" w:cs="Times New Roman"/>
          <w:szCs w:val="18"/>
          <w:lang w:val="en-GB" w:bidi="he-IL"/>
        </w:rPr>
        <w:t>And G</w:t>
      </w:r>
      <w:r w:rsidRPr="003C4C3D">
        <w:rPr>
          <w:rFonts w:ascii="Calibri" w:eastAsia="Times New Roman" w:hAnsi="Calibri" w:cs="Times New Roman"/>
          <w:szCs w:val="18"/>
          <w:lang w:val="en-GB" w:bidi="he-IL"/>
        </w:rPr>
        <w:t xml:space="preserve">od said to Abraham, </w:t>
      </w:r>
      <w:r w:rsidR="003D56BA">
        <w:rPr>
          <w:rFonts w:ascii="Calibri" w:eastAsia="Times New Roman" w:hAnsi="Calibri" w:cs="Times New Roman"/>
          <w:szCs w:val="18"/>
          <w:lang w:val="en-GB" w:bidi="he-IL"/>
        </w:rPr>
        <w:t>“</w:t>
      </w:r>
      <w:r w:rsidR="00976BB3">
        <w:rPr>
          <w:rFonts w:ascii="Calibri" w:eastAsia="Times New Roman" w:hAnsi="Calibri" w:cs="Times New Roman"/>
          <w:szCs w:val="18"/>
          <w:lang w:val="en-GB" w:bidi="he-IL"/>
        </w:rPr>
        <w:t>But</w:t>
      </w:r>
      <w:r w:rsidR="00CF4BB9">
        <w:rPr>
          <w:rFonts w:ascii="Calibri" w:eastAsia="Times New Roman" w:hAnsi="Calibri" w:cs="Times New Roman"/>
          <w:szCs w:val="18"/>
          <w:lang w:val="en-GB" w:bidi="he-IL"/>
        </w:rPr>
        <w:t xml:space="preserve"> you: my pact you’re to keep</w:t>
      </w:r>
      <w:r w:rsidRPr="003C4C3D">
        <w:rPr>
          <w:rFonts w:ascii="Calibri" w:eastAsia="Times New Roman" w:hAnsi="Calibri" w:cs="Times New Roman"/>
          <w:szCs w:val="18"/>
          <w:lang w:val="en-GB" w:bidi="he-IL"/>
        </w:rPr>
        <w:t xml:space="preserve">, you and your offspring after you, through their generations. </w:t>
      </w:r>
      <w:r>
        <w:rPr>
          <w:rFonts w:ascii="Calibri" w:eastAsia="Times New Roman" w:hAnsi="Calibri" w:cs="Times New Roman"/>
          <w:szCs w:val="18"/>
          <w:vertAlign w:val="superscript"/>
          <w:lang w:val="en-GB" w:bidi="he-IL"/>
        </w:rPr>
        <w:t>10</w:t>
      </w:r>
      <w:r w:rsidR="00D21D63">
        <w:rPr>
          <w:rFonts w:ascii="Calibri" w:eastAsia="Times New Roman" w:hAnsi="Calibri" w:cs="Times New Roman"/>
          <w:szCs w:val="18"/>
          <w:lang w:val="en-GB" w:bidi="he-IL"/>
        </w:rPr>
        <w:t>This is my pact that you people are</w:t>
      </w:r>
      <w:r w:rsidR="0090352B" w:rsidRPr="0090352B">
        <w:rPr>
          <w:rFonts w:ascii="Calibri" w:eastAsia="Times New Roman" w:hAnsi="Calibri" w:cs="Times New Roman"/>
          <w:szCs w:val="18"/>
          <w:vertAlign w:val="superscript"/>
          <w:lang w:val="en-GB" w:bidi="he-IL"/>
        </w:rPr>
        <w:footnoteReference w:id="308"/>
      </w:r>
      <w:r w:rsidR="0090352B">
        <w:rPr>
          <w:rFonts w:ascii="Calibri" w:eastAsia="Times New Roman" w:hAnsi="Calibri" w:cs="Times New Roman"/>
          <w:szCs w:val="18"/>
          <w:lang w:val="en-GB" w:bidi="he-IL"/>
        </w:rPr>
        <w:t xml:space="preserve"> </w:t>
      </w:r>
      <w:r w:rsidRPr="003C4C3D">
        <w:rPr>
          <w:rFonts w:ascii="Calibri" w:eastAsia="Times New Roman" w:hAnsi="Calibri" w:cs="Times New Roman"/>
          <w:szCs w:val="18"/>
          <w:lang w:val="en-GB" w:bidi="he-IL"/>
        </w:rPr>
        <w:t xml:space="preserve">to keep, between me and you and </w:t>
      </w:r>
      <w:r w:rsidRPr="003C4C3D">
        <w:rPr>
          <w:rFonts w:ascii="Calibri" w:eastAsia="Times New Roman" w:hAnsi="Calibri" w:cs="Times New Roman"/>
          <w:szCs w:val="18"/>
          <w:lang w:val="en-GB" w:bidi="he-IL"/>
        </w:rPr>
        <w:lastRenderedPageBreak/>
        <w:t xml:space="preserve">your offspring after you: </w:t>
      </w:r>
      <w:r w:rsidR="007E5C12">
        <w:rPr>
          <w:rFonts w:ascii="Calibri" w:eastAsia="Times New Roman" w:hAnsi="Calibri" w:cs="Times New Roman"/>
          <w:szCs w:val="18"/>
          <w:lang w:val="en-GB" w:bidi="he-IL"/>
        </w:rPr>
        <w:t>every male being circumcised</w:t>
      </w:r>
      <w:r w:rsidRPr="003C4C3D">
        <w:rPr>
          <w:rFonts w:ascii="Calibri" w:eastAsia="Times New Roman" w:hAnsi="Calibri" w:cs="Times New Roman"/>
          <w:szCs w:val="18"/>
          <w:lang w:val="en-GB" w:bidi="he-IL"/>
        </w:rPr>
        <w:t xml:space="preserve"> </w:t>
      </w:r>
      <w:r w:rsidR="00CF7CC0">
        <w:rPr>
          <w:rFonts w:ascii="Calibri" w:eastAsia="Times New Roman" w:hAnsi="Calibri" w:cs="Times New Roman"/>
          <w:szCs w:val="18"/>
          <w:lang w:val="en-GB" w:bidi="he-IL"/>
        </w:rPr>
        <w:t>on your part</w:t>
      </w:r>
      <w:r w:rsidRPr="003C4C3D">
        <w:rPr>
          <w:rFonts w:ascii="Calibri" w:eastAsia="Times New Roman" w:hAnsi="Calibri" w:cs="Times New Roman"/>
          <w:szCs w:val="18"/>
          <w:lang w:val="en-GB" w:bidi="he-IL"/>
        </w:rPr>
        <w:t>.</w:t>
      </w:r>
      <w:r w:rsidR="00422FE4" w:rsidRPr="00422FE4">
        <w:rPr>
          <w:rFonts w:ascii="Calibri" w:eastAsia="Times New Roman" w:hAnsi="Calibri" w:cs="Times New Roman"/>
          <w:szCs w:val="18"/>
          <w:vertAlign w:val="superscript"/>
          <w:lang w:val="en-GB" w:bidi="he-IL"/>
        </w:rPr>
        <w:footnoteReference w:id="309"/>
      </w:r>
      <w:r w:rsidR="00422FE4" w:rsidRPr="00422FE4">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11</w:t>
      </w:r>
      <w:r w:rsidRPr="003C4C3D">
        <w:rPr>
          <w:rFonts w:ascii="Calibri" w:eastAsia="Times New Roman" w:hAnsi="Calibri" w:cs="Times New Roman"/>
          <w:szCs w:val="18"/>
          <w:lang w:val="en-GB" w:bidi="he-IL"/>
        </w:rPr>
        <w:t xml:space="preserve">You’re to </w:t>
      </w:r>
      <w:r w:rsidR="007E5C12">
        <w:rPr>
          <w:rFonts w:ascii="Calibri" w:eastAsia="Times New Roman" w:hAnsi="Calibri" w:cs="Times New Roman"/>
          <w:szCs w:val="18"/>
          <w:lang w:val="en-GB" w:bidi="he-IL"/>
        </w:rPr>
        <w:t xml:space="preserve">be </w:t>
      </w:r>
      <w:r w:rsidRPr="003C4C3D">
        <w:rPr>
          <w:rFonts w:ascii="Calibri" w:eastAsia="Times New Roman" w:hAnsi="Calibri" w:cs="Times New Roman"/>
          <w:szCs w:val="18"/>
          <w:lang w:val="en-GB" w:bidi="he-IL"/>
        </w:rPr>
        <w:t>circumcise</w:t>
      </w:r>
      <w:r w:rsidR="007E5C12">
        <w:rPr>
          <w:rFonts w:ascii="Calibri" w:eastAsia="Times New Roman" w:hAnsi="Calibri" w:cs="Times New Roman"/>
          <w:szCs w:val="18"/>
          <w:lang w:val="en-GB" w:bidi="he-IL"/>
        </w:rPr>
        <w:t>d</w:t>
      </w:r>
      <w:r w:rsidRPr="003C4C3D">
        <w:rPr>
          <w:rFonts w:ascii="Calibri" w:eastAsia="Times New Roman" w:hAnsi="Calibri" w:cs="Times New Roman"/>
          <w:szCs w:val="18"/>
          <w:lang w:val="en-GB" w:bidi="he-IL"/>
        </w:rPr>
        <w:t xml:space="preserve"> </w:t>
      </w:r>
      <w:r w:rsidR="007E5C12">
        <w:rPr>
          <w:rFonts w:ascii="Calibri" w:eastAsia="Times New Roman" w:hAnsi="Calibri" w:cs="Times New Roman"/>
          <w:szCs w:val="18"/>
          <w:lang w:val="en-GB" w:bidi="he-IL"/>
        </w:rPr>
        <w:t xml:space="preserve">in </w:t>
      </w:r>
      <w:r w:rsidRPr="003C4C3D">
        <w:rPr>
          <w:rFonts w:ascii="Calibri" w:eastAsia="Times New Roman" w:hAnsi="Calibri" w:cs="Times New Roman"/>
          <w:szCs w:val="18"/>
          <w:lang w:val="en-GB" w:bidi="he-IL"/>
        </w:rPr>
        <w:t>the flesh of your foreskin.</w:t>
      </w:r>
      <w:r w:rsidR="007E5C12">
        <w:rPr>
          <w:rStyle w:val="FootnoteReference"/>
          <w:rFonts w:ascii="Calibri" w:eastAsia="Times New Roman" w:hAnsi="Calibri" w:cs="Times New Roman"/>
          <w:szCs w:val="18"/>
          <w:lang w:val="en-GB" w:bidi="he-IL"/>
        </w:rPr>
        <w:footnoteReference w:id="310"/>
      </w:r>
      <w:r w:rsidR="00C27270">
        <w:rPr>
          <w:rFonts w:ascii="Calibri" w:eastAsia="Times New Roman" w:hAnsi="Calibri" w:cs="Times New Roman"/>
          <w:szCs w:val="18"/>
          <w:lang w:val="en-GB" w:bidi="he-IL"/>
        </w:rPr>
        <w:t xml:space="preserve"> It will be a</w:t>
      </w:r>
      <w:r w:rsidRPr="003C4C3D">
        <w:rPr>
          <w:rFonts w:ascii="Calibri" w:eastAsia="Times New Roman" w:hAnsi="Calibri" w:cs="Times New Roman"/>
          <w:szCs w:val="18"/>
          <w:lang w:val="en-GB" w:bidi="he-IL"/>
        </w:rPr>
        <w:t xml:space="preserve"> sign of a pact between me and you. </w:t>
      </w:r>
      <w:r>
        <w:rPr>
          <w:rFonts w:ascii="Calibri" w:eastAsia="Times New Roman" w:hAnsi="Calibri" w:cs="Times New Roman"/>
          <w:szCs w:val="18"/>
          <w:vertAlign w:val="superscript"/>
          <w:lang w:val="en-GB" w:bidi="he-IL"/>
        </w:rPr>
        <w:t>12</w:t>
      </w:r>
      <w:r w:rsidRPr="003C4C3D">
        <w:rPr>
          <w:rFonts w:ascii="Calibri" w:eastAsia="Times New Roman" w:hAnsi="Calibri" w:cs="Times New Roman"/>
          <w:szCs w:val="18"/>
          <w:lang w:val="en-GB" w:bidi="he-IL"/>
        </w:rPr>
        <w:t>As a child of e</w:t>
      </w:r>
      <w:r w:rsidR="00CF7CC0">
        <w:rPr>
          <w:rFonts w:ascii="Calibri" w:eastAsia="Times New Roman" w:hAnsi="Calibri" w:cs="Times New Roman"/>
          <w:szCs w:val="18"/>
          <w:lang w:val="en-GB" w:bidi="he-IL"/>
        </w:rPr>
        <w:t xml:space="preserve">ight days, every male </w:t>
      </w:r>
      <w:r w:rsidRPr="003C4C3D">
        <w:rPr>
          <w:rFonts w:ascii="Calibri" w:eastAsia="Times New Roman" w:hAnsi="Calibri" w:cs="Times New Roman"/>
          <w:szCs w:val="18"/>
          <w:lang w:val="en-GB" w:bidi="he-IL"/>
        </w:rPr>
        <w:t>is to be circumcised</w:t>
      </w:r>
      <w:r w:rsidR="00CF7CC0">
        <w:rPr>
          <w:rFonts w:ascii="Calibri" w:eastAsia="Times New Roman" w:hAnsi="Calibri" w:cs="Times New Roman"/>
          <w:szCs w:val="18"/>
          <w:lang w:val="en-GB" w:bidi="he-IL"/>
        </w:rPr>
        <w:t xml:space="preserve"> on your part</w:t>
      </w:r>
      <w:r w:rsidR="00422FE4">
        <w:rPr>
          <w:rFonts w:ascii="Calibri" w:eastAsia="Times New Roman" w:hAnsi="Calibri" w:cs="Times New Roman"/>
          <w:szCs w:val="18"/>
          <w:lang w:val="en-GB" w:bidi="he-IL"/>
        </w:rPr>
        <w:t>, through your generations. One born in the household or</w:t>
      </w:r>
      <w:r w:rsidRPr="003C4C3D">
        <w:rPr>
          <w:rFonts w:ascii="Calibri" w:eastAsia="Times New Roman" w:hAnsi="Calibri" w:cs="Times New Roman"/>
          <w:szCs w:val="18"/>
          <w:lang w:val="en-GB" w:bidi="he-IL"/>
        </w:rPr>
        <w:t xml:space="preserve"> acquired for silver from any foreigner, who does</w:t>
      </w:r>
      <w:r w:rsidR="00C27270">
        <w:rPr>
          <w:rFonts w:ascii="Calibri" w:eastAsia="Times New Roman" w:hAnsi="Calibri" w:cs="Times New Roman"/>
          <w:szCs w:val="18"/>
          <w:lang w:val="en-GB" w:bidi="he-IL"/>
        </w:rPr>
        <w:t>n’</w:t>
      </w:r>
      <w:r w:rsidRPr="003C4C3D">
        <w:rPr>
          <w:rFonts w:ascii="Calibri" w:eastAsia="Times New Roman" w:hAnsi="Calibri" w:cs="Times New Roman"/>
          <w:szCs w:val="18"/>
          <w:lang w:val="en-GB" w:bidi="he-IL"/>
        </w:rPr>
        <w:t>t</w:t>
      </w:r>
      <w:r>
        <w:rPr>
          <w:rFonts w:ascii="Calibri" w:eastAsia="Times New Roman" w:hAnsi="Calibri" w:cs="Times New Roman"/>
          <w:szCs w:val="18"/>
          <w:lang w:val="en-GB" w:bidi="he-IL"/>
        </w:rPr>
        <w:t xml:space="preserve"> belong to your offspring: </w:t>
      </w:r>
      <w:r>
        <w:rPr>
          <w:rFonts w:ascii="Calibri" w:eastAsia="Times New Roman" w:hAnsi="Calibri" w:cs="Times New Roman"/>
          <w:szCs w:val="18"/>
          <w:vertAlign w:val="superscript"/>
          <w:lang w:val="en-GB" w:bidi="he-IL"/>
        </w:rPr>
        <w:t>13</w:t>
      </w:r>
      <w:r w:rsidR="003C4463">
        <w:rPr>
          <w:rFonts w:ascii="Calibri" w:eastAsia="Times New Roman" w:hAnsi="Calibri" w:cs="Times New Roman"/>
          <w:szCs w:val="18"/>
          <w:lang w:val="en-GB" w:bidi="he-IL"/>
        </w:rPr>
        <w:t>he i</w:t>
      </w:r>
      <w:r w:rsidRPr="003C4C3D">
        <w:rPr>
          <w:rFonts w:ascii="Calibri" w:eastAsia="Times New Roman" w:hAnsi="Calibri" w:cs="Times New Roman"/>
          <w:szCs w:val="18"/>
          <w:lang w:val="en-GB" w:bidi="he-IL"/>
        </w:rPr>
        <w:t xml:space="preserve">s </w:t>
      </w:r>
      <w:r w:rsidR="00422FE4">
        <w:rPr>
          <w:rFonts w:ascii="Calibri" w:eastAsia="Times New Roman" w:hAnsi="Calibri" w:cs="Times New Roman"/>
          <w:szCs w:val="18"/>
          <w:lang w:val="en-GB" w:bidi="he-IL"/>
        </w:rPr>
        <w:t>definitely to be circumcised,</w:t>
      </w:r>
      <w:r w:rsidR="00A270D0">
        <w:rPr>
          <w:rStyle w:val="FootnoteReference"/>
          <w:rFonts w:ascii="Calibri" w:eastAsia="Times New Roman" w:hAnsi="Calibri" w:cs="Times New Roman"/>
          <w:szCs w:val="18"/>
          <w:lang w:val="en-GB" w:bidi="he-IL"/>
        </w:rPr>
        <w:footnoteReference w:id="311"/>
      </w:r>
      <w:r w:rsidR="00422FE4">
        <w:rPr>
          <w:rFonts w:ascii="Calibri" w:eastAsia="Times New Roman" w:hAnsi="Calibri" w:cs="Times New Roman"/>
          <w:szCs w:val="18"/>
          <w:lang w:val="en-GB" w:bidi="he-IL"/>
        </w:rPr>
        <w:t xml:space="preserve"> one born in your household or </w:t>
      </w:r>
      <w:r w:rsidRPr="003C4C3D">
        <w:rPr>
          <w:rFonts w:ascii="Calibri" w:eastAsia="Times New Roman" w:hAnsi="Calibri" w:cs="Times New Roman"/>
          <w:szCs w:val="18"/>
          <w:lang w:val="en-GB" w:bidi="he-IL"/>
        </w:rPr>
        <w:t>acquired for silver. My pact i</w:t>
      </w:r>
      <w:r w:rsidR="00B506D3">
        <w:rPr>
          <w:rFonts w:ascii="Calibri" w:eastAsia="Times New Roman" w:hAnsi="Calibri" w:cs="Times New Roman"/>
          <w:szCs w:val="18"/>
          <w:lang w:val="en-GB" w:bidi="he-IL"/>
        </w:rPr>
        <w:t>n your flesh will be an age-long</w:t>
      </w:r>
      <w:r w:rsidRPr="003C4C3D">
        <w:rPr>
          <w:rFonts w:ascii="Calibri" w:eastAsia="Times New Roman" w:hAnsi="Calibri" w:cs="Times New Roman"/>
          <w:szCs w:val="18"/>
          <w:lang w:val="en-GB" w:bidi="he-IL"/>
        </w:rPr>
        <w:t xml:space="preserve"> pact. </w:t>
      </w:r>
      <w:r>
        <w:rPr>
          <w:rFonts w:ascii="Calibri" w:eastAsia="Times New Roman" w:hAnsi="Calibri" w:cs="Times New Roman"/>
          <w:szCs w:val="18"/>
          <w:vertAlign w:val="superscript"/>
          <w:lang w:val="en-GB" w:bidi="he-IL"/>
        </w:rPr>
        <w:t>14</w:t>
      </w:r>
      <w:r w:rsidR="00422FE4">
        <w:rPr>
          <w:rFonts w:ascii="Calibri" w:eastAsia="Times New Roman" w:hAnsi="Calibri" w:cs="Times New Roman"/>
          <w:szCs w:val="18"/>
          <w:lang w:val="en-GB" w:bidi="he-IL"/>
        </w:rPr>
        <w:t>A</w:t>
      </w:r>
      <w:r w:rsidRPr="003C4C3D">
        <w:rPr>
          <w:rFonts w:ascii="Calibri" w:eastAsia="Times New Roman" w:hAnsi="Calibri" w:cs="Times New Roman"/>
          <w:szCs w:val="18"/>
          <w:lang w:val="en-GB" w:bidi="he-IL"/>
        </w:rPr>
        <w:t xml:space="preserve"> foreski</w:t>
      </w:r>
      <w:r w:rsidR="007E5C12">
        <w:rPr>
          <w:rFonts w:ascii="Calibri" w:eastAsia="Times New Roman" w:hAnsi="Calibri" w:cs="Times New Roman"/>
          <w:szCs w:val="18"/>
          <w:lang w:val="en-GB" w:bidi="he-IL"/>
        </w:rPr>
        <w:t>nned male</w:t>
      </w:r>
      <w:r w:rsidR="009B6104">
        <w:rPr>
          <w:rFonts w:ascii="Calibri" w:eastAsia="Times New Roman" w:hAnsi="Calibri" w:cs="Times New Roman"/>
          <w:szCs w:val="18"/>
          <w:lang w:val="en-GB" w:bidi="he-IL"/>
        </w:rPr>
        <w:t>,</w:t>
      </w:r>
      <w:r w:rsidR="007E5C12">
        <w:rPr>
          <w:rFonts w:ascii="Calibri" w:eastAsia="Times New Roman" w:hAnsi="Calibri" w:cs="Times New Roman"/>
          <w:szCs w:val="18"/>
          <w:lang w:val="en-GB" w:bidi="he-IL"/>
        </w:rPr>
        <w:t xml:space="preserve"> </w:t>
      </w:r>
      <w:r w:rsidR="009B6104">
        <w:rPr>
          <w:rFonts w:ascii="Calibri" w:eastAsia="Times New Roman" w:hAnsi="Calibri" w:cs="Times New Roman"/>
          <w:szCs w:val="18"/>
          <w:lang w:val="en-GB" w:bidi="he-IL"/>
        </w:rPr>
        <w:t>who is not circumcised in the flesh of his</w:t>
      </w:r>
      <w:r w:rsidRPr="003C4C3D">
        <w:rPr>
          <w:rFonts w:ascii="Calibri" w:eastAsia="Times New Roman" w:hAnsi="Calibri" w:cs="Times New Roman"/>
          <w:szCs w:val="18"/>
          <w:lang w:val="en-GB" w:bidi="he-IL"/>
        </w:rPr>
        <w:t xml:space="preserve"> foreskin:</w:t>
      </w:r>
      <w:r w:rsidR="00F22ABB">
        <w:rPr>
          <w:rStyle w:val="FootnoteReference"/>
          <w:rFonts w:ascii="Calibri" w:eastAsia="Times New Roman" w:hAnsi="Calibri" w:cs="Times New Roman"/>
          <w:szCs w:val="18"/>
          <w:lang w:val="en-GB" w:bidi="he-IL"/>
        </w:rPr>
        <w:footnoteReference w:id="312"/>
      </w:r>
      <w:r w:rsidRPr="003C4C3D">
        <w:rPr>
          <w:rFonts w:ascii="Calibri" w:eastAsia="Times New Roman" w:hAnsi="Calibri" w:cs="Times New Roman"/>
          <w:szCs w:val="18"/>
          <w:lang w:val="en-GB" w:bidi="he-IL"/>
        </w:rPr>
        <w:t xml:space="preserve"> that person w</w:t>
      </w:r>
      <w:r w:rsidR="00DF74D0">
        <w:rPr>
          <w:rFonts w:ascii="Calibri" w:eastAsia="Times New Roman" w:hAnsi="Calibri" w:cs="Times New Roman"/>
          <w:szCs w:val="18"/>
          <w:lang w:val="en-GB" w:bidi="he-IL"/>
        </w:rPr>
        <w:t>ill be cut off from his people</w:t>
      </w:r>
      <w:r w:rsidR="00192FE6">
        <w:rPr>
          <w:rFonts w:ascii="Calibri" w:eastAsia="Times New Roman" w:hAnsi="Calibri" w:cs="Times New Roman"/>
          <w:szCs w:val="18"/>
          <w:lang w:val="en-GB" w:bidi="he-IL"/>
        </w:rPr>
        <w:t>. He ha</w:t>
      </w:r>
      <w:r w:rsidRPr="003C4C3D">
        <w:rPr>
          <w:rFonts w:ascii="Calibri" w:eastAsia="Times New Roman" w:hAnsi="Calibri" w:cs="Times New Roman"/>
          <w:szCs w:val="18"/>
          <w:lang w:val="en-GB" w:bidi="he-IL"/>
        </w:rPr>
        <w:t>s contravened</w:t>
      </w:r>
      <w:r w:rsidR="00CF4BB9">
        <w:rPr>
          <w:rStyle w:val="FootnoteReference"/>
          <w:rFonts w:ascii="Calibri" w:eastAsia="Times New Roman" w:hAnsi="Calibri" w:cs="Times New Roman"/>
          <w:szCs w:val="18"/>
          <w:lang w:val="en-GB" w:bidi="he-IL"/>
        </w:rPr>
        <w:footnoteReference w:id="313"/>
      </w:r>
      <w:r w:rsidRPr="003C4C3D">
        <w:rPr>
          <w:rFonts w:ascii="Calibri" w:eastAsia="Times New Roman" w:hAnsi="Calibri" w:cs="Times New Roman"/>
          <w:szCs w:val="18"/>
          <w:lang w:val="en-GB" w:bidi="he-IL"/>
        </w:rPr>
        <w:t xml:space="preserve"> my pact.</w:t>
      </w:r>
      <w:r w:rsidR="003D56BA">
        <w:rPr>
          <w:rFonts w:ascii="Calibri" w:eastAsia="Times New Roman" w:hAnsi="Calibri" w:cs="Times New Roman"/>
          <w:szCs w:val="18"/>
          <w:lang w:val="en-GB" w:bidi="he-IL"/>
        </w:rPr>
        <w:t>”</w:t>
      </w:r>
      <w:r w:rsidRPr="003C4C3D">
        <w:rPr>
          <w:rFonts w:ascii="Calibri" w:eastAsia="Times New Roman" w:hAnsi="Calibri" w:cs="Times New Roman"/>
          <w:szCs w:val="18"/>
          <w:lang w:val="en-GB" w:bidi="he-IL"/>
        </w:rPr>
        <w:t xml:space="preserve"> </w:t>
      </w:r>
    </w:p>
    <w:p w14:paraId="05FE5FD5" w14:textId="114B546F" w:rsidR="00C50FEB" w:rsidRDefault="003C4C3D" w:rsidP="003C4C3D">
      <w:pPr>
        <w:rPr>
          <w:rFonts w:ascii="Calibri" w:eastAsia="Times New Roman" w:hAnsi="Calibri" w:cs="Times New Roman"/>
          <w:lang w:val="en-GB" w:bidi="he-IL"/>
        </w:rPr>
      </w:pPr>
      <w:r>
        <w:rPr>
          <w:rFonts w:ascii="Calibri" w:eastAsia="Times New Roman" w:hAnsi="Calibri" w:cs="Times New Roman"/>
          <w:vertAlign w:val="superscript"/>
          <w:lang w:val="en-GB" w:bidi="he-IL"/>
        </w:rPr>
        <w:t>15</w:t>
      </w:r>
      <w:r w:rsidRPr="003C4C3D">
        <w:rPr>
          <w:rFonts w:ascii="Calibri" w:eastAsia="Times New Roman" w:hAnsi="Calibri" w:cs="Times New Roman"/>
          <w:lang w:val="en-GB" w:bidi="he-IL"/>
        </w:rPr>
        <w:t>And God said to Abraham:</w:t>
      </w:r>
      <w:r>
        <w:rPr>
          <w:rFonts w:ascii="Calibri" w:eastAsia="Times New Roman" w:hAnsi="Calibri" w:cs="Times New Roman"/>
          <w:lang w:val="en-GB" w:bidi="he-IL"/>
        </w:rPr>
        <w:t xml:space="preserve"> </w:t>
      </w:r>
      <w:r w:rsidR="003D56BA">
        <w:rPr>
          <w:rFonts w:ascii="Calibri" w:eastAsia="Times New Roman" w:hAnsi="Calibri" w:cs="Times New Roman"/>
          <w:lang w:val="en-GB" w:bidi="he-IL"/>
        </w:rPr>
        <w:t>“</w:t>
      </w:r>
      <w:r>
        <w:rPr>
          <w:rFonts w:ascii="Calibri" w:eastAsia="Times New Roman" w:hAnsi="Calibri" w:cs="Times New Roman"/>
          <w:lang w:val="en-GB" w:bidi="he-IL"/>
        </w:rPr>
        <w:t>Śaray</w:t>
      </w:r>
      <w:r w:rsidRPr="003C4C3D">
        <w:rPr>
          <w:rFonts w:ascii="Calibri" w:eastAsia="Times New Roman" w:hAnsi="Calibri" w:cs="Times New Roman"/>
          <w:lang w:val="en-GB" w:bidi="he-IL"/>
        </w:rPr>
        <w:t>, your wife: you’re not to name her</w:t>
      </w:r>
      <w:r>
        <w:rPr>
          <w:rFonts w:ascii="Calibri" w:eastAsia="Times New Roman" w:hAnsi="Calibri" w:cs="Times New Roman"/>
          <w:lang w:val="en-GB" w:bidi="he-IL"/>
        </w:rPr>
        <w:t xml:space="preserve"> Śaray</w:t>
      </w:r>
      <w:r w:rsidR="00192FE6">
        <w:rPr>
          <w:rFonts w:ascii="Calibri" w:eastAsia="Times New Roman" w:hAnsi="Calibri" w:cs="Times New Roman"/>
          <w:lang w:val="en-GB" w:bidi="he-IL"/>
        </w:rPr>
        <w:t>, because her name will be</w:t>
      </w:r>
      <w:r w:rsidRPr="003C4C3D">
        <w:rPr>
          <w:rFonts w:ascii="Calibri" w:eastAsia="Times New Roman" w:hAnsi="Calibri" w:cs="Times New Roman"/>
          <w:lang w:val="en-GB" w:bidi="he-IL"/>
        </w:rPr>
        <w:t xml:space="preserve"> </w:t>
      </w:r>
      <w:proofErr w:type="gramStart"/>
      <w:r>
        <w:rPr>
          <w:rFonts w:ascii="Calibri" w:eastAsia="Times New Roman" w:hAnsi="Calibri" w:cs="Times New Roman"/>
          <w:lang w:val="en-GB" w:bidi="he-IL"/>
        </w:rPr>
        <w:t>Ś</w:t>
      </w:r>
      <w:r w:rsidR="00B163DE">
        <w:rPr>
          <w:rFonts w:ascii="Calibri" w:eastAsia="Times New Roman" w:hAnsi="Calibri" w:cs="Times New Roman"/>
          <w:lang w:val="en-GB" w:bidi="he-IL"/>
        </w:rPr>
        <w:t>arah</w:t>
      </w:r>
      <w:proofErr w:type="gramEnd"/>
      <w:r w:rsidR="00B163DE">
        <w:rPr>
          <w:rFonts w:ascii="Calibri" w:eastAsia="Times New Roman" w:hAnsi="Calibri" w:cs="Times New Roman"/>
          <w:lang w:val="en-GB" w:bidi="he-IL"/>
        </w:rPr>
        <w:t xml:space="preserve">. </w:t>
      </w:r>
      <w:r w:rsidR="00B163DE">
        <w:rPr>
          <w:rFonts w:ascii="Calibri" w:eastAsia="Times New Roman" w:hAnsi="Calibri" w:cs="Times New Roman"/>
          <w:vertAlign w:val="superscript"/>
          <w:lang w:val="en-GB" w:bidi="he-IL"/>
        </w:rPr>
        <w:t>16</w:t>
      </w:r>
      <w:r w:rsidR="00BA10F5">
        <w:rPr>
          <w:rFonts w:ascii="Calibri" w:eastAsia="Times New Roman" w:hAnsi="Calibri" w:cs="Times New Roman"/>
          <w:lang w:val="en-GB" w:bidi="he-IL"/>
        </w:rPr>
        <w:t>I wi</w:t>
      </w:r>
      <w:r w:rsidR="008001FA">
        <w:rPr>
          <w:rFonts w:ascii="Calibri" w:eastAsia="Times New Roman" w:hAnsi="Calibri" w:cs="Times New Roman"/>
          <w:lang w:val="en-GB" w:bidi="he-IL"/>
        </w:rPr>
        <w:t xml:space="preserve">ll bless her. </w:t>
      </w:r>
      <w:r w:rsidR="00E92840">
        <w:rPr>
          <w:rFonts w:ascii="Calibri" w:eastAsia="Times New Roman" w:hAnsi="Calibri" w:cs="Times New Roman"/>
          <w:lang w:val="en-GB" w:bidi="he-IL"/>
        </w:rPr>
        <w:t xml:space="preserve">I am </w:t>
      </w:r>
      <w:r w:rsidR="008001FA">
        <w:rPr>
          <w:rFonts w:ascii="Calibri" w:eastAsia="Times New Roman" w:hAnsi="Calibri" w:cs="Times New Roman"/>
          <w:lang w:val="en-GB" w:bidi="he-IL"/>
        </w:rPr>
        <w:t xml:space="preserve">indeed </w:t>
      </w:r>
      <w:r w:rsidR="00E92840">
        <w:rPr>
          <w:rFonts w:ascii="Calibri" w:eastAsia="Times New Roman" w:hAnsi="Calibri" w:cs="Times New Roman"/>
          <w:lang w:val="en-GB" w:bidi="he-IL"/>
        </w:rPr>
        <w:t>giving</w:t>
      </w:r>
      <w:r w:rsidR="00B163DE">
        <w:rPr>
          <w:rFonts w:ascii="Calibri" w:eastAsia="Times New Roman" w:hAnsi="Calibri" w:cs="Times New Roman"/>
          <w:lang w:val="en-GB" w:bidi="he-IL"/>
        </w:rPr>
        <w:t xml:space="preserve"> you a son from her. I wi</w:t>
      </w:r>
      <w:r w:rsidR="00534212">
        <w:rPr>
          <w:rFonts w:ascii="Calibri" w:eastAsia="Times New Roman" w:hAnsi="Calibri" w:cs="Times New Roman"/>
          <w:lang w:val="en-GB" w:bidi="he-IL"/>
        </w:rPr>
        <w:t>ll bless her and she wi</w:t>
      </w:r>
      <w:r w:rsidRPr="003C4C3D">
        <w:rPr>
          <w:rFonts w:ascii="Calibri" w:eastAsia="Times New Roman" w:hAnsi="Calibri" w:cs="Times New Roman"/>
          <w:lang w:val="en-GB" w:bidi="he-IL"/>
        </w:rPr>
        <w:t xml:space="preserve">ll become nations; </w:t>
      </w:r>
      <w:r w:rsidR="00534212">
        <w:rPr>
          <w:rFonts w:ascii="Calibri" w:eastAsia="Times New Roman" w:hAnsi="Calibri" w:cs="Times New Roman"/>
          <w:lang w:val="en-GB" w:bidi="he-IL"/>
        </w:rPr>
        <w:t xml:space="preserve">there will be kings of peoples </w:t>
      </w:r>
      <w:r w:rsidRPr="003C4C3D">
        <w:rPr>
          <w:rFonts w:ascii="Calibri" w:eastAsia="Times New Roman" w:hAnsi="Calibri" w:cs="Times New Roman"/>
          <w:lang w:val="en-GB" w:bidi="he-IL"/>
        </w:rPr>
        <w:t>from her.</w:t>
      </w:r>
      <w:r w:rsidR="003D56BA">
        <w:rPr>
          <w:rFonts w:ascii="Calibri" w:eastAsia="Times New Roman" w:hAnsi="Calibri" w:cs="Times New Roman"/>
          <w:lang w:val="en-GB" w:bidi="he-IL"/>
        </w:rPr>
        <w:t>”</w:t>
      </w:r>
      <w:r w:rsidR="00B163DE">
        <w:rPr>
          <w:rStyle w:val="FootnoteReference"/>
          <w:rFonts w:ascii="Calibri" w:eastAsia="Times New Roman" w:hAnsi="Calibri" w:cs="Times New Roman"/>
          <w:lang w:val="en-GB" w:bidi="he-IL"/>
        </w:rPr>
        <w:footnoteReference w:id="314"/>
      </w:r>
      <w:r w:rsidRPr="003C4C3D">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17</w:t>
      </w:r>
      <w:r w:rsidRPr="003C4C3D">
        <w:rPr>
          <w:rFonts w:ascii="Calibri" w:eastAsia="Times New Roman" w:hAnsi="Calibri" w:cs="Times New Roman"/>
          <w:lang w:val="en-GB" w:bidi="he-IL"/>
        </w:rPr>
        <w:t>Abraham fell on his face, laughed,</w:t>
      </w:r>
      <w:r w:rsidR="008D04D9">
        <w:rPr>
          <w:rStyle w:val="FootnoteReference"/>
          <w:rFonts w:ascii="Calibri" w:eastAsia="Times New Roman" w:hAnsi="Calibri" w:cs="Times New Roman"/>
          <w:lang w:val="en-GB" w:bidi="he-IL"/>
        </w:rPr>
        <w:footnoteReference w:id="315"/>
      </w:r>
      <w:r w:rsidRPr="003C4C3D">
        <w:rPr>
          <w:rFonts w:ascii="Calibri" w:eastAsia="Times New Roman" w:hAnsi="Calibri" w:cs="Times New Roman"/>
          <w:lang w:val="en-GB" w:bidi="he-IL"/>
        </w:rPr>
        <w:t xml:space="preserve"> and said to himself, </w:t>
      </w:r>
      <w:r w:rsidR="003D56BA">
        <w:rPr>
          <w:rFonts w:ascii="Calibri" w:eastAsia="Times New Roman" w:hAnsi="Calibri" w:cs="Times New Roman"/>
          <w:lang w:val="en-GB" w:bidi="he-IL"/>
        </w:rPr>
        <w:t>“</w:t>
      </w:r>
      <w:r w:rsidR="00BA10F5">
        <w:rPr>
          <w:rFonts w:ascii="Calibri" w:eastAsia="Times New Roman" w:hAnsi="Calibri" w:cs="Times New Roman"/>
          <w:lang w:val="en-GB" w:bidi="he-IL"/>
        </w:rPr>
        <w:t>T</w:t>
      </w:r>
      <w:r w:rsidRPr="003C4C3D">
        <w:rPr>
          <w:rFonts w:ascii="Calibri" w:eastAsia="Times New Roman" w:hAnsi="Calibri" w:cs="Times New Roman"/>
          <w:lang w:val="en-GB" w:bidi="he-IL"/>
        </w:rPr>
        <w:t xml:space="preserve">o a </w:t>
      </w:r>
      <w:r w:rsidR="004D7043">
        <w:rPr>
          <w:rFonts w:ascii="Calibri" w:eastAsia="Times New Roman" w:hAnsi="Calibri" w:cs="Times New Roman"/>
          <w:lang w:val="en-GB" w:bidi="he-IL"/>
        </w:rPr>
        <w:t>man of a hundred years</w:t>
      </w:r>
      <w:r w:rsidR="00394F1E">
        <w:rPr>
          <w:rFonts w:ascii="Calibri" w:eastAsia="Times New Roman" w:hAnsi="Calibri" w:cs="Times New Roman"/>
          <w:lang w:val="en-GB" w:bidi="he-IL"/>
        </w:rPr>
        <w:t xml:space="preserve"> will</w:t>
      </w:r>
      <w:r w:rsidR="00BA10F5" w:rsidRPr="00BA10F5">
        <w:rPr>
          <w:rFonts w:ascii="Calibri" w:eastAsia="Times New Roman" w:hAnsi="Calibri" w:cs="Times New Roman"/>
          <w:lang w:val="en-GB" w:bidi="he-IL"/>
        </w:rPr>
        <w:t xml:space="preserve"> a child be born</w:t>
      </w:r>
      <w:r w:rsidR="00394F1E">
        <w:rPr>
          <w:rFonts w:ascii="Calibri" w:eastAsia="Times New Roman" w:hAnsi="Calibri" w:cs="Times New Roman"/>
          <w:lang w:val="en-GB" w:bidi="he-IL"/>
        </w:rPr>
        <w:t>, or will</w:t>
      </w:r>
      <w:r w:rsidR="004D7043">
        <w:rPr>
          <w:rFonts w:ascii="Calibri" w:eastAsia="Times New Roman" w:hAnsi="Calibri" w:cs="Times New Roman"/>
          <w:lang w:val="en-GB" w:bidi="he-IL"/>
        </w:rPr>
        <w:t xml:space="preserve"> </w:t>
      </w:r>
      <w:proofErr w:type="gramStart"/>
      <w:r w:rsidR="004D7043">
        <w:rPr>
          <w:rFonts w:ascii="Calibri" w:eastAsia="Times New Roman" w:hAnsi="Calibri" w:cs="Times New Roman"/>
          <w:lang w:val="en-GB" w:bidi="he-IL"/>
        </w:rPr>
        <w:t>Ś</w:t>
      </w:r>
      <w:r w:rsidR="00BA10F5">
        <w:rPr>
          <w:rFonts w:ascii="Calibri" w:eastAsia="Times New Roman" w:hAnsi="Calibri" w:cs="Times New Roman"/>
          <w:lang w:val="en-GB" w:bidi="he-IL"/>
        </w:rPr>
        <w:t>arah—</w:t>
      </w:r>
      <w:proofErr w:type="gramEnd"/>
      <w:r w:rsidR="00394F1E">
        <w:rPr>
          <w:rFonts w:ascii="Calibri" w:eastAsia="Times New Roman" w:hAnsi="Calibri" w:cs="Times New Roman"/>
          <w:lang w:val="en-GB" w:bidi="he-IL"/>
        </w:rPr>
        <w:t>will</w:t>
      </w:r>
      <w:r w:rsidRPr="003C4C3D">
        <w:rPr>
          <w:rFonts w:ascii="Calibri" w:eastAsia="Times New Roman" w:hAnsi="Calibri" w:cs="Times New Roman"/>
          <w:lang w:val="en-GB" w:bidi="he-IL"/>
        </w:rPr>
        <w:t xml:space="preserve"> a woman of ninety years</w:t>
      </w:r>
      <w:r w:rsidR="00BA10F5">
        <w:rPr>
          <w:rFonts w:ascii="Calibri" w:eastAsia="Times New Roman" w:hAnsi="Calibri" w:cs="Times New Roman"/>
          <w:lang w:val="en-GB" w:bidi="he-IL"/>
        </w:rPr>
        <w:t xml:space="preserve"> give birth</w:t>
      </w:r>
      <w:r w:rsidRPr="003C4C3D">
        <w:rPr>
          <w:rFonts w:ascii="Calibri" w:eastAsia="Times New Roman" w:hAnsi="Calibri" w:cs="Times New Roman"/>
          <w:lang w:val="en-GB" w:bidi="he-IL"/>
        </w:rPr>
        <w:t>?</w:t>
      </w:r>
      <w:r w:rsidR="003D56BA">
        <w:rPr>
          <w:rFonts w:ascii="Calibri" w:eastAsia="Times New Roman" w:hAnsi="Calibri" w:cs="Times New Roman"/>
          <w:lang w:val="en-GB" w:bidi="he-IL"/>
        </w:rPr>
        <w:t>”</w:t>
      </w:r>
      <w:r w:rsidR="00394F1E">
        <w:rPr>
          <w:rStyle w:val="FootnoteReference"/>
          <w:rFonts w:ascii="Calibri" w:eastAsia="Times New Roman" w:hAnsi="Calibri" w:cs="Times New Roman"/>
          <w:lang w:val="en-GB" w:bidi="he-IL"/>
        </w:rPr>
        <w:footnoteReference w:id="316"/>
      </w:r>
      <w:r w:rsidRPr="003C4C3D">
        <w:rPr>
          <w:rFonts w:ascii="Calibri" w:eastAsia="Times New Roman" w:hAnsi="Calibri" w:cs="Times New Roman"/>
          <w:lang w:val="en-GB" w:bidi="he-IL"/>
        </w:rPr>
        <w:t xml:space="preserve"> </w:t>
      </w:r>
    </w:p>
    <w:p w14:paraId="0AAF30EB" w14:textId="298A374A" w:rsidR="003C4C3D" w:rsidRPr="003C4C3D" w:rsidRDefault="003C4C3D" w:rsidP="003C4C3D">
      <w:pPr>
        <w:rPr>
          <w:rFonts w:ascii="Calibri" w:eastAsia="Times New Roman" w:hAnsi="Calibri" w:cs="Times New Roman"/>
          <w:lang w:val="en-GB" w:bidi="he-IL"/>
        </w:rPr>
      </w:pPr>
      <w:r>
        <w:rPr>
          <w:rFonts w:ascii="Calibri" w:eastAsia="Times New Roman" w:hAnsi="Calibri" w:cs="Times New Roman"/>
          <w:vertAlign w:val="superscript"/>
          <w:lang w:val="en-GB" w:bidi="he-IL"/>
        </w:rPr>
        <w:t>18</w:t>
      </w:r>
      <w:r w:rsidRPr="003C4C3D">
        <w:rPr>
          <w:rFonts w:ascii="Calibri" w:eastAsia="Times New Roman" w:hAnsi="Calibri" w:cs="Times New Roman"/>
          <w:lang w:val="en-GB" w:bidi="he-IL"/>
        </w:rPr>
        <w:t xml:space="preserve">Abraham said to God, </w:t>
      </w:r>
      <w:r w:rsidR="003D56BA">
        <w:rPr>
          <w:rFonts w:ascii="Calibri" w:eastAsia="Times New Roman" w:hAnsi="Calibri" w:cs="Times New Roman"/>
          <w:lang w:val="en-GB" w:bidi="he-IL"/>
        </w:rPr>
        <w:t>“</w:t>
      </w:r>
      <w:r w:rsidRPr="003C4C3D">
        <w:rPr>
          <w:rFonts w:ascii="Calibri" w:eastAsia="Times New Roman" w:hAnsi="Calibri" w:cs="Times New Roman"/>
          <w:lang w:val="en-GB" w:bidi="he-IL"/>
        </w:rPr>
        <w:t>If only</w:t>
      </w:r>
      <w:r w:rsidR="004D7043">
        <w:rPr>
          <w:rFonts w:ascii="Calibri" w:eastAsia="Times New Roman" w:hAnsi="Calibri" w:cs="Times New Roman"/>
          <w:lang w:val="en-GB" w:bidi="he-IL"/>
        </w:rPr>
        <w:t xml:space="preserve"> Yiš</w:t>
      </w:r>
      <w:r w:rsidRPr="003C4C3D">
        <w:rPr>
          <w:rFonts w:ascii="Calibri" w:eastAsia="Times New Roman" w:hAnsi="Calibri" w:cs="Times New Roman"/>
          <w:lang w:val="en-GB" w:bidi="he-IL"/>
        </w:rPr>
        <w:t>ma</w:t>
      </w:r>
      <w:r w:rsidR="00D75E04">
        <w:rPr>
          <w:rFonts w:ascii="Calibri" w:eastAsia="Times New Roman" w:hAnsi="Calibri" w:cs="Times New Roman"/>
          <w:lang w:val="en-GB" w:bidi="he-IL"/>
        </w:rPr>
        <w:t>‘</w:t>
      </w:r>
      <w:r w:rsidR="00470556">
        <w:rPr>
          <w:rFonts w:ascii="Calibri" w:eastAsia="Times New Roman" w:hAnsi="Calibri" w:cs="Times New Roman"/>
          <w:lang w:val="en-GB" w:bidi="he-IL"/>
        </w:rPr>
        <w:t>e’l might live before you</w:t>
      </w:r>
      <w:r w:rsidR="004D7043">
        <w:rPr>
          <w:rFonts w:ascii="Calibri" w:eastAsia="Times New Roman" w:hAnsi="Calibri" w:cs="Times New Roman"/>
          <w:lang w:val="en-GB" w:bidi="he-IL"/>
        </w:rPr>
        <w:t>.</w:t>
      </w:r>
      <w:r w:rsidR="003D56BA">
        <w:rPr>
          <w:rFonts w:ascii="Calibri" w:eastAsia="Times New Roman" w:hAnsi="Calibri" w:cs="Times New Roman"/>
          <w:lang w:val="en-GB" w:bidi="he-IL"/>
        </w:rPr>
        <w:t>”</w:t>
      </w:r>
      <w:r w:rsidR="004D7043">
        <w:rPr>
          <w:rFonts w:ascii="Calibri" w:eastAsia="Times New Roman" w:hAnsi="Calibri" w:cs="Times New Roman"/>
          <w:lang w:val="en-GB" w:bidi="he-IL"/>
        </w:rPr>
        <w:t xml:space="preserve"> </w:t>
      </w:r>
      <w:r w:rsidR="004D7043">
        <w:rPr>
          <w:rFonts w:ascii="Calibri" w:eastAsia="Times New Roman" w:hAnsi="Calibri" w:cs="Times New Roman"/>
          <w:vertAlign w:val="superscript"/>
          <w:lang w:val="en-GB" w:bidi="he-IL"/>
        </w:rPr>
        <w:t>19</w:t>
      </w:r>
      <w:r w:rsidRPr="003C4C3D">
        <w:rPr>
          <w:rFonts w:ascii="Calibri" w:eastAsia="Times New Roman" w:hAnsi="Calibri" w:cs="Times New Roman"/>
          <w:lang w:val="en-GB" w:bidi="he-IL"/>
        </w:rPr>
        <w:t>G</w:t>
      </w:r>
      <w:r w:rsidR="0027545D">
        <w:rPr>
          <w:rFonts w:ascii="Calibri" w:eastAsia="Times New Roman" w:hAnsi="Calibri" w:cs="Times New Roman"/>
          <w:lang w:val="en-GB" w:bidi="he-IL"/>
        </w:rPr>
        <w:t xml:space="preserve">od said, </w:t>
      </w:r>
      <w:r w:rsidR="003D56BA">
        <w:rPr>
          <w:rFonts w:ascii="Calibri" w:eastAsia="Times New Roman" w:hAnsi="Calibri" w:cs="Times New Roman"/>
          <w:lang w:val="en-GB" w:bidi="he-IL"/>
        </w:rPr>
        <w:t>“</w:t>
      </w:r>
      <w:r w:rsidRPr="003C4C3D">
        <w:rPr>
          <w:rFonts w:ascii="Calibri" w:eastAsia="Times New Roman" w:hAnsi="Calibri" w:cs="Times New Roman"/>
          <w:lang w:val="en-GB" w:bidi="he-IL"/>
        </w:rPr>
        <w:t xml:space="preserve">Well: </w:t>
      </w:r>
      <w:proofErr w:type="gramStart"/>
      <w:r>
        <w:rPr>
          <w:rFonts w:ascii="Calibri" w:eastAsia="Times New Roman" w:hAnsi="Calibri" w:cs="Times New Roman"/>
          <w:lang w:val="en-GB" w:bidi="he-IL"/>
        </w:rPr>
        <w:t>Ś</w:t>
      </w:r>
      <w:r w:rsidRPr="003C4C3D">
        <w:rPr>
          <w:rFonts w:ascii="Calibri" w:eastAsia="Times New Roman" w:hAnsi="Calibri" w:cs="Times New Roman"/>
          <w:lang w:val="en-GB" w:bidi="he-IL"/>
        </w:rPr>
        <w:t>arah</w:t>
      </w:r>
      <w:proofErr w:type="gramEnd"/>
      <w:r w:rsidRPr="003C4C3D">
        <w:rPr>
          <w:rFonts w:ascii="Calibri" w:eastAsia="Times New Roman" w:hAnsi="Calibri" w:cs="Times New Roman"/>
          <w:lang w:val="en-GB" w:bidi="he-IL"/>
        </w:rPr>
        <w:t xml:space="preserve"> your wife, she’s going to give birth to a son for you</w:t>
      </w:r>
      <w:r w:rsidR="00DF6E04">
        <w:rPr>
          <w:rFonts w:ascii="Calibri" w:eastAsia="Times New Roman" w:hAnsi="Calibri" w:cs="Times New Roman"/>
          <w:lang w:val="en-GB" w:bidi="he-IL"/>
        </w:rPr>
        <w:t>, and you’</w:t>
      </w:r>
      <w:r w:rsidR="000F7798">
        <w:rPr>
          <w:rFonts w:ascii="Calibri" w:eastAsia="Times New Roman" w:hAnsi="Calibri" w:cs="Times New Roman"/>
          <w:lang w:val="en-GB" w:bidi="he-IL"/>
        </w:rPr>
        <w:t>re to name him Yi</w:t>
      </w:r>
      <w:r w:rsidR="004D7043">
        <w:rPr>
          <w:rFonts w:ascii="Calibri" w:eastAsia="Times New Roman" w:hAnsi="Calibri" w:cs="Times New Roman"/>
          <w:lang w:val="en-GB" w:bidi="he-IL"/>
        </w:rPr>
        <w:t>ṣḥaq</w:t>
      </w:r>
      <w:r w:rsidR="0027545D">
        <w:rPr>
          <w:rFonts w:ascii="Calibri" w:eastAsia="Times New Roman" w:hAnsi="Calibri" w:cs="Times New Roman"/>
          <w:lang w:val="en-GB" w:bidi="he-IL"/>
        </w:rPr>
        <w:t xml:space="preserve">. I </w:t>
      </w:r>
      <w:r w:rsidR="003C4463">
        <w:rPr>
          <w:rFonts w:ascii="Calibri" w:eastAsia="Times New Roman" w:hAnsi="Calibri" w:cs="Times New Roman"/>
          <w:lang w:val="en-GB" w:bidi="he-IL"/>
        </w:rPr>
        <w:t>will</w:t>
      </w:r>
      <w:r w:rsidR="0027545D">
        <w:rPr>
          <w:rFonts w:ascii="Calibri" w:eastAsia="Times New Roman" w:hAnsi="Calibri" w:cs="Times New Roman"/>
          <w:lang w:val="en-GB" w:bidi="he-IL"/>
        </w:rPr>
        <w:t xml:space="preserve"> </w:t>
      </w:r>
      <w:r w:rsidR="002D6B99">
        <w:rPr>
          <w:rFonts w:ascii="Calibri" w:eastAsia="Times New Roman" w:hAnsi="Calibri" w:cs="Times New Roman"/>
          <w:lang w:val="en-GB" w:bidi="he-IL"/>
        </w:rPr>
        <w:t>implement</w:t>
      </w:r>
      <w:r w:rsidR="0027545D">
        <w:rPr>
          <w:rFonts w:ascii="Calibri" w:eastAsia="Times New Roman" w:hAnsi="Calibri" w:cs="Times New Roman"/>
          <w:lang w:val="en-GB" w:bidi="he-IL"/>
        </w:rPr>
        <w:t xml:space="preserve"> </w:t>
      </w:r>
      <w:r w:rsidR="0052142E">
        <w:rPr>
          <w:rFonts w:ascii="Calibri" w:eastAsia="Times New Roman" w:hAnsi="Calibri" w:cs="Times New Roman"/>
          <w:lang w:val="en-GB" w:bidi="he-IL"/>
        </w:rPr>
        <w:t>my pact with</w:t>
      </w:r>
      <w:r w:rsidR="00B506D3">
        <w:rPr>
          <w:rFonts w:ascii="Calibri" w:eastAsia="Times New Roman" w:hAnsi="Calibri" w:cs="Times New Roman"/>
          <w:lang w:val="en-GB" w:bidi="he-IL"/>
        </w:rPr>
        <w:t xml:space="preserve"> him as an age-long</w:t>
      </w:r>
      <w:r w:rsidRPr="003C4C3D">
        <w:rPr>
          <w:rFonts w:ascii="Calibri" w:eastAsia="Times New Roman" w:hAnsi="Calibri" w:cs="Times New Roman"/>
          <w:lang w:val="en-GB" w:bidi="he-IL"/>
        </w:rPr>
        <w:t xml:space="preserve"> pact for his offspring after him. </w:t>
      </w:r>
      <w:r w:rsidR="004D7043">
        <w:rPr>
          <w:rFonts w:ascii="Calibri" w:eastAsia="Times New Roman" w:hAnsi="Calibri" w:cs="Times New Roman"/>
          <w:vertAlign w:val="superscript"/>
          <w:lang w:val="en-GB" w:bidi="he-IL"/>
        </w:rPr>
        <w:t>20</w:t>
      </w:r>
      <w:r w:rsidR="00D75E04">
        <w:rPr>
          <w:rFonts w:ascii="Calibri" w:eastAsia="Times New Roman" w:hAnsi="Calibri" w:cs="Times New Roman"/>
          <w:lang w:val="en-GB" w:bidi="he-IL"/>
        </w:rPr>
        <w:t xml:space="preserve">As for </w:t>
      </w:r>
      <w:r w:rsidR="00D75E04" w:rsidRPr="00D75E04">
        <w:rPr>
          <w:rFonts w:ascii="Calibri" w:eastAsia="Times New Roman" w:hAnsi="Calibri" w:cs="Times New Roman"/>
          <w:lang w:val="en-GB" w:bidi="he-IL"/>
        </w:rPr>
        <w:t>Yišma‘e’l</w:t>
      </w:r>
      <w:r w:rsidR="003C47A3">
        <w:rPr>
          <w:rFonts w:ascii="Calibri" w:eastAsia="Times New Roman" w:hAnsi="Calibri" w:cs="Times New Roman"/>
          <w:lang w:val="en-GB" w:bidi="he-IL"/>
        </w:rPr>
        <w:t>: I’ve list</w:t>
      </w:r>
      <w:r w:rsidR="00E92840">
        <w:rPr>
          <w:rFonts w:ascii="Calibri" w:eastAsia="Times New Roman" w:hAnsi="Calibri" w:cs="Times New Roman"/>
          <w:lang w:val="en-GB" w:bidi="he-IL"/>
        </w:rPr>
        <w:t>ened. There, I am</w:t>
      </w:r>
      <w:r w:rsidR="00394F1E">
        <w:rPr>
          <w:rFonts w:ascii="Calibri" w:eastAsia="Times New Roman" w:hAnsi="Calibri" w:cs="Times New Roman"/>
          <w:lang w:val="en-GB" w:bidi="he-IL"/>
        </w:rPr>
        <w:t xml:space="preserve"> bless</w:t>
      </w:r>
      <w:r w:rsidR="00E92840">
        <w:rPr>
          <w:rFonts w:ascii="Calibri" w:eastAsia="Times New Roman" w:hAnsi="Calibri" w:cs="Times New Roman"/>
          <w:lang w:val="en-GB" w:bidi="he-IL"/>
        </w:rPr>
        <w:t>ing</w:t>
      </w:r>
      <w:r w:rsidR="00394F1E">
        <w:rPr>
          <w:rFonts w:ascii="Calibri" w:eastAsia="Times New Roman" w:hAnsi="Calibri" w:cs="Times New Roman"/>
          <w:lang w:val="en-GB" w:bidi="he-IL"/>
        </w:rPr>
        <w:t xml:space="preserve"> him</w:t>
      </w:r>
      <w:r w:rsidR="00F22D8B">
        <w:rPr>
          <w:rFonts w:ascii="Calibri" w:eastAsia="Times New Roman" w:hAnsi="Calibri" w:cs="Times New Roman"/>
          <w:lang w:val="en-GB" w:bidi="he-IL"/>
        </w:rPr>
        <w:t>. I will enable</w:t>
      </w:r>
      <w:r w:rsidRPr="003C4C3D">
        <w:rPr>
          <w:rFonts w:ascii="Calibri" w:eastAsia="Times New Roman" w:hAnsi="Calibri" w:cs="Times New Roman"/>
          <w:lang w:val="en-GB" w:bidi="he-IL"/>
        </w:rPr>
        <w:t xml:space="preserve"> him </w:t>
      </w:r>
      <w:r w:rsidR="00C653C1">
        <w:rPr>
          <w:rFonts w:ascii="Calibri" w:eastAsia="Times New Roman" w:hAnsi="Calibri" w:cs="Times New Roman"/>
          <w:lang w:val="en-GB" w:bidi="he-IL"/>
        </w:rPr>
        <w:t xml:space="preserve">to be </w:t>
      </w:r>
      <w:r w:rsidRPr="003C4C3D">
        <w:rPr>
          <w:rFonts w:ascii="Calibri" w:eastAsia="Times New Roman" w:hAnsi="Calibri" w:cs="Times New Roman"/>
          <w:lang w:val="en-GB" w:bidi="he-IL"/>
        </w:rPr>
        <w:t>fruitful an</w:t>
      </w:r>
      <w:r w:rsidR="00C653C1">
        <w:rPr>
          <w:rFonts w:ascii="Calibri" w:eastAsia="Times New Roman" w:hAnsi="Calibri" w:cs="Times New Roman"/>
          <w:lang w:val="en-GB" w:bidi="he-IL"/>
        </w:rPr>
        <w:t>d</w:t>
      </w:r>
      <w:r w:rsidRPr="003C4C3D">
        <w:rPr>
          <w:rFonts w:ascii="Calibri" w:eastAsia="Times New Roman" w:hAnsi="Calibri" w:cs="Times New Roman"/>
          <w:lang w:val="en-GB" w:bidi="he-IL"/>
        </w:rPr>
        <w:t xml:space="preserve"> very, very numerous. Twelve leaders he will father, and I </w:t>
      </w:r>
      <w:r w:rsidR="003C4463">
        <w:rPr>
          <w:rFonts w:ascii="Calibri" w:eastAsia="Times New Roman" w:hAnsi="Calibri" w:cs="Times New Roman"/>
          <w:lang w:val="en-GB" w:bidi="he-IL"/>
        </w:rPr>
        <w:t>will</w:t>
      </w:r>
      <w:r w:rsidR="004D7043">
        <w:rPr>
          <w:rFonts w:ascii="Calibri" w:eastAsia="Times New Roman" w:hAnsi="Calibri" w:cs="Times New Roman"/>
          <w:lang w:val="en-GB" w:bidi="he-IL"/>
        </w:rPr>
        <w:t xml:space="preserve"> make him a big nation. </w:t>
      </w:r>
      <w:r w:rsidR="004D7043">
        <w:rPr>
          <w:rFonts w:ascii="Calibri" w:eastAsia="Times New Roman" w:hAnsi="Calibri" w:cs="Times New Roman"/>
          <w:vertAlign w:val="superscript"/>
          <w:lang w:val="en-GB" w:bidi="he-IL"/>
        </w:rPr>
        <w:t>21</w:t>
      </w:r>
      <w:r w:rsidRPr="003C4C3D">
        <w:rPr>
          <w:rFonts w:ascii="Calibri" w:eastAsia="Times New Roman" w:hAnsi="Calibri" w:cs="Times New Roman"/>
          <w:lang w:val="en-GB" w:bidi="he-IL"/>
        </w:rPr>
        <w:t xml:space="preserve">But my pact I </w:t>
      </w:r>
      <w:r w:rsidR="003C4463">
        <w:rPr>
          <w:rFonts w:ascii="Calibri" w:eastAsia="Times New Roman" w:hAnsi="Calibri" w:cs="Times New Roman"/>
          <w:lang w:val="en-GB" w:bidi="he-IL"/>
        </w:rPr>
        <w:t>will</w:t>
      </w:r>
      <w:r w:rsidR="00774CF1">
        <w:rPr>
          <w:rFonts w:ascii="Calibri" w:eastAsia="Times New Roman" w:hAnsi="Calibri" w:cs="Times New Roman"/>
          <w:lang w:val="en-GB" w:bidi="he-IL"/>
        </w:rPr>
        <w:t xml:space="preserve"> </w:t>
      </w:r>
      <w:r w:rsidR="002D6B99">
        <w:rPr>
          <w:rFonts w:ascii="Calibri" w:eastAsia="Times New Roman" w:hAnsi="Calibri" w:cs="Times New Roman"/>
          <w:lang w:val="en-GB" w:bidi="he-IL"/>
        </w:rPr>
        <w:t>implement</w:t>
      </w:r>
      <w:r w:rsidR="004D7043">
        <w:rPr>
          <w:rFonts w:ascii="Calibri" w:eastAsia="Times New Roman" w:hAnsi="Calibri" w:cs="Times New Roman"/>
          <w:lang w:val="en-GB" w:bidi="he-IL"/>
        </w:rPr>
        <w:t xml:space="preserve"> with </w:t>
      </w:r>
      <w:r w:rsidR="000F7798">
        <w:rPr>
          <w:rFonts w:ascii="Calibri" w:eastAsia="Times New Roman" w:hAnsi="Calibri" w:cs="Times New Roman"/>
          <w:lang w:val="en-GB" w:bidi="he-IL"/>
        </w:rPr>
        <w:t>Yi</w:t>
      </w:r>
      <w:r w:rsidR="004D7043" w:rsidRPr="004D7043">
        <w:rPr>
          <w:rFonts w:ascii="Calibri" w:eastAsia="Times New Roman" w:hAnsi="Calibri" w:cs="Times New Roman"/>
          <w:lang w:val="en-GB" w:bidi="he-IL"/>
        </w:rPr>
        <w:t>ṣḥaq</w:t>
      </w:r>
      <w:r w:rsidR="004D7043">
        <w:rPr>
          <w:rFonts w:ascii="Calibri" w:eastAsia="Times New Roman" w:hAnsi="Calibri" w:cs="Times New Roman"/>
          <w:lang w:val="en-GB" w:bidi="he-IL"/>
        </w:rPr>
        <w:t xml:space="preserve">, to whom </w:t>
      </w:r>
      <w:proofErr w:type="gramStart"/>
      <w:r w:rsidR="004D7043">
        <w:rPr>
          <w:rFonts w:ascii="Calibri" w:eastAsia="Times New Roman" w:hAnsi="Calibri" w:cs="Times New Roman"/>
          <w:lang w:val="en-GB" w:bidi="he-IL"/>
        </w:rPr>
        <w:t>Ś</w:t>
      </w:r>
      <w:r w:rsidRPr="003C4C3D">
        <w:rPr>
          <w:rFonts w:ascii="Calibri" w:eastAsia="Times New Roman" w:hAnsi="Calibri" w:cs="Times New Roman"/>
          <w:lang w:val="en-GB" w:bidi="he-IL"/>
        </w:rPr>
        <w:t>arah</w:t>
      </w:r>
      <w:proofErr w:type="gramEnd"/>
      <w:r w:rsidRPr="003C4C3D">
        <w:rPr>
          <w:rFonts w:ascii="Calibri" w:eastAsia="Times New Roman" w:hAnsi="Calibri" w:cs="Times New Roman"/>
          <w:lang w:val="en-GB" w:bidi="he-IL"/>
        </w:rPr>
        <w:t xml:space="preserve"> will give birth for</w:t>
      </w:r>
      <w:r w:rsidR="004D7043">
        <w:rPr>
          <w:rFonts w:ascii="Calibri" w:eastAsia="Times New Roman" w:hAnsi="Calibri" w:cs="Times New Roman"/>
          <w:lang w:val="en-GB" w:bidi="he-IL"/>
        </w:rPr>
        <w:t xml:space="preserve"> you at this set time next year</w:t>
      </w:r>
      <w:r w:rsidRPr="003C4C3D">
        <w:rPr>
          <w:rFonts w:ascii="Calibri" w:eastAsia="Times New Roman" w:hAnsi="Calibri" w:cs="Times New Roman"/>
          <w:lang w:val="en-GB" w:bidi="he-IL"/>
        </w:rPr>
        <w:t>.</w:t>
      </w:r>
      <w:r w:rsidR="003D56BA">
        <w:rPr>
          <w:rFonts w:ascii="Calibri" w:eastAsia="Times New Roman" w:hAnsi="Calibri" w:cs="Times New Roman"/>
          <w:lang w:val="en-GB" w:bidi="he-IL"/>
        </w:rPr>
        <w:t>”</w:t>
      </w:r>
      <w:r w:rsidR="004D7043">
        <w:rPr>
          <w:rFonts w:ascii="Calibri" w:eastAsia="Times New Roman" w:hAnsi="Calibri" w:cs="Times New Roman"/>
          <w:lang w:val="en-GB" w:bidi="he-IL"/>
        </w:rPr>
        <w:t xml:space="preserve"> </w:t>
      </w:r>
      <w:r w:rsidR="004D7043">
        <w:rPr>
          <w:rFonts w:ascii="Calibri" w:eastAsia="Times New Roman" w:hAnsi="Calibri" w:cs="Times New Roman"/>
          <w:vertAlign w:val="superscript"/>
          <w:lang w:val="en-GB" w:bidi="he-IL"/>
        </w:rPr>
        <w:t>22</w:t>
      </w:r>
      <w:r w:rsidR="00453117">
        <w:rPr>
          <w:rFonts w:ascii="Calibri" w:eastAsia="Times New Roman" w:hAnsi="Calibri" w:cs="Times New Roman"/>
          <w:lang w:val="en-GB" w:bidi="he-IL"/>
        </w:rPr>
        <w:t xml:space="preserve">So he </w:t>
      </w:r>
      <w:r w:rsidRPr="003C4C3D">
        <w:rPr>
          <w:rFonts w:ascii="Calibri" w:eastAsia="Times New Roman" w:hAnsi="Calibri" w:cs="Times New Roman"/>
          <w:lang w:val="en-GB" w:bidi="he-IL"/>
        </w:rPr>
        <w:t>finished spe</w:t>
      </w:r>
      <w:r w:rsidR="00453117">
        <w:rPr>
          <w:rFonts w:ascii="Calibri" w:eastAsia="Times New Roman" w:hAnsi="Calibri" w:cs="Times New Roman"/>
          <w:lang w:val="en-GB" w:bidi="he-IL"/>
        </w:rPr>
        <w:t>aking with him. And</w:t>
      </w:r>
      <w:r w:rsidR="007F178A">
        <w:rPr>
          <w:rFonts w:ascii="Calibri" w:eastAsia="Times New Roman" w:hAnsi="Calibri" w:cs="Times New Roman"/>
          <w:lang w:val="en-GB" w:bidi="he-IL"/>
        </w:rPr>
        <w:t xml:space="preserve"> God withdrew</w:t>
      </w:r>
      <w:r w:rsidR="007F178A">
        <w:rPr>
          <w:rStyle w:val="FootnoteReference"/>
          <w:rFonts w:ascii="Calibri" w:eastAsia="Times New Roman" w:hAnsi="Calibri" w:cs="Times New Roman"/>
          <w:lang w:val="en-GB" w:bidi="he-IL"/>
        </w:rPr>
        <w:footnoteReference w:id="317"/>
      </w:r>
      <w:r w:rsidRPr="003C4C3D">
        <w:rPr>
          <w:rFonts w:ascii="Calibri" w:eastAsia="Times New Roman" w:hAnsi="Calibri" w:cs="Times New Roman"/>
          <w:lang w:val="en-GB" w:bidi="he-IL"/>
        </w:rPr>
        <w:t xml:space="preserve"> from Abraham. </w:t>
      </w:r>
    </w:p>
    <w:p w14:paraId="7DF4663C" w14:textId="62A183F0" w:rsidR="003C4C3D" w:rsidRPr="003C4C3D" w:rsidRDefault="004D7043" w:rsidP="003C4C3D">
      <w:pPr>
        <w:rPr>
          <w:rFonts w:ascii="Calibri" w:eastAsia="Times New Roman" w:hAnsi="Calibri" w:cs="Times New Roman"/>
          <w:lang w:val="en-GB" w:bidi="he-IL"/>
        </w:rPr>
      </w:pPr>
      <w:r>
        <w:rPr>
          <w:rFonts w:ascii="Calibri" w:eastAsia="Times New Roman" w:hAnsi="Calibri" w:cs="Times New Roman"/>
          <w:vertAlign w:val="superscript"/>
          <w:lang w:val="en-GB" w:bidi="he-IL"/>
        </w:rPr>
        <w:t>23</w:t>
      </w:r>
      <w:r w:rsidR="00D75E04">
        <w:rPr>
          <w:rFonts w:ascii="Calibri" w:eastAsia="Times New Roman" w:hAnsi="Calibri" w:cs="Times New Roman"/>
          <w:lang w:val="en-GB" w:bidi="he-IL"/>
        </w:rPr>
        <w:t xml:space="preserve">So Abraham </w:t>
      </w:r>
      <w:r w:rsidR="004002A3">
        <w:rPr>
          <w:rFonts w:ascii="Calibri" w:eastAsia="Times New Roman" w:hAnsi="Calibri" w:cs="Times New Roman"/>
          <w:lang w:val="en-GB" w:bidi="he-IL"/>
        </w:rPr>
        <w:t>got</w:t>
      </w:r>
      <w:r w:rsidR="00D75E04">
        <w:rPr>
          <w:rFonts w:ascii="Calibri" w:eastAsia="Times New Roman" w:hAnsi="Calibri" w:cs="Times New Roman"/>
          <w:lang w:val="en-GB" w:bidi="he-IL"/>
        </w:rPr>
        <w:t xml:space="preserve"> </w:t>
      </w:r>
      <w:r w:rsidR="00D75E04" w:rsidRPr="00D75E04">
        <w:rPr>
          <w:rFonts w:ascii="Calibri" w:eastAsia="Times New Roman" w:hAnsi="Calibri" w:cs="Times New Roman"/>
          <w:lang w:val="en-GB" w:bidi="he-IL"/>
        </w:rPr>
        <w:t>Yišma‘e’l</w:t>
      </w:r>
      <w:r w:rsidR="003C4C3D" w:rsidRPr="003C4C3D">
        <w:rPr>
          <w:rFonts w:ascii="Calibri" w:eastAsia="Times New Roman" w:hAnsi="Calibri" w:cs="Times New Roman"/>
          <w:lang w:val="en-GB" w:bidi="he-IL"/>
        </w:rPr>
        <w:t xml:space="preserve"> his son and all those born in hi</w:t>
      </w:r>
      <w:r w:rsidR="008001FA">
        <w:rPr>
          <w:rFonts w:ascii="Calibri" w:eastAsia="Times New Roman" w:hAnsi="Calibri" w:cs="Times New Roman"/>
          <w:lang w:val="en-GB" w:bidi="he-IL"/>
        </w:rPr>
        <w:t>s household and all those acquired</w:t>
      </w:r>
      <w:r w:rsidR="003C4C3D" w:rsidRPr="003C4C3D">
        <w:rPr>
          <w:rFonts w:ascii="Calibri" w:eastAsia="Times New Roman" w:hAnsi="Calibri" w:cs="Times New Roman"/>
          <w:lang w:val="en-GB" w:bidi="he-IL"/>
        </w:rPr>
        <w:t xml:space="preserve"> with his silver, every male among the people in Abraham’s household, and circumcised the flesh of their foreskin, on that very day,</w:t>
      </w:r>
      <w:r>
        <w:rPr>
          <w:rFonts w:ascii="Calibri" w:eastAsia="Times New Roman" w:hAnsi="Calibri" w:cs="Times New Roman"/>
          <w:lang w:val="en-GB" w:bidi="he-IL"/>
        </w:rPr>
        <w:t xml:space="preserve"> as God had spoken with him. </w:t>
      </w:r>
      <w:r>
        <w:rPr>
          <w:rFonts w:ascii="Calibri" w:eastAsia="Times New Roman" w:hAnsi="Calibri" w:cs="Times New Roman"/>
          <w:vertAlign w:val="superscript"/>
          <w:lang w:val="en-GB" w:bidi="he-IL"/>
        </w:rPr>
        <w:t>24</w:t>
      </w:r>
      <w:r w:rsidR="003C4C3D" w:rsidRPr="003C4C3D">
        <w:rPr>
          <w:rFonts w:ascii="Calibri" w:eastAsia="Times New Roman" w:hAnsi="Calibri" w:cs="Times New Roman"/>
          <w:lang w:val="en-GB" w:bidi="he-IL"/>
        </w:rPr>
        <w:t>Abraham w</w:t>
      </w:r>
      <w:r w:rsidR="007E5C12">
        <w:rPr>
          <w:rFonts w:ascii="Calibri" w:eastAsia="Times New Roman" w:hAnsi="Calibri" w:cs="Times New Roman"/>
          <w:lang w:val="en-GB" w:bidi="he-IL"/>
        </w:rPr>
        <w:t>as a man of ninety-nine years when</w:t>
      </w:r>
      <w:r w:rsidR="003C4C3D" w:rsidRPr="003C4C3D">
        <w:rPr>
          <w:rFonts w:ascii="Calibri" w:eastAsia="Times New Roman" w:hAnsi="Calibri" w:cs="Times New Roman"/>
          <w:lang w:val="en-GB" w:bidi="he-IL"/>
        </w:rPr>
        <w:t xml:space="preserve"> </w:t>
      </w:r>
      <w:r w:rsidR="0064460D">
        <w:rPr>
          <w:rFonts w:ascii="Calibri" w:eastAsia="Times New Roman" w:hAnsi="Calibri" w:cs="Times New Roman"/>
          <w:lang w:val="en-GB" w:bidi="he-IL"/>
        </w:rPr>
        <w:t xml:space="preserve">he </w:t>
      </w:r>
      <w:r w:rsidR="007E5C12">
        <w:rPr>
          <w:rFonts w:ascii="Calibri" w:eastAsia="Times New Roman" w:hAnsi="Calibri" w:cs="Times New Roman"/>
          <w:lang w:val="en-GB" w:bidi="he-IL"/>
        </w:rPr>
        <w:t>was circumcised</w:t>
      </w:r>
      <w:r w:rsidR="0064460D">
        <w:rPr>
          <w:rFonts w:ascii="Calibri" w:eastAsia="Times New Roman" w:hAnsi="Calibri" w:cs="Times New Roman"/>
          <w:lang w:val="en-GB" w:bidi="he-IL"/>
        </w:rPr>
        <w:t xml:space="preserve"> (</w:t>
      </w:r>
      <w:r w:rsidR="0064460D" w:rsidRPr="003C4C3D">
        <w:rPr>
          <w:rFonts w:ascii="Calibri" w:eastAsia="Times New Roman" w:hAnsi="Calibri" w:cs="Times New Roman"/>
          <w:lang w:val="en-GB" w:bidi="he-IL"/>
        </w:rPr>
        <w:t xml:space="preserve">the </w:t>
      </w:r>
      <w:r w:rsidR="0064460D">
        <w:rPr>
          <w:rFonts w:ascii="Calibri" w:eastAsia="Times New Roman" w:hAnsi="Calibri" w:cs="Times New Roman"/>
          <w:lang w:val="en-GB" w:bidi="he-IL"/>
        </w:rPr>
        <w:t>flesh of his foreskin)</w:t>
      </w:r>
      <w:r>
        <w:rPr>
          <w:rFonts w:ascii="Calibri" w:eastAsia="Times New Roman" w:hAnsi="Calibri" w:cs="Times New Roman"/>
          <w:lang w:val="en-GB" w:bidi="he-IL"/>
        </w:rPr>
        <w:t>,</w:t>
      </w:r>
      <w:r w:rsidR="0064460D">
        <w:rPr>
          <w:rStyle w:val="FootnoteReference"/>
          <w:rFonts w:ascii="Calibri" w:eastAsia="Times New Roman" w:hAnsi="Calibri" w:cs="Times New Roman"/>
          <w:lang w:val="en-GB" w:bidi="he-IL"/>
        </w:rPr>
        <w:footnoteReference w:id="318"/>
      </w:r>
      <w:r>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25</w:t>
      </w:r>
      <w:r w:rsidR="00D75E04">
        <w:rPr>
          <w:rFonts w:ascii="Calibri" w:eastAsia="Times New Roman" w:hAnsi="Calibri" w:cs="Times New Roman"/>
          <w:lang w:val="en-GB" w:bidi="he-IL"/>
        </w:rPr>
        <w:t xml:space="preserve">while </w:t>
      </w:r>
      <w:r w:rsidR="00D75E04" w:rsidRPr="00D75E04">
        <w:rPr>
          <w:rFonts w:ascii="Calibri" w:eastAsia="Times New Roman" w:hAnsi="Calibri" w:cs="Times New Roman"/>
          <w:lang w:val="en-GB" w:bidi="he-IL"/>
        </w:rPr>
        <w:t>Yišma‘e’l</w:t>
      </w:r>
      <w:r w:rsidR="003C4C3D" w:rsidRPr="003C4C3D">
        <w:rPr>
          <w:rFonts w:ascii="Calibri" w:eastAsia="Times New Roman" w:hAnsi="Calibri" w:cs="Times New Roman"/>
          <w:lang w:val="en-GB" w:bidi="he-IL"/>
        </w:rPr>
        <w:t xml:space="preserve"> his so</w:t>
      </w:r>
      <w:r w:rsidR="007E5C12">
        <w:rPr>
          <w:rFonts w:ascii="Calibri" w:eastAsia="Times New Roman" w:hAnsi="Calibri" w:cs="Times New Roman"/>
          <w:lang w:val="en-GB" w:bidi="he-IL"/>
        </w:rPr>
        <w:t>n was a boy of thirteen years when</w:t>
      </w:r>
      <w:r w:rsidR="009B6104">
        <w:rPr>
          <w:rFonts w:ascii="Calibri" w:eastAsia="Times New Roman" w:hAnsi="Calibri" w:cs="Times New Roman"/>
          <w:lang w:val="en-GB" w:bidi="he-IL"/>
        </w:rPr>
        <w:t xml:space="preserve"> </w:t>
      </w:r>
      <w:r w:rsidR="0064460D">
        <w:rPr>
          <w:rFonts w:ascii="Calibri" w:eastAsia="Times New Roman" w:hAnsi="Calibri" w:cs="Times New Roman"/>
          <w:lang w:val="en-GB" w:bidi="he-IL"/>
        </w:rPr>
        <w:t>h</w:t>
      </w:r>
      <w:r w:rsidR="009B6104">
        <w:rPr>
          <w:rFonts w:ascii="Calibri" w:eastAsia="Times New Roman" w:hAnsi="Calibri" w:cs="Times New Roman"/>
          <w:lang w:val="en-GB" w:bidi="he-IL"/>
        </w:rPr>
        <w:t>e</w:t>
      </w:r>
      <w:r w:rsidR="007E5C12" w:rsidRPr="007E5C12">
        <w:rPr>
          <w:rFonts w:ascii="Calibri" w:eastAsia="Times New Roman" w:hAnsi="Calibri" w:cs="Times New Roman"/>
          <w:lang w:val="en-GB" w:bidi="he-IL"/>
        </w:rPr>
        <w:t xml:space="preserve"> </w:t>
      </w:r>
      <w:r w:rsidR="009B6104">
        <w:rPr>
          <w:rFonts w:ascii="Calibri" w:eastAsia="Times New Roman" w:hAnsi="Calibri" w:cs="Times New Roman"/>
          <w:lang w:val="en-GB" w:bidi="he-IL"/>
        </w:rPr>
        <w:t>was circumcised</w:t>
      </w:r>
      <w:r w:rsidR="009B6104" w:rsidRPr="007E5C12">
        <w:rPr>
          <w:rFonts w:ascii="Calibri" w:eastAsia="Times New Roman" w:hAnsi="Calibri" w:cs="Times New Roman"/>
          <w:lang w:val="en-GB" w:bidi="he-IL"/>
        </w:rPr>
        <w:t xml:space="preserve"> </w:t>
      </w:r>
      <w:r w:rsidR="009B6104">
        <w:rPr>
          <w:rFonts w:ascii="Calibri" w:eastAsia="Times New Roman" w:hAnsi="Calibri" w:cs="Times New Roman"/>
          <w:lang w:val="en-GB" w:bidi="he-IL"/>
        </w:rPr>
        <w:t xml:space="preserve">in </w:t>
      </w:r>
      <w:r w:rsidR="007E5C12" w:rsidRPr="007E5C12">
        <w:rPr>
          <w:rFonts w:ascii="Calibri" w:eastAsia="Times New Roman" w:hAnsi="Calibri" w:cs="Times New Roman"/>
          <w:lang w:val="en-GB" w:bidi="he-IL"/>
        </w:rPr>
        <w:t>the flesh of his foreskin</w:t>
      </w:r>
      <w:r>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26</w:t>
      </w:r>
      <w:r w:rsidR="00C618CF">
        <w:rPr>
          <w:rFonts w:ascii="Calibri" w:eastAsia="Times New Roman" w:hAnsi="Calibri" w:cs="Times New Roman"/>
          <w:lang w:val="en-GB" w:bidi="he-IL"/>
        </w:rPr>
        <w:t>On this</w:t>
      </w:r>
      <w:r w:rsidR="003C4C3D" w:rsidRPr="003C4C3D">
        <w:rPr>
          <w:rFonts w:ascii="Calibri" w:eastAsia="Times New Roman" w:hAnsi="Calibri" w:cs="Times New Roman"/>
          <w:lang w:val="en-GB" w:bidi="he-IL"/>
        </w:rPr>
        <w:t xml:space="preserve"> very d</w:t>
      </w:r>
      <w:r w:rsidR="00D75E04">
        <w:rPr>
          <w:rFonts w:ascii="Calibri" w:eastAsia="Times New Roman" w:hAnsi="Calibri" w:cs="Times New Roman"/>
          <w:lang w:val="en-GB" w:bidi="he-IL"/>
        </w:rPr>
        <w:t xml:space="preserve">ay Abraham </w:t>
      </w:r>
      <w:r w:rsidR="002865BA">
        <w:rPr>
          <w:rFonts w:ascii="Calibri" w:eastAsia="Times New Roman" w:hAnsi="Calibri" w:cs="Times New Roman"/>
          <w:lang w:val="en-GB" w:bidi="he-IL"/>
        </w:rPr>
        <w:t>was</w:t>
      </w:r>
      <w:r>
        <w:rPr>
          <w:rFonts w:ascii="Calibri" w:eastAsia="Times New Roman" w:hAnsi="Calibri" w:cs="Times New Roman"/>
          <w:lang w:val="en-GB" w:bidi="he-IL"/>
        </w:rPr>
        <w:t xml:space="preserve"> circumcised, </w:t>
      </w:r>
      <w:r w:rsidR="002865BA">
        <w:rPr>
          <w:rFonts w:ascii="Calibri" w:eastAsia="Times New Roman" w:hAnsi="Calibri" w:cs="Times New Roman"/>
          <w:lang w:val="en-GB" w:bidi="he-IL"/>
        </w:rPr>
        <w:t xml:space="preserve">he and </w:t>
      </w:r>
      <w:r w:rsidR="002865BA" w:rsidRPr="00D75E04">
        <w:rPr>
          <w:rFonts w:ascii="Calibri" w:eastAsia="Times New Roman" w:hAnsi="Calibri" w:cs="Times New Roman"/>
          <w:lang w:val="en-GB" w:bidi="he-IL"/>
        </w:rPr>
        <w:t>Yišma‘e’l</w:t>
      </w:r>
      <w:r w:rsidR="002865BA">
        <w:rPr>
          <w:rFonts w:ascii="Calibri" w:eastAsia="Times New Roman" w:hAnsi="Calibri" w:cs="Times New Roman"/>
          <w:lang w:val="en-GB" w:bidi="he-IL"/>
        </w:rPr>
        <w:t xml:space="preserve"> his son, </w:t>
      </w:r>
      <w:r>
        <w:rPr>
          <w:rFonts w:ascii="Calibri" w:eastAsia="Times New Roman" w:hAnsi="Calibri" w:cs="Times New Roman"/>
          <w:vertAlign w:val="superscript"/>
          <w:lang w:val="en-GB" w:bidi="he-IL"/>
        </w:rPr>
        <w:t>27</w:t>
      </w:r>
      <w:r w:rsidR="003C4C3D" w:rsidRPr="003C4C3D">
        <w:rPr>
          <w:rFonts w:ascii="Calibri" w:eastAsia="Times New Roman" w:hAnsi="Calibri" w:cs="Times New Roman"/>
          <w:lang w:val="en-GB" w:bidi="he-IL"/>
        </w:rPr>
        <w:t xml:space="preserve">and all </w:t>
      </w:r>
      <w:r w:rsidR="0052142E">
        <w:rPr>
          <w:rFonts w:ascii="Calibri" w:eastAsia="Times New Roman" w:hAnsi="Calibri" w:cs="Times New Roman"/>
          <w:lang w:val="en-GB" w:bidi="he-IL"/>
        </w:rPr>
        <w:t xml:space="preserve">the men in his household, born in the household and </w:t>
      </w:r>
      <w:r w:rsidR="003C4C3D" w:rsidRPr="003C4C3D">
        <w:rPr>
          <w:rFonts w:ascii="Calibri" w:eastAsia="Times New Roman" w:hAnsi="Calibri" w:cs="Times New Roman"/>
          <w:lang w:val="en-GB" w:bidi="he-IL"/>
        </w:rPr>
        <w:t>acquire</w:t>
      </w:r>
      <w:r w:rsidR="002865BA">
        <w:rPr>
          <w:rFonts w:ascii="Calibri" w:eastAsia="Times New Roman" w:hAnsi="Calibri" w:cs="Times New Roman"/>
          <w:lang w:val="en-GB" w:bidi="he-IL"/>
        </w:rPr>
        <w:t xml:space="preserve">d with silver from a foreigner—they </w:t>
      </w:r>
      <w:r w:rsidR="003C4C3D" w:rsidRPr="003C4C3D">
        <w:rPr>
          <w:rFonts w:ascii="Calibri" w:eastAsia="Times New Roman" w:hAnsi="Calibri" w:cs="Times New Roman"/>
          <w:lang w:val="en-GB" w:bidi="he-IL"/>
        </w:rPr>
        <w:t>were circumcised with him.</w:t>
      </w:r>
    </w:p>
    <w:p w14:paraId="2402F4D9" w14:textId="77777777" w:rsidR="003C4C3D" w:rsidRDefault="00141055" w:rsidP="003C4C3D">
      <w:pPr>
        <w:pStyle w:val="Heading2"/>
        <w:rPr>
          <w:lang w:bidi="he-IL"/>
        </w:rPr>
      </w:pPr>
      <w:r>
        <w:rPr>
          <w:lang w:bidi="he-IL"/>
        </w:rPr>
        <w:lastRenderedPageBreak/>
        <w:t>Interpretation</w:t>
      </w:r>
      <w:r w:rsidR="003C4C3D">
        <w:rPr>
          <w:lang w:bidi="he-IL"/>
        </w:rPr>
        <w:t xml:space="preserve"> </w:t>
      </w:r>
    </w:p>
    <w:p w14:paraId="2077F5C9" w14:textId="585F90DD" w:rsidR="00076512" w:rsidRDefault="00076512" w:rsidP="003C4C3D">
      <w:pPr>
        <w:rPr>
          <w:lang w:bidi="he-IL"/>
        </w:rPr>
      </w:pPr>
      <w:r>
        <w:rPr>
          <w:lang w:bidi="he-IL"/>
        </w:rPr>
        <w:t>Even mo</w:t>
      </w:r>
      <w:r w:rsidR="00E64244">
        <w:rPr>
          <w:lang w:bidi="he-IL"/>
        </w:rPr>
        <w:t xml:space="preserve">re than Gen 15, </w:t>
      </w:r>
      <w:r w:rsidR="00A41F2C">
        <w:rPr>
          <w:lang w:bidi="he-IL"/>
        </w:rPr>
        <w:t xml:space="preserve">and in contrast to Gen 16, </w:t>
      </w:r>
      <w:r w:rsidR="00E64244">
        <w:rPr>
          <w:lang w:bidi="he-IL"/>
        </w:rPr>
        <w:t>for th</w:t>
      </w:r>
      <w:r w:rsidR="00A41F2C">
        <w:rPr>
          <w:lang w:bidi="he-IL"/>
        </w:rPr>
        <w:t>e most part Gen 17 is not much of</w:t>
      </w:r>
      <w:r w:rsidR="00E64244">
        <w:rPr>
          <w:lang w:bidi="he-IL"/>
        </w:rPr>
        <w:t xml:space="preserve"> a narrative</w:t>
      </w:r>
      <w:r w:rsidR="006E0E98">
        <w:rPr>
          <w:lang w:bidi="he-IL"/>
        </w:rPr>
        <w:t>,</w:t>
      </w:r>
      <w:r w:rsidR="00C50FEB">
        <w:rPr>
          <w:rStyle w:val="FootnoteReference"/>
          <w:lang w:bidi="he-IL"/>
        </w:rPr>
        <w:footnoteReference w:id="319"/>
      </w:r>
      <w:r w:rsidR="00E64244">
        <w:rPr>
          <w:lang w:bidi="he-IL"/>
        </w:rPr>
        <w:t xml:space="preserve"> </w:t>
      </w:r>
      <w:r w:rsidR="006E0E98">
        <w:rPr>
          <w:lang w:bidi="he-IL"/>
        </w:rPr>
        <w:t xml:space="preserve">until the end, </w:t>
      </w:r>
      <w:r w:rsidR="00A0247E">
        <w:rPr>
          <w:lang w:bidi="he-IL"/>
        </w:rPr>
        <w:t>n</w:t>
      </w:r>
      <w:r w:rsidR="00E64244">
        <w:rPr>
          <w:lang w:bidi="he-IL"/>
        </w:rPr>
        <w:t>or even a dialogue</w:t>
      </w:r>
      <w:r w:rsidR="00A41F2C">
        <w:rPr>
          <w:lang w:bidi="he-IL"/>
        </w:rPr>
        <w:t>,</w:t>
      </w:r>
      <w:r w:rsidR="00E64244">
        <w:rPr>
          <w:rStyle w:val="FootnoteReference"/>
          <w:lang w:bidi="he-IL"/>
        </w:rPr>
        <w:footnoteReference w:id="320"/>
      </w:r>
      <w:r w:rsidR="00E64244">
        <w:rPr>
          <w:lang w:bidi="he-IL"/>
        </w:rPr>
        <w:t xml:space="preserve"> but</w:t>
      </w:r>
      <w:r>
        <w:rPr>
          <w:lang w:bidi="he-IL"/>
        </w:rPr>
        <w:t xml:space="preserve"> a</w:t>
      </w:r>
      <w:r w:rsidR="00E64244">
        <w:rPr>
          <w:lang w:bidi="he-IL"/>
        </w:rPr>
        <w:t xml:space="preserve"> </w:t>
      </w:r>
      <w:r>
        <w:rPr>
          <w:lang w:bidi="he-IL"/>
        </w:rPr>
        <w:t>piece o</w:t>
      </w:r>
      <w:r w:rsidR="00E64244">
        <w:rPr>
          <w:lang w:bidi="he-IL"/>
        </w:rPr>
        <w:t>f theological teaching</w:t>
      </w:r>
      <w:r w:rsidR="006E0E98">
        <w:rPr>
          <w:lang w:bidi="he-IL"/>
        </w:rPr>
        <w:t>,</w:t>
      </w:r>
      <w:r>
        <w:rPr>
          <w:rStyle w:val="FootnoteReference"/>
          <w:lang w:bidi="he-IL"/>
        </w:rPr>
        <w:footnoteReference w:id="321"/>
      </w:r>
      <w:r w:rsidR="00A0247E">
        <w:rPr>
          <w:lang w:bidi="he-IL"/>
        </w:rPr>
        <w:t xml:space="preserve"> laying down</w:t>
      </w:r>
      <w:r w:rsidR="00C50FEB">
        <w:rPr>
          <w:lang w:bidi="he-IL"/>
        </w:rPr>
        <w:t xml:space="preserve"> </w:t>
      </w:r>
      <w:r w:rsidR="00E64244">
        <w:rPr>
          <w:lang w:bidi="he-IL"/>
        </w:rPr>
        <w:t>a r</w:t>
      </w:r>
      <w:r w:rsidR="006E0E98">
        <w:rPr>
          <w:lang w:bidi="he-IL"/>
        </w:rPr>
        <w:t>ule</w:t>
      </w:r>
      <w:r w:rsidR="00E64244">
        <w:rPr>
          <w:lang w:bidi="he-IL"/>
        </w:rPr>
        <w:t>.</w:t>
      </w:r>
    </w:p>
    <w:p w14:paraId="351CE867" w14:textId="77777777" w:rsidR="00076512" w:rsidRDefault="00076512" w:rsidP="003C4C3D">
      <w:pPr>
        <w:rPr>
          <w:lang w:bidi="he-IL"/>
        </w:rPr>
      </w:pPr>
    </w:p>
    <w:p w14:paraId="310C7CBA" w14:textId="77777777" w:rsidR="00F30F6E" w:rsidRDefault="00C50FEB" w:rsidP="003C4C3D">
      <w:pPr>
        <w:rPr>
          <w:lang w:bidi="he-IL"/>
        </w:rPr>
      </w:pPr>
      <w:r>
        <w:rPr>
          <w:lang w:bidi="he-IL"/>
        </w:rPr>
        <w:t>Vv. 1-3a</w:t>
      </w:r>
      <w:r>
        <w:rPr>
          <w:lang w:bidi="he-IL"/>
        </w:rPr>
        <w:tab/>
        <w:t xml:space="preserve">God appears and speaks; </w:t>
      </w:r>
      <w:r w:rsidR="00F30F6E">
        <w:rPr>
          <w:lang w:bidi="he-IL"/>
        </w:rPr>
        <w:t>Abraham falls on his face</w:t>
      </w:r>
    </w:p>
    <w:p w14:paraId="42D0FDA7" w14:textId="77777777" w:rsidR="00F30F6E" w:rsidRDefault="009F5AEF" w:rsidP="004B3AD0">
      <w:pPr>
        <w:ind w:left="720"/>
        <w:rPr>
          <w:lang w:bidi="he-IL"/>
        </w:rPr>
      </w:pPr>
      <w:r>
        <w:rPr>
          <w:lang w:bidi="he-IL"/>
        </w:rPr>
        <w:t>Vv. 3b-8</w:t>
      </w:r>
      <w:r w:rsidR="00F30F6E">
        <w:rPr>
          <w:lang w:bidi="he-IL"/>
        </w:rPr>
        <w:tab/>
        <w:t>God speaks to Abraham</w:t>
      </w:r>
      <w:r>
        <w:rPr>
          <w:lang w:bidi="he-IL"/>
        </w:rPr>
        <w:t>, making promises</w:t>
      </w:r>
      <w:r w:rsidR="00522E6F">
        <w:rPr>
          <w:lang w:bidi="he-IL"/>
        </w:rPr>
        <w:t xml:space="preserve"> (</w:t>
      </w:r>
      <w:r w:rsidR="003D56BA">
        <w:rPr>
          <w:lang w:bidi="he-IL"/>
        </w:rPr>
        <w:t>“</w:t>
      </w:r>
      <w:r w:rsidR="00522E6F">
        <w:rPr>
          <w:lang w:bidi="he-IL"/>
        </w:rPr>
        <w:t>I myself</w:t>
      </w:r>
      <w:r w:rsidR="00C50FEB">
        <w:rPr>
          <w:lang w:bidi="he-IL"/>
        </w:rPr>
        <w:t>…</w:t>
      </w:r>
      <w:r w:rsidR="003D56BA">
        <w:rPr>
          <w:lang w:bidi="he-IL"/>
        </w:rPr>
        <w:t>”</w:t>
      </w:r>
      <w:r w:rsidR="00522E6F">
        <w:rPr>
          <w:lang w:bidi="he-IL"/>
        </w:rPr>
        <w:t>)</w:t>
      </w:r>
    </w:p>
    <w:p w14:paraId="669FCA54" w14:textId="77777777" w:rsidR="009F5AEF" w:rsidRDefault="009F5AEF" w:rsidP="004B3AD0">
      <w:pPr>
        <w:ind w:left="720"/>
        <w:rPr>
          <w:lang w:bidi="he-IL"/>
        </w:rPr>
      </w:pPr>
      <w:r>
        <w:rPr>
          <w:lang w:bidi="he-IL"/>
        </w:rPr>
        <w:t>Vv. 9-14</w:t>
      </w:r>
      <w:r>
        <w:rPr>
          <w:lang w:bidi="he-IL"/>
        </w:rPr>
        <w:tab/>
        <w:t>God speaks to Abraham, issuing requirements</w:t>
      </w:r>
      <w:r w:rsidR="00522E6F">
        <w:rPr>
          <w:lang w:bidi="he-IL"/>
        </w:rPr>
        <w:t xml:space="preserve"> (</w:t>
      </w:r>
      <w:r w:rsidR="003D56BA">
        <w:rPr>
          <w:lang w:bidi="he-IL"/>
        </w:rPr>
        <w:t>“</w:t>
      </w:r>
      <w:r w:rsidR="00522E6F">
        <w:rPr>
          <w:lang w:bidi="he-IL"/>
        </w:rPr>
        <w:t>but you</w:t>
      </w:r>
      <w:r w:rsidR="00C50FEB">
        <w:rPr>
          <w:lang w:bidi="he-IL"/>
        </w:rPr>
        <w:t>…</w:t>
      </w:r>
      <w:r w:rsidR="003D56BA">
        <w:rPr>
          <w:lang w:bidi="he-IL"/>
        </w:rPr>
        <w:t>”</w:t>
      </w:r>
      <w:r w:rsidR="00522E6F">
        <w:rPr>
          <w:lang w:bidi="he-IL"/>
        </w:rPr>
        <w:t>)</w:t>
      </w:r>
    </w:p>
    <w:p w14:paraId="1B21F07A" w14:textId="77777777" w:rsidR="009F5AEF" w:rsidRDefault="009F5AEF" w:rsidP="004B3AD0">
      <w:pPr>
        <w:ind w:left="720"/>
        <w:rPr>
          <w:lang w:bidi="he-IL"/>
        </w:rPr>
      </w:pPr>
      <w:r>
        <w:rPr>
          <w:lang w:bidi="he-IL"/>
        </w:rPr>
        <w:t>Vv. 15-16</w:t>
      </w:r>
      <w:r>
        <w:rPr>
          <w:lang w:bidi="he-IL"/>
        </w:rPr>
        <w:tab/>
        <w:t>God speaks to Abraham about Sarah</w:t>
      </w:r>
      <w:r w:rsidR="004B3AD0">
        <w:rPr>
          <w:lang w:bidi="he-IL"/>
        </w:rPr>
        <w:t>, making promises</w:t>
      </w:r>
      <w:r w:rsidR="006E0E98">
        <w:rPr>
          <w:lang w:bidi="he-IL"/>
        </w:rPr>
        <w:t xml:space="preserve"> (</w:t>
      </w:r>
      <w:r w:rsidR="003D56BA">
        <w:rPr>
          <w:lang w:bidi="he-IL"/>
        </w:rPr>
        <w:t>“</w:t>
      </w:r>
      <w:r w:rsidR="00C50FEB">
        <w:rPr>
          <w:lang w:bidi="he-IL"/>
        </w:rPr>
        <w:t xml:space="preserve">Śaray, your </w:t>
      </w:r>
      <w:r w:rsidR="006E0E98">
        <w:rPr>
          <w:lang w:bidi="he-IL"/>
        </w:rPr>
        <w:tab/>
      </w:r>
      <w:r w:rsidR="006E0E98">
        <w:rPr>
          <w:lang w:bidi="he-IL"/>
        </w:rPr>
        <w:tab/>
      </w:r>
      <w:r w:rsidR="006E0E98">
        <w:rPr>
          <w:lang w:bidi="he-IL"/>
        </w:rPr>
        <w:tab/>
      </w:r>
      <w:r w:rsidR="006E0E98">
        <w:rPr>
          <w:lang w:bidi="he-IL"/>
        </w:rPr>
        <w:tab/>
      </w:r>
      <w:r w:rsidR="00C50FEB">
        <w:rPr>
          <w:lang w:bidi="he-IL"/>
        </w:rPr>
        <w:t>wife…</w:t>
      </w:r>
      <w:r w:rsidR="003D56BA">
        <w:rPr>
          <w:lang w:bidi="he-IL"/>
        </w:rPr>
        <w:t>”</w:t>
      </w:r>
      <w:r w:rsidR="00C50FEB">
        <w:rPr>
          <w:lang w:bidi="he-IL"/>
        </w:rPr>
        <w:t>)</w:t>
      </w:r>
    </w:p>
    <w:p w14:paraId="00134ABF" w14:textId="77777777" w:rsidR="009F5AEF" w:rsidRDefault="009F5AEF" w:rsidP="004B3AD0">
      <w:pPr>
        <w:ind w:left="720"/>
        <w:rPr>
          <w:lang w:bidi="he-IL"/>
        </w:rPr>
      </w:pPr>
      <w:r>
        <w:rPr>
          <w:lang w:bidi="he-IL"/>
        </w:rPr>
        <w:t>V. 17</w:t>
      </w:r>
      <w:r>
        <w:rPr>
          <w:lang w:bidi="he-IL"/>
        </w:rPr>
        <w:tab/>
      </w:r>
      <w:r>
        <w:rPr>
          <w:lang w:bidi="he-IL"/>
        </w:rPr>
        <w:tab/>
        <w:t>Abraham falls on his face and speaks to himself</w:t>
      </w:r>
    </w:p>
    <w:p w14:paraId="7F272D5E" w14:textId="77777777" w:rsidR="009F5AEF" w:rsidRDefault="009F5AEF" w:rsidP="004B3AD0">
      <w:pPr>
        <w:ind w:left="720"/>
        <w:rPr>
          <w:lang w:bidi="he-IL"/>
        </w:rPr>
      </w:pPr>
      <w:r>
        <w:rPr>
          <w:lang w:bidi="he-IL"/>
        </w:rPr>
        <w:t>V. 18</w:t>
      </w:r>
      <w:r>
        <w:rPr>
          <w:lang w:bidi="he-IL"/>
        </w:rPr>
        <w:tab/>
      </w:r>
      <w:r>
        <w:rPr>
          <w:lang w:bidi="he-IL"/>
        </w:rPr>
        <w:tab/>
        <w:t>Abraham speaks to God</w:t>
      </w:r>
    </w:p>
    <w:p w14:paraId="1D0460E5" w14:textId="77777777" w:rsidR="009F5AEF" w:rsidRDefault="009F5AEF" w:rsidP="004B3AD0">
      <w:pPr>
        <w:ind w:left="720"/>
        <w:rPr>
          <w:lang w:bidi="he-IL"/>
        </w:rPr>
      </w:pPr>
      <w:r>
        <w:rPr>
          <w:lang w:bidi="he-IL"/>
        </w:rPr>
        <w:t>V</w:t>
      </w:r>
      <w:r w:rsidR="00C50FEB">
        <w:rPr>
          <w:lang w:bidi="he-IL"/>
        </w:rPr>
        <w:t>v</w:t>
      </w:r>
      <w:r>
        <w:rPr>
          <w:lang w:bidi="he-IL"/>
        </w:rPr>
        <w:t>. 19-21</w:t>
      </w:r>
      <w:r>
        <w:rPr>
          <w:lang w:bidi="he-IL"/>
        </w:rPr>
        <w:tab/>
        <w:t>God responds</w:t>
      </w:r>
    </w:p>
    <w:p w14:paraId="19A67FD9" w14:textId="77777777" w:rsidR="009F5AEF" w:rsidRDefault="009F5AEF" w:rsidP="003C4C3D">
      <w:pPr>
        <w:rPr>
          <w:lang w:bidi="he-IL"/>
        </w:rPr>
      </w:pPr>
      <w:r>
        <w:rPr>
          <w:lang w:bidi="he-IL"/>
        </w:rPr>
        <w:t>V. 22</w:t>
      </w:r>
      <w:r>
        <w:rPr>
          <w:lang w:bidi="he-IL"/>
        </w:rPr>
        <w:tab/>
      </w:r>
      <w:r>
        <w:rPr>
          <w:lang w:bidi="he-IL"/>
        </w:rPr>
        <w:tab/>
        <w:t xml:space="preserve">God </w:t>
      </w:r>
      <w:r w:rsidR="004B3AD0">
        <w:rPr>
          <w:lang w:bidi="he-IL"/>
        </w:rPr>
        <w:t xml:space="preserve">finishes speaking and </w:t>
      </w:r>
      <w:r>
        <w:rPr>
          <w:lang w:bidi="he-IL"/>
        </w:rPr>
        <w:t>disappears</w:t>
      </w:r>
    </w:p>
    <w:p w14:paraId="0197B445" w14:textId="77777777" w:rsidR="00F30F6E" w:rsidRDefault="009F5AEF" w:rsidP="003C4C3D">
      <w:pPr>
        <w:rPr>
          <w:lang w:bidi="he-IL"/>
        </w:rPr>
      </w:pPr>
      <w:r>
        <w:rPr>
          <w:lang w:bidi="he-IL"/>
        </w:rPr>
        <w:t>Vv</w:t>
      </w:r>
      <w:r w:rsidR="004B3AD0">
        <w:rPr>
          <w:lang w:bidi="he-IL"/>
        </w:rPr>
        <w:t>. 23-26</w:t>
      </w:r>
      <w:r w:rsidR="004B3AD0">
        <w:rPr>
          <w:lang w:bidi="he-IL"/>
        </w:rPr>
        <w:tab/>
        <w:t>Abraham does as God said</w:t>
      </w:r>
      <w:r>
        <w:rPr>
          <w:lang w:bidi="he-IL"/>
        </w:rPr>
        <w:tab/>
      </w:r>
      <w:r>
        <w:rPr>
          <w:lang w:bidi="he-IL"/>
        </w:rPr>
        <w:tab/>
      </w:r>
    </w:p>
    <w:p w14:paraId="33EB7E47" w14:textId="77777777" w:rsidR="009F5AEF" w:rsidRDefault="009F5AEF" w:rsidP="003C4C3D">
      <w:pPr>
        <w:rPr>
          <w:lang w:bidi="he-IL"/>
        </w:rPr>
      </w:pPr>
    </w:p>
    <w:p w14:paraId="6C584102" w14:textId="77777777" w:rsidR="00565559" w:rsidRDefault="00565559" w:rsidP="003C4C3D">
      <w:pPr>
        <w:rPr>
          <w:lang w:bidi="he-IL"/>
        </w:rPr>
      </w:pPr>
      <w:r>
        <w:rPr>
          <w:lang w:bidi="he-IL"/>
        </w:rPr>
        <w:t>For the third time</w:t>
      </w:r>
      <w:r w:rsidR="00A0247E">
        <w:rPr>
          <w:lang w:bidi="he-IL"/>
        </w:rPr>
        <w:t xml:space="preserve"> in Genesis</w:t>
      </w:r>
      <w:r>
        <w:rPr>
          <w:lang w:bidi="he-IL"/>
        </w:rPr>
        <w:t xml:space="preserve">, Yahweh takes an initiative in speaking to Abraham. </w:t>
      </w:r>
    </w:p>
    <w:p w14:paraId="10C2DF8E" w14:textId="77777777" w:rsidR="00565559" w:rsidRDefault="00565559" w:rsidP="003C4C3D">
      <w:pPr>
        <w:rPr>
          <w:lang w:bidi="he-IL"/>
        </w:rPr>
      </w:pPr>
    </w:p>
    <w:p w14:paraId="1F070329" w14:textId="77777777" w:rsidR="00A80531" w:rsidRDefault="00A0247E" w:rsidP="00A80531">
      <w:pPr>
        <w:pStyle w:val="ListParagraph"/>
        <w:numPr>
          <w:ilvl w:val="0"/>
          <w:numId w:val="32"/>
        </w:numPr>
        <w:ind w:left="720"/>
        <w:rPr>
          <w:lang w:bidi="he-IL"/>
        </w:rPr>
      </w:pPr>
      <w:r>
        <w:rPr>
          <w:lang w:bidi="he-IL"/>
        </w:rPr>
        <w:t>In 12:1-8 Yahweh promises</w:t>
      </w:r>
      <w:r w:rsidR="00565559">
        <w:rPr>
          <w:lang w:bidi="he-IL"/>
        </w:rPr>
        <w:t xml:space="preserve"> him increase and a land </w:t>
      </w:r>
    </w:p>
    <w:p w14:paraId="6B10F4B0" w14:textId="77777777" w:rsidR="00A0247E" w:rsidRDefault="00A0247E" w:rsidP="00A0247E">
      <w:pPr>
        <w:pStyle w:val="ListParagraph"/>
        <w:ind w:left="720" w:firstLine="0"/>
        <w:rPr>
          <w:lang w:bidi="he-IL"/>
        </w:rPr>
      </w:pPr>
      <w:r w:rsidRPr="00A0247E">
        <w:rPr>
          <w:lang w:bidi="he-IL"/>
        </w:rPr>
        <w:t>(In 12:9—14:24 Yah</w:t>
      </w:r>
      <w:r>
        <w:rPr>
          <w:lang w:bidi="he-IL"/>
        </w:rPr>
        <w:t xml:space="preserve">weh </w:t>
      </w:r>
      <w:r w:rsidRPr="00A0247E">
        <w:rPr>
          <w:lang w:bidi="he-IL"/>
        </w:rPr>
        <w:t>reasser</w:t>
      </w:r>
      <w:r>
        <w:rPr>
          <w:lang w:bidi="he-IL"/>
        </w:rPr>
        <w:t>ts</w:t>
      </w:r>
      <w:r w:rsidRPr="00A0247E">
        <w:rPr>
          <w:lang w:bidi="he-IL"/>
        </w:rPr>
        <w:t xml:space="preserve"> his promises, in response to </w:t>
      </w:r>
      <w:r>
        <w:rPr>
          <w:lang w:bidi="he-IL"/>
        </w:rPr>
        <w:t>an initiative by Abraham)</w:t>
      </w:r>
    </w:p>
    <w:p w14:paraId="0487F801" w14:textId="77777777" w:rsidR="00A80531" w:rsidRDefault="00565559" w:rsidP="00A80531">
      <w:pPr>
        <w:pStyle w:val="ListParagraph"/>
        <w:numPr>
          <w:ilvl w:val="0"/>
          <w:numId w:val="32"/>
        </w:numPr>
        <w:ind w:left="720"/>
        <w:rPr>
          <w:lang w:bidi="he-IL"/>
        </w:rPr>
      </w:pPr>
      <w:r>
        <w:rPr>
          <w:lang w:bidi="he-IL"/>
        </w:rPr>
        <w:t xml:space="preserve">In 15:1-21 Yahweh </w:t>
      </w:r>
      <w:r w:rsidR="00A0247E">
        <w:rPr>
          <w:lang w:bidi="he-IL"/>
        </w:rPr>
        <w:t>promises</w:t>
      </w:r>
      <w:r>
        <w:rPr>
          <w:lang w:bidi="he-IL"/>
        </w:rPr>
        <w:t xml:space="preserve"> him </w:t>
      </w:r>
      <w:r w:rsidR="00A0247E">
        <w:rPr>
          <w:lang w:bidi="he-IL"/>
        </w:rPr>
        <w:t>increase and land and undergirds</w:t>
      </w:r>
      <w:r>
        <w:rPr>
          <w:lang w:bidi="he-IL"/>
        </w:rPr>
        <w:t xml:space="preserve"> the promise by making a pact</w:t>
      </w:r>
    </w:p>
    <w:p w14:paraId="6F41FFC6" w14:textId="77777777" w:rsidR="00A0247E" w:rsidRDefault="00A0247E" w:rsidP="00A0247E">
      <w:pPr>
        <w:pStyle w:val="ListParagraph"/>
        <w:ind w:left="720" w:firstLine="0"/>
        <w:rPr>
          <w:lang w:bidi="he-IL"/>
        </w:rPr>
      </w:pPr>
      <w:r>
        <w:rPr>
          <w:lang w:bidi="he-IL"/>
        </w:rPr>
        <w:t xml:space="preserve">(In </w:t>
      </w:r>
      <w:r w:rsidR="006E0E98">
        <w:rPr>
          <w:lang w:bidi="he-IL"/>
        </w:rPr>
        <w:t xml:space="preserve">16:1-16 Yahweh </w:t>
      </w:r>
      <w:r w:rsidRPr="00A0247E">
        <w:rPr>
          <w:lang w:bidi="he-IL"/>
        </w:rPr>
        <w:t xml:space="preserve">reasserts his promises, in response to </w:t>
      </w:r>
      <w:r>
        <w:rPr>
          <w:lang w:bidi="he-IL"/>
        </w:rPr>
        <w:t>an initiative by</w:t>
      </w:r>
      <w:r w:rsidRPr="00A0247E">
        <w:rPr>
          <w:lang w:bidi="he-IL"/>
        </w:rPr>
        <w:t xml:space="preserve"> Sarah</w:t>
      </w:r>
      <w:r>
        <w:rPr>
          <w:lang w:bidi="he-IL"/>
        </w:rPr>
        <w:t>)</w:t>
      </w:r>
    </w:p>
    <w:p w14:paraId="51FE3EB9" w14:textId="77777777" w:rsidR="00A0247E" w:rsidRDefault="00565559" w:rsidP="00A0247E">
      <w:pPr>
        <w:pStyle w:val="ListParagraph"/>
        <w:numPr>
          <w:ilvl w:val="0"/>
          <w:numId w:val="32"/>
        </w:numPr>
        <w:ind w:left="720"/>
        <w:rPr>
          <w:lang w:bidi="he-IL"/>
        </w:rPr>
      </w:pPr>
      <w:r>
        <w:rPr>
          <w:lang w:bidi="he-IL"/>
        </w:rPr>
        <w:t xml:space="preserve">In 17:1-27 </w:t>
      </w:r>
      <w:r w:rsidRPr="00565559">
        <w:rPr>
          <w:lang w:bidi="he-IL"/>
        </w:rPr>
        <w:t>Yahweh p</w:t>
      </w:r>
      <w:r>
        <w:rPr>
          <w:lang w:bidi="he-IL"/>
        </w:rPr>
        <w:t>romises</w:t>
      </w:r>
      <w:r w:rsidRPr="00565559">
        <w:rPr>
          <w:lang w:bidi="he-IL"/>
        </w:rPr>
        <w:t xml:space="preserve"> </w:t>
      </w:r>
      <w:r>
        <w:rPr>
          <w:lang w:bidi="he-IL"/>
        </w:rPr>
        <w:t>him increase and land,</w:t>
      </w:r>
      <w:r w:rsidRPr="00565559">
        <w:rPr>
          <w:lang w:bidi="he-IL"/>
        </w:rPr>
        <w:t xml:space="preserve"> undergirds the promise by making a pact</w:t>
      </w:r>
      <w:r>
        <w:rPr>
          <w:lang w:bidi="he-IL"/>
        </w:rPr>
        <w:t>, and four times repeats that the promises are permanent</w:t>
      </w:r>
    </w:p>
    <w:p w14:paraId="21B91959" w14:textId="77777777" w:rsidR="00A0247E" w:rsidRDefault="00A0247E" w:rsidP="00A0247E">
      <w:pPr>
        <w:pStyle w:val="ListParagraph"/>
        <w:ind w:left="720" w:firstLine="0"/>
        <w:rPr>
          <w:lang w:bidi="he-IL"/>
        </w:rPr>
      </w:pPr>
    </w:p>
    <w:p w14:paraId="550E3283" w14:textId="77777777" w:rsidR="00A80531" w:rsidRDefault="00A0247E" w:rsidP="00A0247E">
      <w:pPr>
        <w:pStyle w:val="ListParagraph"/>
        <w:ind w:left="0" w:firstLine="0"/>
        <w:rPr>
          <w:lang w:bidi="he-IL"/>
        </w:rPr>
      </w:pPr>
      <w:r>
        <w:rPr>
          <w:lang w:bidi="he-IL"/>
        </w:rPr>
        <w:t>A</w:t>
      </w:r>
      <w:r w:rsidR="004B3AD0">
        <w:rPr>
          <w:lang w:bidi="he-IL"/>
        </w:rPr>
        <w:t>fter this systematic account, there is no more to be said.</w:t>
      </w:r>
      <w:r w:rsidR="00604C91">
        <w:rPr>
          <w:rStyle w:val="FootnoteReference"/>
          <w:lang w:bidi="he-IL"/>
        </w:rPr>
        <w:footnoteReference w:id="322"/>
      </w:r>
      <w:r w:rsidR="00A80531">
        <w:rPr>
          <w:lang w:bidi="he-IL"/>
        </w:rPr>
        <w:t xml:space="preserve"> </w:t>
      </w:r>
    </w:p>
    <w:p w14:paraId="1CB4BADC" w14:textId="6088DF5B" w:rsidR="00A0247E" w:rsidRDefault="00565559" w:rsidP="00565559">
      <w:pPr>
        <w:pStyle w:val="ListParagraph"/>
        <w:ind w:left="0" w:firstLine="720"/>
        <w:rPr>
          <w:lang w:bidi="he-IL"/>
        </w:rPr>
      </w:pPr>
      <w:r>
        <w:rPr>
          <w:lang w:bidi="he-IL"/>
        </w:rPr>
        <w:t>Th</w:t>
      </w:r>
      <w:r w:rsidR="002F0C81">
        <w:rPr>
          <w:lang w:bidi="he-IL"/>
        </w:rPr>
        <w:t>e</w:t>
      </w:r>
      <w:r w:rsidR="00DC1BAD">
        <w:rPr>
          <w:lang w:bidi="he-IL"/>
        </w:rPr>
        <w:t xml:space="preserve"> stress on permanence</w:t>
      </w:r>
      <w:r w:rsidR="00A80531">
        <w:rPr>
          <w:lang w:bidi="he-IL"/>
        </w:rPr>
        <w:t xml:space="preserve"> </w:t>
      </w:r>
      <w:r w:rsidR="00A0247E">
        <w:rPr>
          <w:lang w:bidi="he-IL"/>
        </w:rPr>
        <w:t xml:space="preserve">in Gen 17 </w:t>
      </w:r>
      <w:r w:rsidR="00A80531">
        <w:rPr>
          <w:lang w:bidi="he-IL"/>
        </w:rPr>
        <w:t>suggests that on</w:t>
      </w:r>
      <w:r>
        <w:rPr>
          <w:lang w:bidi="he-IL"/>
        </w:rPr>
        <w:t>e question behind the chapter is whether there is a time-limit to God’s promises</w:t>
      </w:r>
      <w:r w:rsidR="00A80531">
        <w:rPr>
          <w:lang w:bidi="he-IL"/>
        </w:rPr>
        <w:t>.</w:t>
      </w:r>
      <w:r w:rsidR="00A41F2C">
        <w:rPr>
          <w:rStyle w:val="FootnoteReference"/>
          <w:lang w:bidi="he-IL"/>
        </w:rPr>
        <w:footnoteReference w:id="323"/>
      </w:r>
      <w:r w:rsidR="00A80531">
        <w:rPr>
          <w:lang w:bidi="he-IL"/>
        </w:rPr>
        <w:t xml:space="preserve"> The declaration that there is no time-limit would be important to the listeners in context</w:t>
      </w:r>
      <w:r w:rsidR="00A41F2C">
        <w:rPr>
          <w:lang w:bidi="he-IL"/>
        </w:rPr>
        <w:t>s</w:t>
      </w:r>
      <w:r w:rsidR="00A80531">
        <w:rPr>
          <w:lang w:bidi="he-IL"/>
        </w:rPr>
        <w:t xml:space="preserve"> when it might seem that the two promises no longer applied. The eight</w:t>
      </w:r>
      <w:r w:rsidR="00A0247E">
        <w:rPr>
          <w:lang w:bidi="he-IL"/>
        </w:rPr>
        <w:t>h</w:t>
      </w:r>
      <w:r w:rsidR="00A80531">
        <w:rPr>
          <w:lang w:bidi="he-IL"/>
        </w:rPr>
        <w:t xml:space="preserve"> and seventh centuries would be s</w:t>
      </w:r>
      <w:r w:rsidR="00A41F2C">
        <w:rPr>
          <w:lang w:bidi="he-IL"/>
        </w:rPr>
        <w:t xml:space="preserve">uch a </w:t>
      </w:r>
      <w:r w:rsidR="00A0247E">
        <w:rPr>
          <w:lang w:bidi="he-IL"/>
        </w:rPr>
        <w:t>context</w:t>
      </w:r>
      <w:r w:rsidR="00A41F2C">
        <w:rPr>
          <w:lang w:bidi="he-IL"/>
        </w:rPr>
        <w:t>, when Ephraim was</w:t>
      </w:r>
      <w:r w:rsidR="00A80531">
        <w:rPr>
          <w:lang w:bidi="he-IL"/>
        </w:rPr>
        <w:t xml:space="preserve"> cut down and then overrun by Assyria. The Babylonian period would be such a context, especially for Judahites in exile. And the Persian period would be such a context, when Judah is a tiny remnant in land and population.</w:t>
      </w:r>
      <w:r w:rsidR="002F0C81">
        <w:rPr>
          <w:lang w:bidi="he-IL"/>
        </w:rPr>
        <w:t xml:space="preserve"> </w:t>
      </w:r>
    </w:p>
    <w:p w14:paraId="5C7159A5" w14:textId="233ADB06" w:rsidR="00565559" w:rsidRDefault="006E0E98" w:rsidP="00565559">
      <w:pPr>
        <w:pStyle w:val="ListParagraph"/>
        <w:ind w:left="0" w:firstLine="720"/>
        <w:rPr>
          <w:lang w:bidi="he-IL"/>
        </w:rPr>
      </w:pPr>
      <w:r>
        <w:rPr>
          <w:lang w:bidi="he-IL"/>
        </w:rPr>
        <w:t>T</w:t>
      </w:r>
      <w:r w:rsidR="002F0C81">
        <w:rPr>
          <w:lang w:bidi="he-IL"/>
        </w:rPr>
        <w:t>he stress on God’s initiative in making promises is accompanied by the laying down of a condition that is no</w:t>
      </w:r>
      <w:r>
        <w:rPr>
          <w:lang w:bidi="he-IL"/>
        </w:rPr>
        <w:t xml:space="preserve">t hard to fulfill and that </w:t>
      </w:r>
      <w:r w:rsidR="002F0C81">
        <w:rPr>
          <w:lang w:bidi="he-IL"/>
        </w:rPr>
        <w:t>we have no record of the people failing to fulfi</w:t>
      </w:r>
      <w:r w:rsidR="00A0247E">
        <w:rPr>
          <w:lang w:bidi="he-IL"/>
        </w:rPr>
        <w:t>l</w:t>
      </w:r>
      <w:r w:rsidR="00F159BF">
        <w:rPr>
          <w:lang w:bidi="he-IL"/>
        </w:rPr>
        <w:t>l,</w:t>
      </w:r>
      <w:r w:rsidR="00F159BF" w:rsidRPr="00F159BF">
        <w:rPr>
          <w:lang w:bidi="he-IL"/>
        </w:rPr>
        <w:t xml:space="preserve"> unlike (say) Sabbath ob</w:t>
      </w:r>
      <w:r w:rsidR="00F159BF">
        <w:rPr>
          <w:lang w:bidi="he-IL"/>
        </w:rPr>
        <w:t>servance</w:t>
      </w:r>
      <w:r w:rsidR="00F159BF" w:rsidRPr="00F159BF">
        <w:rPr>
          <w:lang w:bidi="he-IL"/>
        </w:rPr>
        <w:t>, at least until the second century (see e.g., 1 Macc 1:15, 48, 60-61).</w:t>
      </w:r>
      <w:r w:rsidR="00F159BF" w:rsidRPr="00F159BF">
        <w:rPr>
          <w:vertAlign w:val="superscript"/>
          <w:lang w:bidi="he-IL"/>
        </w:rPr>
        <w:footnoteReference w:id="324"/>
      </w:r>
      <w:r w:rsidR="00F159BF">
        <w:rPr>
          <w:lang w:bidi="he-IL"/>
        </w:rPr>
        <w:t xml:space="preserve"> </w:t>
      </w:r>
      <w:r w:rsidR="003B2B09">
        <w:rPr>
          <w:lang w:bidi="he-IL"/>
        </w:rPr>
        <w:t xml:space="preserve">To </w:t>
      </w:r>
      <w:r w:rsidR="00522E6F">
        <w:rPr>
          <w:lang w:bidi="he-IL"/>
        </w:rPr>
        <w:t xml:space="preserve">the people </w:t>
      </w:r>
      <w:r w:rsidR="003B2B09">
        <w:rPr>
          <w:lang w:bidi="he-IL"/>
        </w:rPr>
        <w:t xml:space="preserve">of God </w:t>
      </w:r>
      <w:r w:rsidR="00522E6F">
        <w:rPr>
          <w:lang w:bidi="he-IL"/>
        </w:rPr>
        <w:t xml:space="preserve">the chapter therefore says, </w:t>
      </w:r>
      <w:r w:rsidR="003D56BA">
        <w:rPr>
          <w:lang w:bidi="he-IL"/>
        </w:rPr>
        <w:t>“</w:t>
      </w:r>
      <w:r w:rsidR="00522E6F">
        <w:rPr>
          <w:lang w:bidi="he-IL"/>
        </w:rPr>
        <w:t>You’re circumcised, aren’t you? So you qualify to see</w:t>
      </w:r>
      <w:r w:rsidR="003B2B09">
        <w:rPr>
          <w:lang w:bidi="he-IL"/>
        </w:rPr>
        <w:t xml:space="preserve"> God’s </w:t>
      </w:r>
      <w:r w:rsidR="00522E6F">
        <w:rPr>
          <w:lang w:bidi="he-IL"/>
        </w:rPr>
        <w:t>p</w:t>
      </w:r>
      <w:r w:rsidR="00EC1ED3">
        <w:rPr>
          <w:lang w:bidi="he-IL"/>
        </w:rPr>
        <w:t>romise</w:t>
      </w:r>
      <w:r w:rsidR="003B2B09">
        <w:rPr>
          <w:lang w:bidi="he-IL"/>
        </w:rPr>
        <w:t xml:space="preserve"> fulfilled. And here </w:t>
      </w:r>
      <w:r w:rsidR="00EC1ED3">
        <w:rPr>
          <w:lang w:bidi="he-IL"/>
        </w:rPr>
        <w:t>is the promise</w:t>
      </w:r>
      <w:r w:rsidR="00522E6F">
        <w:rPr>
          <w:lang w:bidi="he-IL"/>
        </w:rPr>
        <w:t>!</w:t>
      </w:r>
      <w:r w:rsidR="003D56BA">
        <w:rPr>
          <w:lang w:bidi="he-IL"/>
        </w:rPr>
        <w:t>”</w:t>
      </w:r>
      <w:r w:rsidR="00522E6F">
        <w:rPr>
          <w:lang w:bidi="he-IL"/>
        </w:rPr>
        <w:t xml:space="preserve"> </w:t>
      </w:r>
      <w:r w:rsidR="003B2B09">
        <w:rPr>
          <w:lang w:bidi="he-IL"/>
        </w:rPr>
        <w:t>T</w:t>
      </w:r>
      <w:r w:rsidR="00976BB3">
        <w:rPr>
          <w:lang w:bidi="he-IL"/>
        </w:rPr>
        <w:t>he audienc</w:t>
      </w:r>
      <w:r w:rsidR="00EC1ED3">
        <w:rPr>
          <w:lang w:bidi="he-IL"/>
        </w:rPr>
        <w:t>e know that Yahweh fulfilled his crazy promise about Sarah having a baby, at which Abraham laughed; the reminder</w:t>
      </w:r>
      <w:r>
        <w:rPr>
          <w:lang w:bidi="he-IL"/>
        </w:rPr>
        <w:t xml:space="preserve"> </w:t>
      </w:r>
      <w:r w:rsidR="00976BB3">
        <w:rPr>
          <w:lang w:bidi="he-IL"/>
        </w:rPr>
        <w:t>wo</w:t>
      </w:r>
      <w:r w:rsidR="00A0247E">
        <w:rPr>
          <w:lang w:bidi="he-IL"/>
        </w:rPr>
        <w:t xml:space="preserve">uld be an encouragement </w:t>
      </w:r>
      <w:r w:rsidR="00976BB3">
        <w:rPr>
          <w:lang w:bidi="he-IL"/>
        </w:rPr>
        <w:t>to believe the imp</w:t>
      </w:r>
      <w:r w:rsidR="001437B5">
        <w:rPr>
          <w:lang w:bidi="he-IL"/>
        </w:rPr>
        <w:t>ossible in their day (cf. Isa 51:1-2).</w:t>
      </w:r>
      <w:r w:rsidR="00E74B3D">
        <w:rPr>
          <w:rStyle w:val="FootnoteReference"/>
          <w:lang w:bidi="he-IL"/>
        </w:rPr>
        <w:footnoteReference w:id="325"/>
      </w:r>
    </w:p>
    <w:p w14:paraId="0388F2FA" w14:textId="0B18ACD8" w:rsidR="00F9167B" w:rsidRDefault="003E0DDD" w:rsidP="00565559">
      <w:pPr>
        <w:pStyle w:val="ListParagraph"/>
        <w:ind w:left="0" w:firstLine="720"/>
        <w:rPr>
          <w:lang w:bidi="he-IL"/>
        </w:rPr>
      </w:pPr>
      <w:r>
        <w:rPr>
          <w:lang w:bidi="he-IL"/>
        </w:rPr>
        <w:lastRenderedPageBreak/>
        <w:t>The focus on Ishmael in Gen 17 may suggest a</w:t>
      </w:r>
      <w:r w:rsidR="00F9167B">
        <w:rPr>
          <w:lang w:bidi="he-IL"/>
        </w:rPr>
        <w:t>nother question underlying the chapt</w:t>
      </w:r>
      <w:r>
        <w:rPr>
          <w:lang w:bidi="he-IL"/>
        </w:rPr>
        <w:t>er, as well as</w:t>
      </w:r>
      <w:r w:rsidR="006E0E98">
        <w:rPr>
          <w:lang w:bidi="he-IL"/>
        </w:rPr>
        <w:t xml:space="preserve"> underlying </w:t>
      </w:r>
      <w:r w:rsidR="00F9167B">
        <w:rPr>
          <w:lang w:bidi="he-IL"/>
        </w:rPr>
        <w:t xml:space="preserve">Gen 16. </w:t>
      </w:r>
      <w:r w:rsidRPr="003E0DDD">
        <w:rPr>
          <w:lang w:bidi="he-IL"/>
        </w:rPr>
        <w:t>Gen 17 leaves Ishmael in an ambiguous position. He is circumcised like everyone else, yet the covenant belongs to Isaac.</w:t>
      </w:r>
      <w:r>
        <w:rPr>
          <w:lang w:bidi="he-IL"/>
        </w:rPr>
        <w:t xml:space="preserve"> </w:t>
      </w:r>
      <w:r w:rsidR="00F9167B">
        <w:rPr>
          <w:lang w:bidi="he-IL"/>
        </w:rPr>
        <w:t>The Is</w:t>
      </w:r>
      <w:r w:rsidR="00DB4DE1">
        <w:rPr>
          <w:lang w:bidi="he-IL"/>
        </w:rPr>
        <w:t xml:space="preserve">raelites knew the Ishmaelites, </w:t>
      </w:r>
      <w:r w:rsidR="00F9167B">
        <w:rPr>
          <w:lang w:bidi="he-IL"/>
        </w:rPr>
        <w:t xml:space="preserve">knew they were related to them, knew they were not their enemies, </w:t>
      </w:r>
      <w:proofErr w:type="gramStart"/>
      <w:r w:rsidR="00F9167B">
        <w:rPr>
          <w:lang w:bidi="he-IL"/>
        </w:rPr>
        <w:t>knew</w:t>
      </w:r>
      <w:proofErr w:type="gramEnd"/>
      <w:r w:rsidR="00F9167B">
        <w:rPr>
          <w:lang w:bidi="he-IL"/>
        </w:rPr>
        <w:t xml:space="preserve"> (apparently) that Ishmael had been Abraham’s first son. So </w:t>
      </w:r>
      <w:r>
        <w:rPr>
          <w:lang w:bidi="he-IL"/>
        </w:rPr>
        <w:t>what is the status of Ishmael’s line?</w:t>
      </w:r>
      <w:r w:rsidR="00727890">
        <w:rPr>
          <w:lang w:bidi="he-IL"/>
        </w:rPr>
        <w:t xml:space="preserve"> </w:t>
      </w:r>
    </w:p>
    <w:p w14:paraId="37DE00BE" w14:textId="0581D40B" w:rsidR="00052D0D" w:rsidRDefault="00384C07" w:rsidP="003C4C3D">
      <w:pPr>
        <w:rPr>
          <w:lang w:bidi="he-IL"/>
        </w:rPr>
      </w:pPr>
      <w:r>
        <w:rPr>
          <w:lang w:bidi="he-IL"/>
        </w:rPr>
        <w:t xml:space="preserve">As an account of God making a covenant, Gen 17 is traditionally seen as P’s equivalent to Gen 15. It generally speaks of </w:t>
      </w:r>
      <w:r w:rsidR="003D56BA">
        <w:rPr>
          <w:lang w:bidi="he-IL"/>
        </w:rPr>
        <w:t>“</w:t>
      </w:r>
      <w:r>
        <w:rPr>
          <w:lang w:bidi="he-IL"/>
        </w:rPr>
        <w:t>God</w:t>
      </w:r>
      <w:r w:rsidR="003D56BA">
        <w:rPr>
          <w:lang w:bidi="he-IL"/>
        </w:rPr>
        <w:t>”</w:t>
      </w:r>
      <w:r>
        <w:rPr>
          <w:lang w:bidi="he-IL"/>
        </w:rPr>
        <w:t xml:space="preserve"> rather than of </w:t>
      </w:r>
      <w:r w:rsidR="003D56BA">
        <w:rPr>
          <w:lang w:bidi="he-IL"/>
        </w:rPr>
        <w:t>“</w:t>
      </w:r>
      <w:r>
        <w:rPr>
          <w:lang w:bidi="he-IL"/>
        </w:rPr>
        <w:t>Yahweh</w:t>
      </w:r>
      <w:r w:rsidR="003D56BA">
        <w:rPr>
          <w:lang w:bidi="he-IL"/>
        </w:rPr>
        <w:t>”</w:t>
      </w:r>
      <w:r>
        <w:rPr>
          <w:lang w:bidi="he-IL"/>
        </w:rPr>
        <w:t xml:space="preserve"> (the occurrence </w:t>
      </w:r>
      <w:r w:rsidR="003E0DDD">
        <w:rPr>
          <w:lang w:bidi="he-IL"/>
        </w:rPr>
        <w:t xml:space="preserve">of this name in v. 1 would </w:t>
      </w:r>
      <w:r>
        <w:rPr>
          <w:lang w:bidi="he-IL"/>
        </w:rPr>
        <w:t xml:space="preserve">be a result of </w:t>
      </w:r>
      <w:r w:rsidR="003E0DDD">
        <w:rPr>
          <w:lang w:bidi="he-IL"/>
        </w:rPr>
        <w:t xml:space="preserve">the process whereby the </w:t>
      </w:r>
      <w:r>
        <w:rPr>
          <w:lang w:bidi="he-IL"/>
        </w:rPr>
        <w:t>sources were combined)</w:t>
      </w:r>
      <w:r w:rsidR="003E0DDD">
        <w:rPr>
          <w:lang w:bidi="he-IL"/>
        </w:rPr>
        <w:t xml:space="preserve"> </w:t>
      </w:r>
      <w:r>
        <w:rPr>
          <w:lang w:bidi="he-IL"/>
        </w:rPr>
        <w:t xml:space="preserve">and it manifests P’s characteristic liking for figures. As the P creation story provided the rationale for observing the </w:t>
      </w:r>
      <w:r w:rsidR="008C142B">
        <w:rPr>
          <w:lang w:bidi="he-IL"/>
        </w:rPr>
        <w:t>Sabbath and the P Noah story provided the validation for the rule about abstaining from blood, the P Abraham story here explains</w:t>
      </w:r>
      <w:r w:rsidR="00EC1ED3">
        <w:rPr>
          <w:lang w:bidi="he-IL"/>
        </w:rPr>
        <w:t xml:space="preserve"> the origin of circumcision</w:t>
      </w:r>
      <w:r w:rsidR="00716726">
        <w:rPr>
          <w:lang w:bidi="he-IL"/>
        </w:rPr>
        <w:t>.</w:t>
      </w:r>
      <w:r w:rsidR="00716726">
        <w:rPr>
          <w:rStyle w:val="FootnoteReference"/>
          <w:lang w:bidi="he-IL"/>
        </w:rPr>
        <w:footnoteReference w:id="326"/>
      </w:r>
      <w:r w:rsidR="006E0E98">
        <w:rPr>
          <w:lang w:bidi="he-IL"/>
        </w:rPr>
        <w:t xml:space="preserve"> </w:t>
      </w:r>
      <w:r w:rsidR="00052D0D">
        <w:rPr>
          <w:lang w:bidi="he-IL"/>
        </w:rPr>
        <w:t>Gen 18 wi</w:t>
      </w:r>
      <w:r w:rsidR="006E0E98">
        <w:rPr>
          <w:lang w:bidi="he-IL"/>
        </w:rPr>
        <w:t>ll again tell of God promising</w:t>
      </w:r>
      <w:r w:rsidR="00052D0D">
        <w:rPr>
          <w:lang w:bidi="he-IL"/>
        </w:rPr>
        <w:t xml:space="preserve"> that Sarah will have a baby in her old age. So Gen 17 is the P version of Gen 18 as well as the P version of Gen 15.</w:t>
      </w:r>
    </w:p>
    <w:p w14:paraId="5ACF3B09" w14:textId="605EB6CA" w:rsidR="001D3585" w:rsidRDefault="00A94205" w:rsidP="001437B5">
      <w:pPr>
        <w:rPr>
          <w:lang w:bidi="he-IL"/>
        </w:rPr>
      </w:pPr>
      <w:r>
        <w:rPr>
          <w:b/>
          <w:lang w:bidi="he-IL"/>
        </w:rPr>
        <w:t>17:1-3a</w:t>
      </w:r>
      <w:r w:rsidR="006E0E98">
        <w:rPr>
          <w:lang w:bidi="he-IL"/>
        </w:rPr>
        <w:t>. T</w:t>
      </w:r>
      <w:r w:rsidR="001437B5">
        <w:rPr>
          <w:lang w:bidi="he-IL"/>
        </w:rPr>
        <w:t xml:space="preserve">hirteen years have passed </w:t>
      </w:r>
      <w:r w:rsidR="006E0E98">
        <w:rPr>
          <w:lang w:bidi="he-IL"/>
        </w:rPr>
        <w:t>since the birth of Ishmael;</w:t>
      </w:r>
      <w:r w:rsidR="00E53F28">
        <w:rPr>
          <w:lang w:bidi="he-IL"/>
        </w:rPr>
        <w:t xml:space="preserve"> h</w:t>
      </w:r>
      <w:r w:rsidR="001437B5">
        <w:rPr>
          <w:lang w:bidi="he-IL"/>
        </w:rPr>
        <w:t xml:space="preserve">e </w:t>
      </w:r>
      <w:r w:rsidR="00E53F28">
        <w:rPr>
          <w:lang w:bidi="he-IL"/>
        </w:rPr>
        <w:t>is about to become a man</w:t>
      </w:r>
      <w:r w:rsidR="00215140">
        <w:rPr>
          <w:lang w:bidi="he-IL"/>
        </w:rPr>
        <w:t xml:space="preserve">. </w:t>
      </w:r>
      <w:r w:rsidR="00E53F28">
        <w:rPr>
          <w:lang w:bidi="he-IL"/>
        </w:rPr>
        <w:t>Abraham has reason</w:t>
      </w:r>
      <w:r w:rsidR="00215140">
        <w:rPr>
          <w:lang w:bidi="he-IL"/>
        </w:rPr>
        <w:t xml:space="preserve"> to be </w:t>
      </w:r>
      <w:r w:rsidR="00716726">
        <w:rPr>
          <w:lang w:bidi="he-IL"/>
        </w:rPr>
        <w:t xml:space="preserve">living a </w:t>
      </w:r>
      <w:r w:rsidR="00215140">
        <w:rPr>
          <w:lang w:bidi="he-IL"/>
        </w:rPr>
        <w:t xml:space="preserve">relaxed </w:t>
      </w:r>
      <w:r w:rsidR="00716726">
        <w:rPr>
          <w:lang w:bidi="he-IL"/>
        </w:rPr>
        <w:t xml:space="preserve">life </w:t>
      </w:r>
      <w:r w:rsidR="00E53F28">
        <w:rPr>
          <w:lang w:bidi="he-IL"/>
        </w:rPr>
        <w:t xml:space="preserve">as he goes about his business of looking after sheep </w:t>
      </w:r>
      <w:r w:rsidR="00716726">
        <w:rPr>
          <w:lang w:bidi="he-IL"/>
        </w:rPr>
        <w:t>confident in the fulfillment of</w:t>
      </w:r>
      <w:r w:rsidR="00215140">
        <w:rPr>
          <w:lang w:bidi="he-IL"/>
        </w:rPr>
        <w:t xml:space="preserve"> God’s promise </w:t>
      </w:r>
      <w:r w:rsidR="00E53F28">
        <w:rPr>
          <w:lang w:bidi="he-IL"/>
        </w:rPr>
        <w:t xml:space="preserve">through Ishmael </w:t>
      </w:r>
      <w:r w:rsidR="00215140">
        <w:rPr>
          <w:lang w:bidi="he-IL"/>
        </w:rPr>
        <w:t xml:space="preserve">(and maybe </w:t>
      </w:r>
      <w:r w:rsidR="006E0E98">
        <w:rPr>
          <w:lang w:bidi="he-IL"/>
        </w:rPr>
        <w:t xml:space="preserve">there is </w:t>
      </w:r>
      <w:r w:rsidR="00215140">
        <w:rPr>
          <w:lang w:bidi="he-IL"/>
        </w:rPr>
        <w:t>no reason for Sarah and Hagar not to be relaxed about it, too, but we will hear nothing</w:t>
      </w:r>
      <w:r w:rsidR="00E53F28">
        <w:rPr>
          <w:lang w:bidi="he-IL"/>
        </w:rPr>
        <w:t xml:space="preserve"> o</w:t>
      </w:r>
      <w:r w:rsidR="00EC1ED3">
        <w:rPr>
          <w:lang w:bidi="he-IL"/>
        </w:rPr>
        <w:t>f them until chapters 18—21). Abraham</w:t>
      </w:r>
      <w:r w:rsidR="00E53F28" w:rsidRPr="00E53F28">
        <w:rPr>
          <w:lang w:bidi="he-IL"/>
        </w:rPr>
        <w:t xml:space="preserve"> is about to become a hundred years old, </w:t>
      </w:r>
      <w:r w:rsidR="00E53F28">
        <w:rPr>
          <w:lang w:bidi="he-IL"/>
        </w:rPr>
        <w:t>and t</w:t>
      </w:r>
      <w:r w:rsidR="00E53F28" w:rsidRPr="00E53F28">
        <w:rPr>
          <w:lang w:bidi="he-IL"/>
        </w:rPr>
        <w:t>here is</w:t>
      </w:r>
      <w:r w:rsidR="006E0E98">
        <w:rPr>
          <w:lang w:bidi="he-IL"/>
        </w:rPr>
        <w:t xml:space="preserve"> no doubt that he and Sarah </w:t>
      </w:r>
      <w:r w:rsidR="00E53F28" w:rsidRPr="00E53F28">
        <w:rPr>
          <w:lang w:bidi="he-IL"/>
        </w:rPr>
        <w:t>are people of maturity.</w:t>
      </w:r>
      <w:r w:rsidR="00E53F28" w:rsidRPr="00E53F28">
        <w:rPr>
          <w:vertAlign w:val="superscript"/>
          <w:lang w:bidi="he-IL"/>
        </w:rPr>
        <w:footnoteReference w:id="327"/>
      </w:r>
      <w:r w:rsidR="00E53F28" w:rsidRPr="00E53F28">
        <w:rPr>
          <w:lang w:bidi="he-IL"/>
        </w:rPr>
        <w:t xml:space="preserve"> </w:t>
      </w:r>
      <w:r w:rsidR="00E53F28">
        <w:rPr>
          <w:lang w:bidi="he-IL"/>
        </w:rPr>
        <w:t xml:space="preserve">But it is </w:t>
      </w:r>
      <w:r w:rsidR="00E53F28" w:rsidRPr="00E53F28">
        <w:rPr>
          <w:lang w:bidi="he-IL"/>
        </w:rPr>
        <w:t>an appropriate age for something climactic to happen</w:t>
      </w:r>
      <w:r w:rsidR="006E0E98">
        <w:rPr>
          <w:lang w:bidi="he-IL"/>
        </w:rPr>
        <w:t xml:space="preserve"> to him</w:t>
      </w:r>
      <w:r w:rsidR="00E53F28" w:rsidRPr="00E53F28">
        <w:rPr>
          <w:lang w:bidi="he-IL"/>
        </w:rPr>
        <w:t>.</w:t>
      </w:r>
      <w:r w:rsidR="00E53F28" w:rsidRPr="00E53F28">
        <w:rPr>
          <w:vertAlign w:val="superscript"/>
          <w:lang w:bidi="he-IL"/>
        </w:rPr>
        <w:footnoteReference w:id="328"/>
      </w:r>
      <w:r w:rsidR="00E53F28" w:rsidRPr="00E53F28">
        <w:rPr>
          <w:lang w:bidi="he-IL"/>
        </w:rPr>
        <w:t xml:space="preserve"> </w:t>
      </w:r>
    </w:p>
    <w:p w14:paraId="5B18A315" w14:textId="6B1E1DD8" w:rsidR="001D3585" w:rsidRDefault="00E53F28" w:rsidP="001437B5">
      <w:pPr>
        <w:rPr>
          <w:lang w:bidi="he-IL"/>
        </w:rPr>
      </w:pPr>
      <w:r>
        <w:rPr>
          <w:lang w:bidi="he-IL"/>
        </w:rPr>
        <w:t>And</w:t>
      </w:r>
      <w:r w:rsidR="004D75B2">
        <w:rPr>
          <w:lang w:bidi="he-IL"/>
        </w:rPr>
        <w:t xml:space="preserve"> Yahweh appears </w:t>
      </w:r>
      <w:r>
        <w:rPr>
          <w:lang w:bidi="he-IL"/>
        </w:rPr>
        <w:t xml:space="preserve">to him </w:t>
      </w:r>
      <w:r w:rsidR="001D3585">
        <w:rPr>
          <w:lang w:bidi="he-IL"/>
        </w:rPr>
        <w:t xml:space="preserve">(v. 1b) </w:t>
      </w:r>
      <w:r w:rsidR="004D75B2">
        <w:rPr>
          <w:lang w:bidi="he-IL"/>
        </w:rPr>
        <w:t xml:space="preserve">as he did in 12:7 when he first made the promise of land; </w:t>
      </w:r>
      <w:r>
        <w:rPr>
          <w:lang w:bidi="he-IL"/>
        </w:rPr>
        <w:t xml:space="preserve">he had meanwhile spoken to him </w:t>
      </w:r>
      <w:r w:rsidR="004D75B2">
        <w:rPr>
          <w:lang w:bidi="he-IL"/>
        </w:rPr>
        <w:t>in a vision</w:t>
      </w:r>
      <w:r>
        <w:rPr>
          <w:lang w:bidi="he-IL"/>
        </w:rPr>
        <w:t>, in 15:1</w:t>
      </w:r>
      <w:r w:rsidR="004D75B2">
        <w:rPr>
          <w:lang w:bidi="he-IL"/>
        </w:rPr>
        <w:t xml:space="preserve">. Either way (appearance or vision) </w:t>
      </w:r>
      <w:r w:rsidR="00281330">
        <w:rPr>
          <w:lang w:bidi="he-IL"/>
        </w:rPr>
        <w:t>the point about the manifestation is the message that follows. The manifestation gives force an</w:t>
      </w:r>
      <w:r>
        <w:rPr>
          <w:lang w:bidi="he-IL"/>
        </w:rPr>
        <w:t xml:space="preserve">d authenticity to </w:t>
      </w:r>
      <w:r w:rsidR="006E0E98">
        <w:rPr>
          <w:lang w:bidi="he-IL"/>
        </w:rPr>
        <w:t>the message. T</w:t>
      </w:r>
      <w:r w:rsidR="00281330">
        <w:rPr>
          <w:lang w:bidi="he-IL"/>
        </w:rPr>
        <w:t>he message is not just something Abraham imagined</w:t>
      </w:r>
      <w:r>
        <w:rPr>
          <w:lang w:bidi="he-IL"/>
        </w:rPr>
        <w:t xml:space="preserve">. </w:t>
      </w:r>
      <w:r w:rsidR="00EC1ED3">
        <w:rPr>
          <w:lang w:bidi="he-IL"/>
        </w:rPr>
        <w:t xml:space="preserve">By his self-introduction </w:t>
      </w:r>
      <w:r>
        <w:rPr>
          <w:lang w:bidi="he-IL"/>
        </w:rPr>
        <w:t>Yahweh points up the</w:t>
      </w:r>
      <w:r w:rsidR="00281330">
        <w:rPr>
          <w:lang w:bidi="he-IL"/>
        </w:rPr>
        <w:t xml:space="preserve"> momentousness </w:t>
      </w:r>
      <w:r>
        <w:rPr>
          <w:lang w:bidi="he-IL"/>
        </w:rPr>
        <w:t>of the message that is coming</w:t>
      </w:r>
      <w:r w:rsidR="00281330">
        <w:rPr>
          <w:lang w:bidi="he-IL"/>
        </w:rPr>
        <w:t>, as he</w:t>
      </w:r>
      <w:r w:rsidR="00BC3D65">
        <w:rPr>
          <w:lang w:bidi="he-IL"/>
        </w:rPr>
        <w:t xml:space="preserve"> did in 15:7. In keeping with</w:t>
      </w:r>
      <w:r w:rsidR="00EC1ED3">
        <w:rPr>
          <w:lang w:bidi="he-IL"/>
        </w:rPr>
        <w:t xml:space="preserve"> recurrent practice in Genesis,</w:t>
      </w:r>
      <w:r>
        <w:rPr>
          <w:lang w:bidi="he-IL"/>
        </w:rPr>
        <w:t xml:space="preserve"> </w:t>
      </w:r>
      <w:r w:rsidR="00BC3D65">
        <w:rPr>
          <w:lang w:bidi="he-IL"/>
        </w:rPr>
        <w:t>while the narrator id</w:t>
      </w:r>
      <w:r w:rsidR="00EC1ED3">
        <w:rPr>
          <w:lang w:bidi="he-IL"/>
        </w:rPr>
        <w:t xml:space="preserve">entifies him as Yahweh, it </w:t>
      </w:r>
      <w:r w:rsidR="00BC3D65">
        <w:rPr>
          <w:lang w:bidi="he-IL"/>
        </w:rPr>
        <w:t>has him speaking of himself in a way appropriate to the period before the revela</w:t>
      </w:r>
      <w:r>
        <w:rPr>
          <w:lang w:bidi="he-IL"/>
        </w:rPr>
        <w:t>tio</w:t>
      </w:r>
      <w:r w:rsidR="00EC1ED3">
        <w:rPr>
          <w:lang w:bidi="he-IL"/>
        </w:rPr>
        <w:t>n of this name in Exodus. H</w:t>
      </w:r>
      <w:r>
        <w:rPr>
          <w:lang w:bidi="he-IL"/>
        </w:rPr>
        <w:t>e declares,</w:t>
      </w:r>
      <w:r w:rsidR="00BC3D65">
        <w:rPr>
          <w:lang w:bidi="he-IL"/>
        </w:rPr>
        <w:t xml:space="preserve"> </w:t>
      </w:r>
      <w:r w:rsidR="003D56BA">
        <w:rPr>
          <w:lang w:bidi="he-IL"/>
        </w:rPr>
        <w:t>“</w:t>
      </w:r>
      <w:r w:rsidR="00BC3D65">
        <w:rPr>
          <w:lang w:bidi="he-IL"/>
        </w:rPr>
        <w:t xml:space="preserve">I </w:t>
      </w:r>
      <w:r w:rsidR="007A2A0A">
        <w:rPr>
          <w:lang w:bidi="he-IL"/>
        </w:rPr>
        <w:t>am El Shadday.</w:t>
      </w:r>
      <w:r w:rsidR="003D56BA">
        <w:rPr>
          <w:lang w:bidi="he-IL"/>
        </w:rPr>
        <w:t>”</w:t>
      </w:r>
      <w:r w:rsidR="00243964">
        <w:rPr>
          <w:lang w:bidi="he-IL"/>
        </w:rPr>
        <w:t xml:space="preserve"> The name </w:t>
      </w:r>
      <w:r w:rsidR="007A2A0A">
        <w:rPr>
          <w:lang w:bidi="he-IL"/>
        </w:rPr>
        <w:t>compares with</w:t>
      </w:r>
      <w:r w:rsidR="00BC3D65">
        <w:rPr>
          <w:lang w:bidi="he-IL"/>
        </w:rPr>
        <w:t xml:space="preserve"> </w:t>
      </w:r>
      <w:r w:rsidR="007A2A0A" w:rsidRPr="007A2A0A">
        <w:rPr>
          <w:lang w:bidi="he-IL"/>
        </w:rPr>
        <w:t>El Elyon</w:t>
      </w:r>
      <w:r w:rsidR="00243964">
        <w:rPr>
          <w:lang w:bidi="he-IL"/>
        </w:rPr>
        <w:t xml:space="preserve"> and </w:t>
      </w:r>
      <w:r w:rsidR="00243964" w:rsidRPr="00243964">
        <w:rPr>
          <w:lang w:val="en-GB" w:bidi="he-IL"/>
        </w:rPr>
        <w:t>El Ro’</w:t>
      </w:r>
      <w:r w:rsidR="00243964">
        <w:rPr>
          <w:lang w:val="en-GB" w:bidi="he-IL"/>
        </w:rPr>
        <w:t>i</w:t>
      </w:r>
      <w:r w:rsidR="007A2A0A">
        <w:rPr>
          <w:lang w:bidi="he-IL"/>
        </w:rPr>
        <w:t>,</w:t>
      </w:r>
      <w:r w:rsidR="007A2A0A" w:rsidRPr="007A2A0A">
        <w:rPr>
          <w:lang w:bidi="he-IL"/>
        </w:rPr>
        <w:t xml:space="preserve"> </w:t>
      </w:r>
      <w:r w:rsidR="00BC3D65">
        <w:rPr>
          <w:lang w:bidi="he-IL"/>
        </w:rPr>
        <w:t xml:space="preserve">the names </w:t>
      </w:r>
      <w:r>
        <w:rPr>
          <w:lang w:bidi="he-IL"/>
        </w:rPr>
        <w:t>u</w:t>
      </w:r>
      <w:r w:rsidR="001D3585">
        <w:rPr>
          <w:lang w:bidi="he-IL"/>
        </w:rPr>
        <w:t>sed by Mechizedek and Hagar. This</w:t>
      </w:r>
      <w:r>
        <w:rPr>
          <w:lang w:bidi="he-IL"/>
        </w:rPr>
        <w:t xml:space="preserve"> name</w:t>
      </w:r>
      <w:r w:rsidR="00BC3D65">
        <w:rPr>
          <w:lang w:bidi="he-IL"/>
        </w:rPr>
        <w:t xml:space="preserve"> </w:t>
      </w:r>
      <w:r w:rsidR="009D7E92">
        <w:rPr>
          <w:lang w:bidi="he-IL"/>
        </w:rPr>
        <w:t>comes four more times in Gen</w:t>
      </w:r>
      <w:r w:rsidR="00BA4DE6">
        <w:rPr>
          <w:lang w:bidi="he-IL"/>
        </w:rPr>
        <w:t xml:space="preserve"> </w:t>
      </w:r>
      <w:r w:rsidR="009D7E92">
        <w:rPr>
          <w:lang w:bidi="he-IL"/>
        </w:rPr>
        <w:t xml:space="preserve">12—50 </w:t>
      </w:r>
      <w:r w:rsidR="00BA4DE6">
        <w:rPr>
          <w:lang w:bidi="he-IL"/>
        </w:rPr>
        <w:t xml:space="preserve">and </w:t>
      </w:r>
      <w:r>
        <w:rPr>
          <w:lang w:bidi="he-IL"/>
        </w:rPr>
        <w:t>then in Exod 6:3</w:t>
      </w:r>
      <w:r w:rsidR="00BA4DE6">
        <w:rPr>
          <w:lang w:bidi="he-IL"/>
        </w:rPr>
        <w:t xml:space="preserve"> </w:t>
      </w:r>
      <w:r>
        <w:rPr>
          <w:lang w:bidi="he-IL"/>
        </w:rPr>
        <w:t xml:space="preserve">(also </w:t>
      </w:r>
      <w:r w:rsidR="00BA4DE6">
        <w:rPr>
          <w:lang w:bidi="he-IL"/>
        </w:rPr>
        <w:t>Ezek 10:5</w:t>
      </w:r>
      <w:r>
        <w:rPr>
          <w:lang w:bidi="he-IL"/>
        </w:rPr>
        <w:t>)</w:t>
      </w:r>
      <w:r w:rsidR="007A2A0A">
        <w:rPr>
          <w:lang w:bidi="he-IL"/>
        </w:rPr>
        <w:t>;</w:t>
      </w:r>
      <w:r w:rsidR="00604C91">
        <w:rPr>
          <w:lang w:bidi="he-IL"/>
        </w:rPr>
        <w:t xml:space="preserve"> </w:t>
      </w:r>
      <w:r w:rsidR="00BA4DE6" w:rsidRPr="00BA4DE6">
        <w:rPr>
          <w:lang w:bidi="he-IL"/>
        </w:rPr>
        <w:t xml:space="preserve">Shadday on its own </w:t>
      </w:r>
      <w:r>
        <w:rPr>
          <w:lang w:bidi="he-IL"/>
        </w:rPr>
        <w:t>oc</w:t>
      </w:r>
      <w:r w:rsidR="00BC3D65">
        <w:rPr>
          <w:lang w:bidi="he-IL"/>
        </w:rPr>
        <w:t>curs occasionally el</w:t>
      </w:r>
      <w:r w:rsidR="00243964">
        <w:rPr>
          <w:lang w:bidi="he-IL"/>
        </w:rPr>
        <w:t xml:space="preserve">sewhere, </w:t>
      </w:r>
      <w:r w:rsidR="00BA4DE6">
        <w:rPr>
          <w:lang w:bidi="he-IL"/>
        </w:rPr>
        <w:t>especially in</w:t>
      </w:r>
      <w:r>
        <w:rPr>
          <w:lang w:bidi="he-IL"/>
        </w:rPr>
        <w:t xml:space="preserve"> Job, where </w:t>
      </w:r>
      <w:r w:rsidR="00BC3D65">
        <w:rPr>
          <w:lang w:bidi="he-IL"/>
        </w:rPr>
        <w:t xml:space="preserve">it is </w:t>
      </w:r>
      <w:r>
        <w:rPr>
          <w:lang w:bidi="he-IL"/>
        </w:rPr>
        <w:t xml:space="preserve">again </w:t>
      </w:r>
      <w:r w:rsidR="00BC3D65">
        <w:rPr>
          <w:lang w:bidi="he-IL"/>
        </w:rPr>
        <w:t>ap</w:t>
      </w:r>
      <w:r w:rsidR="007A2A0A">
        <w:rPr>
          <w:lang w:bidi="he-IL"/>
        </w:rPr>
        <w:t>propriate on the lips of people</w:t>
      </w:r>
      <w:r w:rsidR="00BC3D65">
        <w:rPr>
          <w:lang w:bidi="he-IL"/>
        </w:rPr>
        <w:t xml:space="preserve"> outside the sphere of the revelation of the name Yahweh. </w:t>
      </w:r>
      <w:r w:rsidR="00243964">
        <w:rPr>
          <w:lang w:bidi="he-IL"/>
        </w:rPr>
        <w:t>If we ignore the anachronistic use of the name Yahweh</w:t>
      </w:r>
      <w:r w:rsidR="007A2A0A">
        <w:rPr>
          <w:lang w:bidi="he-IL"/>
        </w:rPr>
        <w:t xml:space="preserve">, in </w:t>
      </w:r>
      <w:r w:rsidR="009D7E92">
        <w:rPr>
          <w:lang w:bidi="he-IL"/>
        </w:rPr>
        <w:t xml:space="preserve">Gen 1-11 God is simply God; in Gen 12—50 he is </w:t>
      </w:r>
      <w:r w:rsidR="00243964">
        <w:rPr>
          <w:lang w:bidi="he-IL"/>
        </w:rPr>
        <w:t xml:space="preserve">characteristically </w:t>
      </w:r>
      <w:r w:rsidR="009D7E92">
        <w:rPr>
          <w:lang w:bidi="he-IL"/>
        </w:rPr>
        <w:t xml:space="preserve">El Shadday; </w:t>
      </w:r>
      <w:r w:rsidR="00243964">
        <w:rPr>
          <w:lang w:bidi="he-IL"/>
        </w:rPr>
        <w:t xml:space="preserve">it is </w:t>
      </w:r>
      <w:r w:rsidR="009D7E92">
        <w:rPr>
          <w:lang w:bidi="he-IL"/>
        </w:rPr>
        <w:t xml:space="preserve">with his appearing to Moses </w:t>
      </w:r>
      <w:r w:rsidR="007A2A0A">
        <w:rPr>
          <w:lang w:bidi="he-IL"/>
        </w:rPr>
        <w:t xml:space="preserve">in Exodus </w:t>
      </w:r>
      <w:r w:rsidR="00243964">
        <w:rPr>
          <w:lang w:bidi="he-IL"/>
        </w:rPr>
        <w:t xml:space="preserve">that </w:t>
      </w:r>
      <w:r w:rsidR="009D7E92">
        <w:rPr>
          <w:lang w:bidi="he-IL"/>
        </w:rPr>
        <w:t xml:space="preserve">he becomes Yahweh. </w:t>
      </w:r>
      <w:r w:rsidR="00BC3D65">
        <w:rPr>
          <w:lang w:bidi="he-IL"/>
        </w:rPr>
        <w:t xml:space="preserve">Whereas Genesis explicitly interprets </w:t>
      </w:r>
      <w:r w:rsidR="001D3585">
        <w:rPr>
          <w:lang w:val="en-GB" w:bidi="he-IL"/>
        </w:rPr>
        <w:t>El R</w:t>
      </w:r>
      <w:r w:rsidR="007715BE" w:rsidRPr="007715BE">
        <w:rPr>
          <w:lang w:val="en-GB" w:bidi="he-IL"/>
        </w:rPr>
        <w:t>o’</w:t>
      </w:r>
      <w:r w:rsidR="001D3585">
        <w:rPr>
          <w:lang w:val="en-GB" w:bidi="he-IL"/>
        </w:rPr>
        <w:t>i</w:t>
      </w:r>
      <w:r w:rsidR="007715BE">
        <w:rPr>
          <w:lang w:bidi="he-IL"/>
        </w:rPr>
        <w:t>,</w:t>
      </w:r>
      <w:r w:rsidR="00BC3D65">
        <w:rPr>
          <w:lang w:bidi="he-IL"/>
        </w:rPr>
        <w:t xml:space="preserve"> and </w:t>
      </w:r>
      <w:r w:rsidR="007715BE">
        <w:rPr>
          <w:lang w:bidi="he-IL"/>
        </w:rPr>
        <w:t>the second element in El E</w:t>
      </w:r>
      <w:r w:rsidR="001D3585">
        <w:rPr>
          <w:lang w:bidi="he-IL"/>
        </w:rPr>
        <w:t>lyon</w:t>
      </w:r>
      <w:r w:rsidR="007715BE">
        <w:rPr>
          <w:lang w:bidi="he-IL"/>
        </w:rPr>
        <w:t xml:space="preserve"> </w:t>
      </w:r>
      <w:r w:rsidR="00243964">
        <w:rPr>
          <w:lang w:bidi="he-IL"/>
        </w:rPr>
        <w:t xml:space="preserve">surely </w:t>
      </w:r>
      <w:r w:rsidR="007715BE">
        <w:rPr>
          <w:lang w:bidi="he-IL"/>
        </w:rPr>
        <w:t>has the same meaning as it has in ordinary usage, the meaning of Shadday is not obvious</w:t>
      </w:r>
      <w:r w:rsidR="00243964">
        <w:rPr>
          <w:lang w:bidi="he-IL"/>
        </w:rPr>
        <w:t>,</w:t>
      </w:r>
      <w:r w:rsidR="007715BE">
        <w:rPr>
          <w:lang w:bidi="he-IL"/>
        </w:rPr>
        <w:t xml:space="preserve"> and neither Genesis nor the rest of the First Testament explains it. The nearest we get to an explanation is the link with the verb </w:t>
      </w:r>
      <w:r w:rsidR="007715BE">
        <w:rPr>
          <w:i/>
          <w:lang w:bidi="he-IL"/>
        </w:rPr>
        <w:t>šādad</w:t>
      </w:r>
      <w:r w:rsidR="007715BE">
        <w:rPr>
          <w:lang w:bidi="he-IL"/>
        </w:rPr>
        <w:t xml:space="preserve"> in Isa 13:6, which would suggest the mea</w:t>
      </w:r>
      <w:r w:rsidR="009B759D">
        <w:rPr>
          <w:lang w:bidi="he-IL"/>
        </w:rPr>
        <w:t xml:space="preserve">ning </w:t>
      </w:r>
      <w:r w:rsidR="003D56BA">
        <w:rPr>
          <w:lang w:bidi="he-IL"/>
        </w:rPr>
        <w:t>“</w:t>
      </w:r>
      <w:r w:rsidR="009B759D">
        <w:rPr>
          <w:lang w:bidi="he-IL"/>
        </w:rPr>
        <w:t>Devastator.</w:t>
      </w:r>
      <w:r w:rsidR="003D56BA">
        <w:rPr>
          <w:lang w:bidi="he-IL"/>
        </w:rPr>
        <w:t>”</w:t>
      </w:r>
      <w:r w:rsidR="009B759D">
        <w:rPr>
          <w:lang w:bidi="he-IL"/>
        </w:rPr>
        <w:t xml:space="preserve"> Possibly Vg’s translation </w:t>
      </w:r>
      <w:r w:rsidR="003D56BA">
        <w:rPr>
          <w:lang w:bidi="he-IL"/>
        </w:rPr>
        <w:t>“</w:t>
      </w:r>
      <w:r w:rsidR="009B759D">
        <w:rPr>
          <w:lang w:bidi="he-IL"/>
        </w:rPr>
        <w:t>omnipotent</w:t>
      </w:r>
      <w:r w:rsidR="003D56BA">
        <w:rPr>
          <w:lang w:bidi="he-IL"/>
        </w:rPr>
        <w:t>”</w:t>
      </w:r>
      <w:r w:rsidR="009B759D">
        <w:rPr>
          <w:lang w:bidi="he-IL"/>
        </w:rPr>
        <w:t xml:space="preserve"> is a watered down version of an assumed link with </w:t>
      </w:r>
      <w:r w:rsidR="009B759D" w:rsidRPr="009B759D">
        <w:rPr>
          <w:i/>
          <w:lang w:bidi="he-IL"/>
        </w:rPr>
        <w:t>šādad</w:t>
      </w:r>
      <w:r w:rsidR="009B759D">
        <w:rPr>
          <w:lang w:bidi="he-IL"/>
        </w:rPr>
        <w:t>. But g</w:t>
      </w:r>
      <w:r w:rsidR="00EC1ED3">
        <w:rPr>
          <w:lang w:bidi="he-IL"/>
        </w:rPr>
        <w:t>enerally it’</w:t>
      </w:r>
      <w:r w:rsidR="00243964">
        <w:rPr>
          <w:lang w:bidi="he-IL"/>
        </w:rPr>
        <w:t xml:space="preserve">s simply a name, used outside </w:t>
      </w:r>
      <w:r w:rsidR="009B759D">
        <w:rPr>
          <w:lang w:bidi="he-IL"/>
        </w:rPr>
        <w:t>context</w:t>
      </w:r>
      <w:r w:rsidR="00243964">
        <w:rPr>
          <w:lang w:bidi="he-IL"/>
        </w:rPr>
        <w:t>s</w:t>
      </w:r>
      <w:r w:rsidR="009B759D">
        <w:rPr>
          <w:lang w:bidi="he-IL"/>
        </w:rPr>
        <w:t xml:space="preserve"> where the name Yahweh is appropriate</w:t>
      </w:r>
      <w:r w:rsidR="00243964">
        <w:rPr>
          <w:lang w:bidi="he-IL"/>
        </w:rPr>
        <w:t xml:space="preserve">. Here, LXX </w:t>
      </w:r>
      <w:r w:rsidR="000C4CC5">
        <w:rPr>
          <w:lang w:bidi="he-IL"/>
        </w:rPr>
        <w:t xml:space="preserve">has simply </w:t>
      </w:r>
      <w:r w:rsidR="003D56BA">
        <w:rPr>
          <w:lang w:bidi="he-IL"/>
        </w:rPr>
        <w:t>“</w:t>
      </w:r>
      <w:r w:rsidR="000C4CC5">
        <w:rPr>
          <w:lang w:bidi="he-IL"/>
        </w:rPr>
        <w:t>your God,</w:t>
      </w:r>
      <w:r w:rsidR="003D56BA">
        <w:rPr>
          <w:lang w:bidi="he-IL"/>
        </w:rPr>
        <w:t>”</w:t>
      </w:r>
      <w:r w:rsidR="000C4CC5">
        <w:rPr>
          <w:lang w:bidi="he-IL"/>
        </w:rPr>
        <w:t xml:space="preserve"> which corresponds to the expression’s</w:t>
      </w:r>
      <w:r w:rsidR="00DF2DC1">
        <w:rPr>
          <w:lang w:bidi="he-IL"/>
        </w:rPr>
        <w:t xml:space="preserve"> s</w:t>
      </w:r>
      <w:r w:rsidR="000C4CC5">
        <w:rPr>
          <w:lang w:bidi="he-IL"/>
        </w:rPr>
        <w:t>uggestion of</w:t>
      </w:r>
      <w:r w:rsidR="00DF2DC1">
        <w:rPr>
          <w:lang w:bidi="he-IL"/>
        </w:rPr>
        <w:t xml:space="preserve"> God’s nearness to his people.</w:t>
      </w:r>
      <w:r w:rsidR="00DF2DC1">
        <w:rPr>
          <w:rStyle w:val="FootnoteReference"/>
          <w:lang w:bidi="he-IL"/>
        </w:rPr>
        <w:footnoteReference w:id="329"/>
      </w:r>
      <w:r w:rsidR="00727890">
        <w:rPr>
          <w:lang w:bidi="he-IL"/>
        </w:rPr>
        <w:t xml:space="preserve"> </w:t>
      </w:r>
    </w:p>
    <w:p w14:paraId="5B353C29" w14:textId="2CC68050" w:rsidR="001437B5" w:rsidRDefault="001D3585" w:rsidP="001437B5">
      <w:pPr>
        <w:rPr>
          <w:lang w:bidi="he-IL"/>
        </w:rPr>
      </w:pPr>
      <w:r>
        <w:rPr>
          <w:lang w:bidi="he-IL"/>
        </w:rPr>
        <w:t>God’s subsequent words in v. 1b</w:t>
      </w:r>
      <w:r w:rsidR="00D00F15">
        <w:rPr>
          <w:lang w:bidi="he-IL"/>
        </w:rPr>
        <w:t xml:space="preserve"> follow the patter</w:t>
      </w:r>
      <w:r w:rsidR="00924309">
        <w:rPr>
          <w:lang w:bidi="he-IL"/>
        </w:rPr>
        <w:t>n of 12:1-3: first a command,</w:t>
      </w:r>
      <w:r w:rsidR="00D00F15">
        <w:rPr>
          <w:lang w:bidi="he-IL"/>
        </w:rPr>
        <w:t xml:space="preserve"> then a promise. The command picks up the verb used of Enoch and Noa</w:t>
      </w:r>
      <w:r w:rsidR="00243964">
        <w:rPr>
          <w:lang w:bidi="he-IL"/>
        </w:rPr>
        <w:t>h (5:22, 24; 6:9), though God</w:t>
      </w:r>
      <w:r w:rsidR="00D00F15">
        <w:rPr>
          <w:lang w:bidi="he-IL"/>
        </w:rPr>
        <w:t xml:space="preserve"> speaks of walking about </w:t>
      </w:r>
      <w:r w:rsidR="003D56BA">
        <w:rPr>
          <w:lang w:bidi="he-IL"/>
        </w:rPr>
        <w:t>“</w:t>
      </w:r>
      <w:r w:rsidR="00D00F15">
        <w:rPr>
          <w:lang w:bidi="he-IL"/>
        </w:rPr>
        <w:t>before me</w:t>
      </w:r>
      <w:r w:rsidR="003D56BA">
        <w:rPr>
          <w:lang w:bidi="he-IL"/>
        </w:rPr>
        <w:t>”</w:t>
      </w:r>
      <w:r w:rsidR="00D00F15">
        <w:rPr>
          <w:lang w:bidi="he-IL"/>
        </w:rPr>
        <w:t xml:space="preserve"> not </w:t>
      </w:r>
      <w:r w:rsidR="003D56BA">
        <w:rPr>
          <w:lang w:bidi="he-IL"/>
        </w:rPr>
        <w:t>“</w:t>
      </w:r>
      <w:r w:rsidR="00D00F15">
        <w:rPr>
          <w:lang w:bidi="he-IL"/>
        </w:rPr>
        <w:t>with me.</w:t>
      </w:r>
      <w:r w:rsidR="003D56BA">
        <w:rPr>
          <w:lang w:bidi="he-IL"/>
        </w:rPr>
        <w:t>”</w:t>
      </w:r>
      <w:r w:rsidR="00D00F15">
        <w:rPr>
          <w:lang w:bidi="he-IL"/>
        </w:rPr>
        <w:t xml:space="preserve"> </w:t>
      </w:r>
      <w:r w:rsidR="00243964">
        <w:rPr>
          <w:lang w:bidi="he-IL"/>
        </w:rPr>
        <w:t>He</w:t>
      </w:r>
      <w:r w:rsidR="00E94956">
        <w:rPr>
          <w:lang w:bidi="he-IL"/>
        </w:rPr>
        <w:t xml:space="preserve"> may</w:t>
      </w:r>
      <w:r w:rsidR="00243964">
        <w:rPr>
          <w:lang w:bidi="he-IL"/>
        </w:rPr>
        <w:t xml:space="preserve"> not be excluding </w:t>
      </w:r>
      <w:r w:rsidR="00E94956">
        <w:rPr>
          <w:lang w:bidi="he-IL"/>
        </w:rPr>
        <w:t>Abraham</w:t>
      </w:r>
      <w:r w:rsidR="00243964">
        <w:rPr>
          <w:lang w:bidi="he-IL"/>
        </w:rPr>
        <w:t>’s</w:t>
      </w:r>
      <w:r w:rsidR="00E94956">
        <w:rPr>
          <w:lang w:bidi="he-IL"/>
        </w:rPr>
        <w:t xml:space="preserve"> </w:t>
      </w:r>
      <w:r w:rsidR="00243964">
        <w:rPr>
          <w:lang w:bidi="he-IL"/>
        </w:rPr>
        <w:t>walking</w:t>
      </w:r>
      <w:r>
        <w:rPr>
          <w:lang w:bidi="he-IL"/>
        </w:rPr>
        <w:t xml:space="preserve"> with him as his friend</w:t>
      </w:r>
      <w:r w:rsidR="00243964">
        <w:rPr>
          <w:lang w:bidi="he-IL"/>
        </w:rPr>
        <w:t>,</w:t>
      </w:r>
      <w:r>
        <w:rPr>
          <w:lang w:bidi="he-IL"/>
        </w:rPr>
        <w:t xml:space="preserve"> as </w:t>
      </w:r>
      <w:r w:rsidR="00924309">
        <w:rPr>
          <w:lang w:bidi="he-IL"/>
        </w:rPr>
        <w:t>Enoch and Noah</w:t>
      </w:r>
      <w:r>
        <w:rPr>
          <w:lang w:bidi="he-IL"/>
        </w:rPr>
        <w:t xml:space="preserve"> did</w:t>
      </w:r>
      <w:r w:rsidR="00E94956">
        <w:rPr>
          <w:lang w:bidi="he-IL"/>
        </w:rPr>
        <w:t xml:space="preserve"> </w:t>
      </w:r>
      <w:r w:rsidR="00401602">
        <w:rPr>
          <w:lang w:bidi="he-IL"/>
        </w:rPr>
        <w:t>(cf. 2 Chron 20:7; Isa 4</w:t>
      </w:r>
      <w:r w:rsidR="00243964">
        <w:rPr>
          <w:lang w:bidi="he-IL"/>
        </w:rPr>
        <w:t xml:space="preserve">1:8). But </w:t>
      </w:r>
      <w:r w:rsidR="00E94956">
        <w:rPr>
          <w:lang w:bidi="he-IL"/>
        </w:rPr>
        <w:t>the imperative</w:t>
      </w:r>
      <w:r>
        <w:rPr>
          <w:lang w:bidi="he-IL"/>
        </w:rPr>
        <w:t xml:space="preserve"> makes a difference</w:t>
      </w:r>
      <w:r w:rsidR="00E94956">
        <w:rPr>
          <w:lang w:bidi="he-IL"/>
        </w:rPr>
        <w:t xml:space="preserve">. </w:t>
      </w:r>
      <w:r w:rsidR="00243964">
        <w:rPr>
          <w:lang w:bidi="he-IL"/>
        </w:rPr>
        <w:t>Whereas “s</w:t>
      </w:r>
      <w:r>
        <w:rPr>
          <w:lang w:bidi="he-IL"/>
        </w:rPr>
        <w:t>tand</w:t>
      </w:r>
      <w:r w:rsidR="00401602" w:rsidRPr="00401602">
        <w:rPr>
          <w:lang w:bidi="he-IL"/>
        </w:rPr>
        <w:t xml:space="preserve"> </w:t>
      </w:r>
      <w:r w:rsidR="00401602" w:rsidRPr="00401602">
        <w:rPr>
          <w:lang w:bidi="he-IL"/>
        </w:rPr>
        <w:lastRenderedPageBreak/>
        <w:t>before me</w:t>
      </w:r>
      <w:r w:rsidR="003D56BA">
        <w:rPr>
          <w:lang w:bidi="he-IL"/>
        </w:rPr>
        <w:t>”</w:t>
      </w:r>
      <w:r w:rsidR="00401602" w:rsidRPr="00401602">
        <w:rPr>
          <w:lang w:bidi="he-IL"/>
        </w:rPr>
        <w:t xml:space="preserve"> would suggest service (</w:t>
      </w:r>
      <w:r>
        <w:rPr>
          <w:lang w:bidi="he-IL"/>
        </w:rPr>
        <w:t>e.g.,</w:t>
      </w:r>
      <w:r w:rsidR="0061666A">
        <w:rPr>
          <w:lang w:bidi="he-IL"/>
        </w:rPr>
        <w:t xml:space="preserve"> </w:t>
      </w:r>
      <w:r>
        <w:rPr>
          <w:lang w:bidi="he-IL"/>
        </w:rPr>
        <w:t xml:space="preserve">41:46 and cf. </w:t>
      </w:r>
      <w:proofErr w:type="gramStart"/>
      <w:r w:rsidR="0061666A">
        <w:rPr>
          <w:lang w:bidi="he-IL"/>
        </w:rPr>
        <w:t>Tg</w:t>
      </w:r>
      <w:proofErr w:type="gramEnd"/>
      <w:r w:rsidR="0061666A">
        <w:rPr>
          <w:lang w:bidi="he-IL"/>
        </w:rPr>
        <w:t xml:space="preserve"> here</w:t>
      </w:r>
      <w:r w:rsidR="00243964">
        <w:rPr>
          <w:lang w:bidi="he-IL"/>
        </w:rPr>
        <w:t>), like</w:t>
      </w:r>
      <w:r w:rsidR="00401602" w:rsidRPr="00401602">
        <w:rPr>
          <w:lang w:bidi="he-IL"/>
        </w:rPr>
        <w:t xml:space="preserve"> the English expression </w:t>
      </w:r>
      <w:r w:rsidR="003D56BA">
        <w:rPr>
          <w:lang w:bidi="he-IL"/>
        </w:rPr>
        <w:t>“</w:t>
      </w:r>
      <w:r w:rsidR="00243964">
        <w:rPr>
          <w:lang w:bidi="he-IL"/>
        </w:rPr>
        <w:t xml:space="preserve">wait </w:t>
      </w:r>
      <w:r>
        <w:rPr>
          <w:lang w:bidi="he-IL"/>
        </w:rPr>
        <w:t>on,</w:t>
      </w:r>
      <w:r w:rsidR="00243964">
        <w:rPr>
          <w:lang w:bidi="he-IL"/>
        </w:rPr>
        <w:t>”</w:t>
      </w:r>
      <w:r w:rsidR="00401602" w:rsidRPr="00401602">
        <w:rPr>
          <w:lang w:bidi="he-IL"/>
        </w:rPr>
        <w:t xml:space="preserve"> </w:t>
      </w:r>
      <w:r w:rsidR="003D56BA">
        <w:rPr>
          <w:lang w:bidi="he-IL"/>
        </w:rPr>
        <w:t>“</w:t>
      </w:r>
      <w:r>
        <w:rPr>
          <w:lang w:bidi="he-IL"/>
        </w:rPr>
        <w:t>walk</w:t>
      </w:r>
      <w:r w:rsidR="00401602" w:rsidRPr="00401602">
        <w:rPr>
          <w:lang w:bidi="he-IL"/>
        </w:rPr>
        <w:t xml:space="preserve"> about before me</w:t>
      </w:r>
      <w:r w:rsidR="003D56BA">
        <w:rPr>
          <w:lang w:bidi="he-IL"/>
        </w:rPr>
        <w:t>”</w:t>
      </w:r>
      <w:r>
        <w:rPr>
          <w:lang w:bidi="he-IL"/>
        </w:rPr>
        <w:t xml:space="preserve"> implies </w:t>
      </w:r>
      <w:r w:rsidR="00401602" w:rsidRPr="00401602">
        <w:rPr>
          <w:lang w:bidi="he-IL"/>
        </w:rPr>
        <w:t>transparency.</w:t>
      </w:r>
      <w:r w:rsidR="00C035A6">
        <w:rPr>
          <w:rStyle w:val="FootnoteReference"/>
          <w:lang w:bidi="he-IL"/>
        </w:rPr>
        <w:footnoteReference w:id="330"/>
      </w:r>
      <w:r w:rsidR="00401602" w:rsidRPr="00401602">
        <w:rPr>
          <w:lang w:bidi="he-IL"/>
        </w:rPr>
        <w:t xml:space="preserve"> </w:t>
      </w:r>
      <w:r w:rsidR="00AD53C1">
        <w:rPr>
          <w:lang w:bidi="he-IL"/>
        </w:rPr>
        <w:t xml:space="preserve">It suggests </w:t>
      </w:r>
      <w:r w:rsidR="003D56BA">
        <w:rPr>
          <w:lang w:bidi="he-IL"/>
        </w:rPr>
        <w:t>“</w:t>
      </w:r>
      <w:r w:rsidR="00AD53C1">
        <w:rPr>
          <w:lang w:bidi="he-IL"/>
        </w:rPr>
        <w:t>live as if you were always in my presence. Who would not be ashamed to sin, even a little, in the presence of some great man, much less God?</w:t>
      </w:r>
      <w:r w:rsidR="003D56BA">
        <w:rPr>
          <w:lang w:bidi="he-IL"/>
        </w:rPr>
        <w:t>”</w:t>
      </w:r>
      <w:r w:rsidR="00AD53C1">
        <w:rPr>
          <w:rStyle w:val="FootnoteReference"/>
          <w:lang w:bidi="he-IL"/>
        </w:rPr>
        <w:footnoteReference w:id="331"/>
      </w:r>
      <w:r w:rsidR="00AD53C1">
        <w:rPr>
          <w:lang w:bidi="he-IL"/>
        </w:rPr>
        <w:t xml:space="preserve"> </w:t>
      </w:r>
      <w:r w:rsidR="007D34F0">
        <w:rPr>
          <w:lang w:bidi="he-IL"/>
        </w:rPr>
        <w:t>God’s expectations regarding</w:t>
      </w:r>
      <w:r w:rsidR="00E94956">
        <w:rPr>
          <w:lang w:bidi="he-IL"/>
        </w:rPr>
        <w:t xml:space="preserve"> Abraham’s walk</w:t>
      </w:r>
      <w:r w:rsidR="007D34F0">
        <w:rPr>
          <w:lang w:bidi="he-IL"/>
        </w:rPr>
        <w:t>ing about</w:t>
      </w:r>
      <w:r w:rsidR="00E94956">
        <w:rPr>
          <w:lang w:bidi="he-IL"/>
        </w:rPr>
        <w:t>, his living of</w:t>
      </w:r>
      <w:r w:rsidR="007D34F0">
        <w:rPr>
          <w:lang w:bidi="he-IL"/>
        </w:rPr>
        <w:t xml:space="preserve"> his life,</w:t>
      </w:r>
      <w:r w:rsidR="00D94648">
        <w:rPr>
          <w:lang w:bidi="he-IL"/>
        </w:rPr>
        <w:t xml:space="preserve"> are spelled out as involving a life of integrity; this term, too, applied descriptively to Noah (6:9), the only other occurrence in Genesis.</w:t>
      </w:r>
      <w:r w:rsidR="00C035A6">
        <w:rPr>
          <w:lang w:bidi="he-IL"/>
        </w:rPr>
        <w:t xml:space="preserve"> That’s what the walk needs to look like.</w:t>
      </w:r>
    </w:p>
    <w:p w14:paraId="2451E170" w14:textId="2DB5197A" w:rsidR="007D2CC1" w:rsidRDefault="00D94648" w:rsidP="007D2CC1">
      <w:pPr>
        <w:rPr>
          <w:lang w:bidi="he-IL"/>
        </w:rPr>
      </w:pPr>
      <w:r>
        <w:rPr>
          <w:lang w:bidi="he-IL"/>
        </w:rPr>
        <w:t xml:space="preserve">The promise which the prescription </w:t>
      </w:r>
      <w:r w:rsidR="007D34F0">
        <w:rPr>
          <w:lang w:bidi="he-IL"/>
        </w:rPr>
        <w:t>introduces</w:t>
      </w:r>
      <w:r w:rsidR="001B3D2E">
        <w:rPr>
          <w:lang w:bidi="he-IL"/>
        </w:rPr>
        <w:t xml:space="preserve"> (v. 2) is the establishing of a pact between the two parties</w:t>
      </w:r>
      <w:r w:rsidR="001D35A9">
        <w:rPr>
          <w:lang w:bidi="he-IL"/>
        </w:rPr>
        <w:t xml:space="preserve">, </w:t>
      </w:r>
      <w:r w:rsidR="003D56BA">
        <w:rPr>
          <w:lang w:bidi="he-IL"/>
        </w:rPr>
        <w:t>“</w:t>
      </w:r>
      <w:r w:rsidR="001D35A9">
        <w:rPr>
          <w:lang w:bidi="he-IL"/>
        </w:rPr>
        <w:t>a solemn, binding assurance which can correspond to an oath, and whose content can be the same as a promise.</w:t>
      </w:r>
      <w:r w:rsidR="003D56BA">
        <w:rPr>
          <w:lang w:bidi="he-IL"/>
        </w:rPr>
        <w:t>”</w:t>
      </w:r>
      <w:r w:rsidR="00C353BE">
        <w:rPr>
          <w:rStyle w:val="FootnoteReference"/>
          <w:lang w:bidi="he-IL"/>
        </w:rPr>
        <w:footnoteReference w:id="332"/>
      </w:r>
      <w:r w:rsidR="001B3D2E">
        <w:rPr>
          <w:lang w:bidi="he-IL"/>
        </w:rPr>
        <w:t xml:space="preserve"> God speaks neither of </w:t>
      </w:r>
      <w:r w:rsidR="002D6B99">
        <w:rPr>
          <w:lang w:bidi="he-IL"/>
        </w:rPr>
        <w:t>implement</w:t>
      </w:r>
      <w:r w:rsidR="001B3D2E">
        <w:rPr>
          <w:lang w:bidi="he-IL"/>
        </w:rPr>
        <w:t xml:space="preserve">ing </w:t>
      </w:r>
      <w:r w:rsidR="00445F39">
        <w:rPr>
          <w:lang w:bidi="he-IL"/>
        </w:rPr>
        <w:t>this pact (P’s usual expression</w:t>
      </w:r>
      <w:r w:rsidR="005025AC">
        <w:rPr>
          <w:lang w:bidi="he-IL"/>
        </w:rPr>
        <w:t>: see v. 7</w:t>
      </w:r>
      <w:r w:rsidR="00445F39">
        <w:rPr>
          <w:lang w:bidi="he-IL"/>
        </w:rPr>
        <w:t xml:space="preserve">) nor of cutting it (J’s expression in Gen 15) but of </w:t>
      </w:r>
      <w:r w:rsidR="0089187C">
        <w:rPr>
          <w:lang w:bidi="he-IL"/>
        </w:rPr>
        <w:t>mak</w:t>
      </w:r>
      <w:r w:rsidR="00B506D3">
        <w:rPr>
          <w:lang w:bidi="he-IL"/>
        </w:rPr>
        <w:t xml:space="preserve">ing </w:t>
      </w:r>
      <w:r w:rsidR="007D34F0">
        <w:rPr>
          <w:lang w:bidi="he-IL"/>
        </w:rPr>
        <w:t xml:space="preserve">it </w:t>
      </w:r>
      <w:r w:rsidR="0089187C">
        <w:rPr>
          <w:lang w:bidi="he-IL"/>
        </w:rPr>
        <w:t>or setting it</w:t>
      </w:r>
      <w:r w:rsidR="007D34F0">
        <w:rPr>
          <w:lang w:bidi="he-IL"/>
        </w:rPr>
        <w:t xml:space="preserve"> or putting it</w:t>
      </w:r>
      <w:r w:rsidR="0089187C">
        <w:rPr>
          <w:lang w:bidi="he-IL"/>
        </w:rPr>
        <w:t xml:space="preserve">, </w:t>
      </w:r>
      <w:r w:rsidR="00E434E3">
        <w:rPr>
          <w:lang w:bidi="he-IL"/>
        </w:rPr>
        <w:t xml:space="preserve">using the verb </w:t>
      </w:r>
      <w:r w:rsidR="00E434E3" w:rsidRPr="00E434E3">
        <w:rPr>
          <w:i/>
          <w:lang w:bidi="he-IL"/>
        </w:rPr>
        <w:t>nātan</w:t>
      </w:r>
      <w:r w:rsidR="00E434E3" w:rsidRPr="00E434E3">
        <w:rPr>
          <w:lang w:bidi="he-IL"/>
        </w:rPr>
        <w:t xml:space="preserve"> </w:t>
      </w:r>
      <w:r w:rsidR="00E434E3">
        <w:rPr>
          <w:lang w:bidi="he-IL"/>
        </w:rPr>
        <w:t>which would more commonly suggest</w:t>
      </w:r>
      <w:r w:rsidR="0032652B">
        <w:rPr>
          <w:lang w:bidi="he-IL"/>
        </w:rPr>
        <w:t xml:space="preserve"> </w:t>
      </w:r>
      <w:r w:rsidR="00B506D3">
        <w:rPr>
          <w:lang w:bidi="he-IL"/>
        </w:rPr>
        <w:t xml:space="preserve">giving </w:t>
      </w:r>
      <w:r w:rsidR="00E434E3">
        <w:rPr>
          <w:lang w:bidi="he-IL"/>
        </w:rPr>
        <w:t>it</w:t>
      </w:r>
      <w:r w:rsidR="00B506D3">
        <w:rPr>
          <w:lang w:bidi="he-IL"/>
        </w:rPr>
        <w:t xml:space="preserve">, as in 9:12 (the only other occurrences </w:t>
      </w:r>
      <w:r w:rsidR="00E434E3">
        <w:rPr>
          <w:lang w:bidi="he-IL"/>
        </w:rPr>
        <w:t xml:space="preserve">of the phrase </w:t>
      </w:r>
      <w:r w:rsidR="00B506D3">
        <w:rPr>
          <w:lang w:bidi="he-IL"/>
        </w:rPr>
        <w:t>are Num 25:12 and Sir 44:22</w:t>
      </w:r>
      <w:r w:rsidR="0032652B">
        <w:rPr>
          <w:lang w:bidi="he-IL"/>
        </w:rPr>
        <w:t>). The verb underlines further the generous and gracious nature of God’s action</w:t>
      </w:r>
      <w:r w:rsidR="0089187C">
        <w:rPr>
          <w:lang w:bidi="he-IL"/>
        </w:rPr>
        <w:t xml:space="preserve"> (cf. v</w:t>
      </w:r>
      <w:r w:rsidR="00C653C1">
        <w:rPr>
          <w:lang w:bidi="he-IL"/>
        </w:rPr>
        <w:t>v</w:t>
      </w:r>
      <w:r w:rsidR="0089187C">
        <w:rPr>
          <w:lang w:bidi="he-IL"/>
        </w:rPr>
        <w:t xml:space="preserve">. </w:t>
      </w:r>
      <w:r w:rsidR="00C653C1">
        <w:rPr>
          <w:lang w:bidi="he-IL"/>
        </w:rPr>
        <w:t xml:space="preserve">5, 6, </w:t>
      </w:r>
      <w:r w:rsidR="0089187C">
        <w:rPr>
          <w:lang w:bidi="he-IL"/>
        </w:rPr>
        <w:t>8</w:t>
      </w:r>
      <w:r w:rsidR="00C653C1">
        <w:rPr>
          <w:lang w:bidi="he-IL"/>
        </w:rPr>
        <w:t>, 16, 20</w:t>
      </w:r>
      <w:r w:rsidR="0089187C">
        <w:rPr>
          <w:lang w:bidi="he-IL"/>
        </w:rPr>
        <w:t xml:space="preserve"> for more </w:t>
      </w:r>
      <w:r w:rsidR="003D56BA">
        <w:rPr>
          <w:lang w:bidi="he-IL"/>
        </w:rPr>
        <w:t>“</w:t>
      </w:r>
      <w:r w:rsidR="0089187C">
        <w:rPr>
          <w:lang w:bidi="he-IL"/>
        </w:rPr>
        <w:t>giving</w:t>
      </w:r>
      <w:r w:rsidR="003D56BA">
        <w:rPr>
          <w:lang w:bidi="he-IL"/>
        </w:rPr>
        <w:t>”</w:t>
      </w:r>
      <w:r w:rsidR="0089187C">
        <w:rPr>
          <w:lang w:bidi="he-IL"/>
        </w:rPr>
        <w:t>)</w:t>
      </w:r>
      <w:r w:rsidR="00076512">
        <w:rPr>
          <w:lang w:bidi="he-IL"/>
        </w:rPr>
        <w:t xml:space="preserve">. </w:t>
      </w:r>
      <w:r w:rsidR="00E434E3">
        <w:rPr>
          <w:lang w:bidi="he-IL"/>
        </w:rPr>
        <w:t>The pact</w:t>
      </w:r>
      <w:r w:rsidR="00A63519">
        <w:rPr>
          <w:lang w:bidi="he-IL"/>
        </w:rPr>
        <w:t xml:space="preserve"> will be a </w:t>
      </w:r>
      <w:r w:rsidR="003D56BA">
        <w:rPr>
          <w:lang w:bidi="he-IL"/>
        </w:rPr>
        <w:t>“</w:t>
      </w:r>
      <w:r w:rsidR="00A63519">
        <w:rPr>
          <w:lang w:bidi="he-IL"/>
        </w:rPr>
        <w:t>covenant of love,</w:t>
      </w:r>
      <w:r w:rsidR="003D56BA">
        <w:rPr>
          <w:lang w:bidi="he-IL"/>
        </w:rPr>
        <w:t>”</w:t>
      </w:r>
      <w:r w:rsidR="00C823F3">
        <w:rPr>
          <w:rStyle w:val="FootnoteReference"/>
          <w:lang w:bidi="he-IL"/>
        </w:rPr>
        <w:footnoteReference w:id="333"/>
      </w:r>
      <w:r w:rsidR="00A63519">
        <w:rPr>
          <w:lang w:bidi="he-IL"/>
        </w:rPr>
        <w:t xml:space="preserve"> a </w:t>
      </w:r>
      <w:r w:rsidR="003D56BA">
        <w:rPr>
          <w:lang w:bidi="he-IL"/>
        </w:rPr>
        <w:t>“</w:t>
      </w:r>
      <w:r w:rsidR="00A63519">
        <w:rPr>
          <w:lang w:bidi="he-IL"/>
        </w:rPr>
        <w:t>covenant of grace abounding.</w:t>
      </w:r>
      <w:r w:rsidR="003D56BA">
        <w:rPr>
          <w:lang w:bidi="he-IL"/>
        </w:rPr>
        <w:t>”</w:t>
      </w:r>
      <w:r w:rsidR="00A63519">
        <w:rPr>
          <w:rStyle w:val="FootnoteReference"/>
          <w:lang w:bidi="he-IL"/>
        </w:rPr>
        <w:footnoteReference w:id="334"/>
      </w:r>
      <w:r w:rsidR="00C823F3">
        <w:rPr>
          <w:lang w:bidi="he-IL"/>
        </w:rPr>
        <w:t xml:space="preserve"> </w:t>
      </w:r>
      <w:r w:rsidR="00E434E3">
        <w:rPr>
          <w:lang w:bidi="he-IL"/>
        </w:rPr>
        <w:t xml:space="preserve">While it is a pact </w:t>
      </w:r>
      <w:r w:rsidR="003D56BA">
        <w:rPr>
          <w:lang w:bidi="he-IL"/>
        </w:rPr>
        <w:t>“</w:t>
      </w:r>
      <w:r w:rsidR="00E434E3">
        <w:rPr>
          <w:lang w:bidi="he-IL"/>
        </w:rPr>
        <w:t>with you,</w:t>
      </w:r>
      <w:r w:rsidR="003D56BA">
        <w:rPr>
          <w:lang w:bidi="he-IL"/>
        </w:rPr>
        <w:t>”</w:t>
      </w:r>
      <w:r w:rsidR="00E434E3">
        <w:rPr>
          <w:lang w:bidi="he-IL"/>
        </w:rPr>
        <w:t xml:space="preserve"> later </w:t>
      </w:r>
      <w:r w:rsidR="003D56BA">
        <w:rPr>
          <w:lang w:bidi="he-IL"/>
        </w:rPr>
        <w:t>“</w:t>
      </w:r>
      <w:r w:rsidR="00C353BE">
        <w:rPr>
          <w:lang w:bidi="he-IL"/>
        </w:rPr>
        <w:t>betwee</w:t>
      </w:r>
      <w:r w:rsidR="00E434E3">
        <w:rPr>
          <w:lang w:bidi="he-IL"/>
        </w:rPr>
        <w:t>n me and between you</w:t>
      </w:r>
      <w:r w:rsidR="003D56BA">
        <w:rPr>
          <w:lang w:bidi="he-IL"/>
        </w:rPr>
        <w:t>”</w:t>
      </w:r>
      <w:r w:rsidR="00E434E3">
        <w:rPr>
          <w:lang w:bidi="he-IL"/>
        </w:rPr>
        <w:t xml:space="preserve"> (cf. 9:12), </w:t>
      </w:r>
      <w:r w:rsidR="00C353BE">
        <w:rPr>
          <w:lang w:bidi="he-IL"/>
        </w:rPr>
        <w:t>it’s really</w:t>
      </w:r>
      <w:r w:rsidR="00C353BE" w:rsidRPr="00C353BE">
        <w:rPr>
          <w:lang w:bidi="he-IL"/>
        </w:rPr>
        <w:t xml:space="preserve"> </w:t>
      </w:r>
      <w:r w:rsidR="003D56BA">
        <w:rPr>
          <w:lang w:bidi="he-IL"/>
        </w:rPr>
        <w:t>“</w:t>
      </w:r>
      <w:r w:rsidR="00C353BE" w:rsidRPr="00C353BE">
        <w:rPr>
          <w:lang w:bidi="he-IL"/>
        </w:rPr>
        <w:t>my pact.</w:t>
      </w:r>
      <w:r w:rsidR="003D56BA">
        <w:rPr>
          <w:lang w:bidi="he-IL"/>
        </w:rPr>
        <w:t>”</w:t>
      </w:r>
      <w:r w:rsidR="00C353BE" w:rsidRPr="00C353BE">
        <w:rPr>
          <w:vertAlign w:val="superscript"/>
          <w:lang w:bidi="he-IL"/>
        </w:rPr>
        <w:footnoteReference w:id="335"/>
      </w:r>
      <w:r w:rsidR="00C353BE" w:rsidRPr="00C353BE">
        <w:rPr>
          <w:lang w:bidi="he-IL"/>
        </w:rPr>
        <w:t xml:space="preserve"> </w:t>
      </w:r>
      <w:r w:rsidR="00286102">
        <w:rPr>
          <w:lang w:bidi="he-IL"/>
        </w:rPr>
        <w:t>Yahweh</w:t>
      </w:r>
      <w:r w:rsidR="00B10057">
        <w:rPr>
          <w:lang w:bidi="he-IL"/>
        </w:rPr>
        <w:t xml:space="preserve"> is </w:t>
      </w:r>
      <w:r w:rsidR="0088032B">
        <w:rPr>
          <w:lang w:bidi="he-IL"/>
        </w:rPr>
        <w:t>giving notice that this</w:t>
      </w:r>
      <w:r w:rsidR="00286102">
        <w:rPr>
          <w:lang w:bidi="he-IL"/>
        </w:rPr>
        <w:t xml:space="preserve"> moment is an occasion when he is</w:t>
      </w:r>
      <w:r w:rsidR="00E434E3">
        <w:rPr>
          <w:lang w:bidi="he-IL"/>
        </w:rPr>
        <w:t xml:space="preserve"> </w:t>
      </w:r>
      <w:r w:rsidR="00286102">
        <w:rPr>
          <w:lang w:bidi="he-IL"/>
        </w:rPr>
        <w:t>revisi</w:t>
      </w:r>
      <w:r w:rsidR="00E434E3">
        <w:rPr>
          <w:lang w:bidi="he-IL"/>
        </w:rPr>
        <w:t>n</w:t>
      </w:r>
      <w:r w:rsidR="00286102">
        <w:rPr>
          <w:lang w:bidi="he-IL"/>
        </w:rPr>
        <w:t>g the terms of the pact between him and Abraham—in Abraham’s favor</w:t>
      </w:r>
      <w:r w:rsidR="0088032B">
        <w:rPr>
          <w:lang w:bidi="he-IL"/>
        </w:rPr>
        <w:t>.</w:t>
      </w:r>
      <w:r w:rsidR="00286102">
        <w:rPr>
          <w:lang w:bidi="he-IL"/>
        </w:rPr>
        <w:t xml:space="preserve"> </w:t>
      </w:r>
      <w:r w:rsidR="007D2CC1">
        <w:rPr>
          <w:lang w:bidi="he-IL"/>
        </w:rPr>
        <w:t>God thus assumes the freedom from time to time to rework the terms of his pact with his people, like any great king. Sinai will be the great example. In a sense there is one pact between God and his people through the Scriptures,</w:t>
      </w:r>
      <w:r w:rsidR="007D2CC1" w:rsidRPr="00F526BC">
        <w:rPr>
          <w:vertAlign w:val="superscript"/>
          <w:lang w:bidi="he-IL"/>
        </w:rPr>
        <w:footnoteReference w:id="336"/>
      </w:r>
      <w:r w:rsidR="00727890">
        <w:rPr>
          <w:lang w:bidi="he-IL"/>
        </w:rPr>
        <w:t xml:space="preserve"> </w:t>
      </w:r>
      <w:r w:rsidR="007D2CC1">
        <w:rPr>
          <w:lang w:bidi="he-IL"/>
        </w:rPr>
        <w:t>but in another sense there are many. Each time he revises the terms of the pact, God gives his people the chance to reaffirm their commitment to it—or better, he requires them to reaffirm their commitment to it. How does God’s expectation that his people should walk with integrity before him relate to his promises? The pact is being made now, when there is hardly time for the fulfillment of that requirement. In this sense the requirement of walking in integrity is not a condition of the making of the pact. Yet one should not be too rationalistic in asking such questions. The implication for the listeners is that there is always a link between the way we walk and the way God fulfills his promises. The promises demand that we walk right, even when the promises come first.</w:t>
      </w:r>
    </w:p>
    <w:p w14:paraId="744258C8" w14:textId="77777777" w:rsidR="006C1AD3" w:rsidRDefault="0088032B" w:rsidP="001437B5">
      <w:pPr>
        <w:rPr>
          <w:lang w:bidi="he-IL"/>
        </w:rPr>
      </w:pPr>
      <w:r>
        <w:rPr>
          <w:lang w:bidi="he-IL"/>
        </w:rPr>
        <w:t>Abraham’s reaction (v. 3</w:t>
      </w:r>
      <w:r w:rsidR="00A94205">
        <w:rPr>
          <w:lang w:bidi="he-IL"/>
        </w:rPr>
        <w:t>a</w:t>
      </w:r>
      <w:r>
        <w:rPr>
          <w:lang w:bidi="he-IL"/>
        </w:rPr>
        <w:t>) matches the fac</w:t>
      </w:r>
      <w:r w:rsidR="00286102">
        <w:rPr>
          <w:lang w:bidi="he-IL"/>
        </w:rPr>
        <w:t xml:space="preserve">t that </w:t>
      </w:r>
      <w:r>
        <w:rPr>
          <w:lang w:bidi="he-IL"/>
        </w:rPr>
        <w:t xml:space="preserve">God has </w:t>
      </w:r>
      <w:r w:rsidR="003D56BA">
        <w:rPr>
          <w:lang w:bidi="he-IL"/>
        </w:rPr>
        <w:t>“</w:t>
      </w:r>
      <w:r>
        <w:rPr>
          <w:lang w:bidi="he-IL"/>
        </w:rPr>
        <w:t>appeared,</w:t>
      </w:r>
      <w:r w:rsidR="003D56BA">
        <w:rPr>
          <w:lang w:bidi="he-IL"/>
        </w:rPr>
        <w:t>”</w:t>
      </w:r>
      <w:r>
        <w:rPr>
          <w:lang w:bidi="he-IL"/>
        </w:rPr>
        <w:t xml:space="preserve"> but it is a</w:t>
      </w:r>
      <w:r w:rsidR="00286102">
        <w:rPr>
          <w:lang w:bidi="he-IL"/>
        </w:rPr>
        <w:t>n extreme such reaction. H</w:t>
      </w:r>
      <w:r>
        <w:rPr>
          <w:lang w:bidi="he-IL"/>
        </w:rPr>
        <w:t>e will fall on his face again in v. 17 but the phrase</w:t>
      </w:r>
      <w:r w:rsidR="006C1AD3">
        <w:rPr>
          <w:lang w:bidi="he-IL"/>
        </w:rPr>
        <w:t xml:space="preserve"> will not </w:t>
      </w:r>
      <w:r w:rsidR="00286102">
        <w:rPr>
          <w:lang w:bidi="he-IL"/>
        </w:rPr>
        <w:t xml:space="preserve">then </w:t>
      </w:r>
      <w:r w:rsidR="006C1AD3">
        <w:rPr>
          <w:lang w:bidi="he-IL"/>
        </w:rPr>
        <w:t xml:space="preserve">recur until Lev 9:24. </w:t>
      </w:r>
    </w:p>
    <w:p w14:paraId="3054DB5B" w14:textId="7FB3D5B3" w:rsidR="0089187C" w:rsidRDefault="00A94205" w:rsidP="001437B5">
      <w:pPr>
        <w:rPr>
          <w:lang w:bidi="he-IL"/>
        </w:rPr>
      </w:pPr>
      <w:r>
        <w:rPr>
          <w:b/>
          <w:lang w:bidi="he-IL"/>
        </w:rPr>
        <w:t xml:space="preserve">17:3b-8. </w:t>
      </w:r>
      <w:r>
        <w:rPr>
          <w:lang w:bidi="he-IL"/>
        </w:rPr>
        <w:t xml:space="preserve">God’s words </w:t>
      </w:r>
      <w:r w:rsidR="00E00536">
        <w:rPr>
          <w:lang w:bidi="he-IL"/>
        </w:rPr>
        <w:t>rework his</w:t>
      </w:r>
      <w:r w:rsidR="0088032B">
        <w:rPr>
          <w:lang w:bidi="he-IL"/>
        </w:rPr>
        <w:t xml:space="preserve"> </w:t>
      </w:r>
      <w:r w:rsidR="00E00536">
        <w:rPr>
          <w:lang w:bidi="he-IL"/>
        </w:rPr>
        <w:t xml:space="preserve">earlier </w:t>
      </w:r>
      <w:r w:rsidR="0088032B">
        <w:rPr>
          <w:lang w:bidi="he-IL"/>
        </w:rPr>
        <w:t>promise</w:t>
      </w:r>
      <w:r w:rsidR="00E00536">
        <w:rPr>
          <w:lang w:bidi="he-IL"/>
        </w:rPr>
        <w:t>s. Abraham</w:t>
      </w:r>
      <w:r w:rsidR="00E07CEF">
        <w:rPr>
          <w:lang w:bidi="he-IL"/>
        </w:rPr>
        <w:t xml:space="preserve"> will become not merely a big </w:t>
      </w:r>
      <w:r w:rsidR="00E00536">
        <w:rPr>
          <w:lang w:bidi="he-IL"/>
        </w:rPr>
        <w:t>nation (</w:t>
      </w:r>
      <w:r w:rsidR="0088032B">
        <w:rPr>
          <w:lang w:bidi="he-IL"/>
        </w:rPr>
        <w:t>12:</w:t>
      </w:r>
      <w:r w:rsidR="00B10057">
        <w:rPr>
          <w:lang w:bidi="he-IL"/>
        </w:rPr>
        <w:t xml:space="preserve">2; cf. also </w:t>
      </w:r>
      <w:r w:rsidR="00E00536">
        <w:rPr>
          <w:lang w:bidi="he-IL"/>
        </w:rPr>
        <w:t xml:space="preserve">13:16; 15:5; 16:10) </w:t>
      </w:r>
      <w:r w:rsidR="00E00536" w:rsidRPr="00E00536">
        <w:rPr>
          <w:lang w:bidi="he-IL"/>
        </w:rPr>
        <w:t>but the ancestor of a horde of nations</w:t>
      </w:r>
      <w:r w:rsidR="00E00536">
        <w:rPr>
          <w:lang w:bidi="he-IL"/>
        </w:rPr>
        <w:t>.</w:t>
      </w:r>
      <w:r w:rsidR="00297091">
        <w:rPr>
          <w:lang w:bidi="he-IL"/>
        </w:rPr>
        <w:t xml:space="preserve"> </w:t>
      </w:r>
      <w:r w:rsidR="00286102">
        <w:rPr>
          <w:lang w:bidi="he-IL"/>
        </w:rPr>
        <w:t xml:space="preserve">While Genesis may </w:t>
      </w:r>
      <w:r w:rsidR="00CE4D51">
        <w:rPr>
          <w:lang w:bidi="he-IL"/>
        </w:rPr>
        <w:t xml:space="preserve">go on to imply fulfillment </w:t>
      </w:r>
      <w:r w:rsidR="00286102">
        <w:rPr>
          <w:lang w:bidi="he-IL"/>
        </w:rPr>
        <w:t xml:space="preserve">of this promise </w:t>
      </w:r>
      <w:r w:rsidR="00592DAC">
        <w:rPr>
          <w:lang w:bidi="he-IL"/>
        </w:rPr>
        <w:t>in the existence of peoples such as the</w:t>
      </w:r>
      <w:r w:rsidR="00CE4D51">
        <w:rPr>
          <w:lang w:bidi="he-IL"/>
        </w:rPr>
        <w:t xml:space="preserve"> Ishmaelites, Edomites, Midianites, </w:t>
      </w:r>
      <w:r w:rsidR="00592DAC">
        <w:rPr>
          <w:lang w:bidi="he-IL"/>
        </w:rPr>
        <w:t xml:space="preserve">and Amalekites, </w:t>
      </w:r>
      <w:r w:rsidR="00CE4D51">
        <w:rPr>
          <w:lang w:bidi="he-IL"/>
        </w:rPr>
        <w:t>who will fe</w:t>
      </w:r>
      <w:r w:rsidR="00A87EF7">
        <w:rPr>
          <w:lang w:bidi="he-IL"/>
        </w:rPr>
        <w:t>a</w:t>
      </w:r>
      <w:r w:rsidR="00CE4D51">
        <w:rPr>
          <w:lang w:bidi="he-IL"/>
        </w:rPr>
        <w:t>ture in Gen</w:t>
      </w:r>
      <w:r w:rsidR="009D7E92">
        <w:rPr>
          <w:lang w:bidi="he-IL"/>
        </w:rPr>
        <w:t>esis,</w:t>
      </w:r>
      <w:r w:rsidR="00A87EF7">
        <w:rPr>
          <w:rStyle w:val="FootnoteReference"/>
          <w:lang w:bidi="he-IL"/>
        </w:rPr>
        <w:footnoteReference w:id="337"/>
      </w:r>
      <w:r w:rsidR="00CE4D51">
        <w:rPr>
          <w:lang w:bidi="he-IL"/>
        </w:rPr>
        <w:t xml:space="preserve"> </w:t>
      </w:r>
      <w:r w:rsidR="003D56BA">
        <w:rPr>
          <w:lang w:bidi="he-IL"/>
        </w:rPr>
        <w:t>“</w:t>
      </w:r>
      <w:r w:rsidR="009D7E92">
        <w:rPr>
          <w:lang w:bidi="he-IL"/>
        </w:rPr>
        <w:t>nations</w:t>
      </w:r>
      <w:r w:rsidR="003D56BA">
        <w:rPr>
          <w:lang w:bidi="he-IL"/>
        </w:rPr>
        <w:t>”</w:t>
      </w:r>
      <w:r w:rsidR="00F53520">
        <w:rPr>
          <w:lang w:bidi="he-IL"/>
        </w:rPr>
        <w:t xml:space="preserve"> in Gen 10 meant</w:t>
      </w:r>
      <w:r w:rsidR="009D7E92">
        <w:rPr>
          <w:lang w:bidi="he-IL"/>
        </w:rPr>
        <w:t xml:space="preserve"> much more, and so may </w:t>
      </w:r>
      <w:r w:rsidR="003D56BA">
        <w:rPr>
          <w:lang w:bidi="he-IL"/>
        </w:rPr>
        <w:t>“</w:t>
      </w:r>
      <w:r w:rsidR="009D7E92">
        <w:rPr>
          <w:lang w:bidi="he-IL"/>
        </w:rPr>
        <w:t>nations</w:t>
      </w:r>
      <w:r w:rsidR="003D56BA">
        <w:rPr>
          <w:lang w:bidi="he-IL"/>
        </w:rPr>
        <w:t>”</w:t>
      </w:r>
      <w:r w:rsidR="009D7E92">
        <w:rPr>
          <w:lang w:bidi="he-IL"/>
        </w:rPr>
        <w:t xml:space="preserve"> here.</w:t>
      </w:r>
      <w:r w:rsidR="009D7E92">
        <w:rPr>
          <w:rStyle w:val="FootnoteReference"/>
          <w:lang w:bidi="he-IL"/>
        </w:rPr>
        <w:footnoteReference w:id="338"/>
      </w:r>
      <w:r w:rsidR="009D7E92">
        <w:rPr>
          <w:lang w:bidi="he-IL"/>
        </w:rPr>
        <w:t xml:space="preserve"> </w:t>
      </w:r>
      <w:r w:rsidR="00592DAC">
        <w:rPr>
          <w:lang w:bidi="he-IL"/>
        </w:rPr>
        <w:t>The promise about nations never recurs in the</w:t>
      </w:r>
      <w:r w:rsidR="00297091">
        <w:rPr>
          <w:lang w:bidi="he-IL"/>
        </w:rPr>
        <w:t xml:space="preserve"> form</w:t>
      </w:r>
      <w:r w:rsidR="00592DAC">
        <w:rPr>
          <w:lang w:bidi="he-IL"/>
        </w:rPr>
        <w:t xml:space="preserve"> of a reference t</w:t>
      </w:r>
      <w:r w:rsidR="00B10057">
        <w:rPr>
          <w:lang w:bidi="he-IL"/>
        </w:rPr>
        <w:t>o a “horde”</w:t>
      </w:r>
      <w:r w:rsidR="00297091">
        <w:rPr>
          <w:lang w:bidi="he-IL"/>
        </w:rPr>
        <w:t>;</w:t>
      </w:r>
      <w:r w:rsidR="00F53520">
        <w:rPr>
          <w:lang w:bidi="he-IL"/>
        </w:rPr>
        <w:t xml:space="preserve"> putting it that way leads into</w:t>
      </w:r>
      <w:r w:rsidR="00297091">
        <w:rPr>
          <w:lang w:bidi="he-IL"/>
        </w:rPr>
        <w:t xml:space="preserve"> the chang</w:t>
      </w:r>
      <w:r w:rsidR="00B10057">
        <w:rPr>
          <w:lang w:bidi="he-IL"/>
        </w:rPr>
        <w:t>e of name which follows. A</w:t>
      </w:r>
      <w:r w:rsidR="00297091">
        <w:rPr>
          <w:lang w:bidi="he-IL"/>
        </w:rPr>
        <w:t xml:space="preserve"> horde is </w:t>
      </w:r>
      <w:proofErr w:type="gramStart"/>
      <w:r w:rsidR="00297091">
        <w:rPr>
          <w:lang w:bidi="he-IL"/>
        </w:rPr>
        <w:t>a</w:t>
      </w:r>
      <w:proofErr w:type="gramEnd"/>
      <w:r w:rsidR="00297091">
        <w:rPr>
          <w:lang w:bidi="he-IL"/>
        </w:rPr>
        <w:t xml:space="preserve"> </w:t>
      </w:r>
      <w:r w:rsidR="00297091">
        <w:rPr>
          <w:i/>
          <w:lang w:bidi="he-IL"/>
        </w:rPr>
        <w:t>hāmôn</w:t>
      </w:r>
      <w:r w:rsidR="00297091">
        <w:rPr>
          <w:lang w:bidi="he-IL"/>
        </w:rPr>
        <w:t xml:space="preserve">, and </w:t>
      </w:r>
      <w:r w:rsidR="00297091">
        <w:rPr>
          <w:i/>
          <w:lang w:bidi="he-IL"/>
        </w:rPr>
        <w:t>’abrām</w:t>
      </w:r>
      <w:r w:rsidR="00297091">
        <w:rPr>
          <w:lang w:bidi="he-IL"/>
        </w:rPr>
        <w:t xml:space="preserve"> is now to become </w:t>
      </w:r>
      <w:r w:rsidR="00297091">
        <w:rPr>
          <w:i/>
          <w:lang w:bidi="he-IL"/>
        </w:rPr>
        <w:t>’abrāhām</w:t>
      </w:r>
      <w:r w:rsidR="006C1AD3">
        <w:rPr>
          <w:i/>
          <w:lang w:bidi="he-IL"/>
        </w:rPr>
        <w:t xml:space="preserve"> </w:t>
      </w:r>
      <w:r w:rsidR="006C1AD3">
        <w:rPr>
          <w:lang w:bidi="he-IL"/>
        </w:rPr>
        <w:t>(v. 5)</w:t>
      </w:r>
      <w:r w:rsidR="00297091">
        <w:rPr>
          <w:lang w:bidi="he-IL"/>
        </w:rPr>
        <w:t xml:space="preserve">. </w:t>
      </w:r>
      <w:r w:rsidR="009B2AC4">
        <w:rPr>
          <w:lang w:bidi="he-IL"/>
        </w:rPr>
        <w:t>Names are often important in the Scriptures as they are in Western culture</w:t>
      </w:r>
      <w:r w:rsidR="00592DAC">
        <w:rPr>
          <w:lang w:bidi="he-IL"/>
        </w:rPr>
        <w:t>,</w:t>
      </w:r>
      <w:r w:rsidR="009B2AC4">
        <w:rPr>
          <w:lang w:bidi="he-IL"/>
        </w:rPr>
        <w:t xml:space="preserve"> where a change of name (e.g., on marriage) is often significant. Names are not just labels. </w:t>
      </w:r>
      <w:r w:rsidR="006C1AD3">
        <w:rPr>
          <w:lang w:bidi="he-IL"/>
        </w:rPr>
        <w:t>Etymologically, we are n</w:t>
      </w:r>
      <w:r w:rsidR="00592DAC">
        <w:rPr>
          <w:lang w:bidi="he-IL"/>
        </w:rPr>
        <w:t xml:space="preserve">ot sure of the origin of the </w:t>
      </w:r>
      <w:r w:rsidR="006C1AD3">
        <w:rPr>
          <w:lang w:bidi="he-IL"/>
        </w:rPr>
        <w:t>name</w:t>
      </w:r>
      <w:r w:rsidR="00592DAC">
        <w:rPr>
          <w:lang w:bidi="he-IL"/>
        </w:rPr>
        <w:t>s</w:t>
      </w:r>
      <w:r w:rsidR="00592DAC" w:rsidRPr="00592DAC">
        <w:rPr>
          <w:lang w:bidi="he-IL"/>
        </w:rPr>
        <w:t xml:space="preserve"> </w:t>
      </w:r>
      <w:r w:rsidR="00592DAC" w:rsidRPr="00592DAC">
        <w:rPr>
          <w:i/>
          <w:lang w:bidi="he-IL"/>
        </w:rPr>
        <w:t>’abrām</w:t>
      </w:r>
      <w:r w:rsidR="00592DAC">
        <w:rPr>
          <w:lang w:bidi="he-IL"/>
        </w:rPr>
        <w:t xml:space="preserve"> or</w:t>
      </w:r>
      <w:r w:rsidR="00592DAC" w:rsidRPr="00592DAC">
        <w:rPr>
          <w:lang w:bidi="he-IL"/>
        </w:rPr>
        <w:t xml:space="preserve"> </w:t>
      </w:r>
      <w:r w:rsidR="00592DAC" w:rsidRPr="00592DAC">
        <w:rPr>
          <w:i/>
          <w:lang w:bidi="he-IL"/>
        </w:rPr>
        <w:t>’</w:t>
      </w:r>
      <w:proofErr w:type="gramStart"/>
      <w:r w:rsidR="00592DAC" w:rsidRPr="00592DAC">
        <w:rPr>
          <w:i/>
          <w:lang w:bidi="he-IL"/>
        </w:rPr>
        <w:t>abrāhām</w:t>
      </w:r>
      <w:proofErr w:type="gramEnd"/>
      <w:r w:rsidR="006C1AD3">
        <w:rPr>
          <w:lang w:bidi="he-IL"/>
        </w:rPr>
        <w:t>,</w:t>
      </w:r>
      <w:r w:rsidR="006C1AD3">
        <w:rPr>
          <w:rStyle w:val="FootnoteReference"/>
          <w:lang w:bidi="he-IL"/>
        </w:rPr>
        <w:footnoteReference w:id="339"/>
      </w:r>
      <w:r w:rsidR="00B10057">
        <w:rPr>
          <w:lang w:bidi="he-IL"/>
        </w:rPr>
        <w:t xml:space="preserve"> and</w:t>
      </w:r>
      <w:r w:rsidR="006C1AD3">
        <w:rPr>
          <w:lang w:bidi="he-IL"/>
        </w:rPr>
        <w:t xml:space="preserve"> </w:t>
      </w:r>
      <w:r w:rsidR="00B10057">
        <w:rPr>
          <w:lang w:bidi="he-IL"/>
        </w:rPr>
        <w:t xml:space="preserve">part of </w:t>
      </w:r>
      <w:r w:rsidR="006C1AD3">
        <w:rPr>
          <w:lang w:bidi="he-IL"/>
        </w:rPr>
        <w:t xml:space="preserve">the </w:t>
      </w:r>
      <w:r w:rsidR="006C1AD3">
        <w:rPr>
          <w:lang w:bidi="he-IL"/>
        </w:rPr>
        <w:lastRenderedPageBreak/>
        <w:t>point</w:t>
      </w:r>
      <w:r w:rsidR="00B10057">
        <w:rPr>
          <w:lang w:bidi="he-IL"/>
        </w:rPr>
        <w:t xml:space="preserve"> lies in the change itself. Naming</w:t>
      </w:r>
      <w:r w:rsidR="006C1AD3">
        <w:rPr>
          <w:lang w:bidi="he-IL"/>
        </w:rPr>
        <w:t xml:space="preserve"> </w:t>
      </w:r>
      <w:r w:rsidR="00B10057">
        <w:rPr>
          <w:lang w:bidi="he-IL"/>
        </w:rPr>
        <w:t>gives</w:t>
      </w:r>
      <w:r w:rsidR="00DF2DC1">
        <w:rPr>
          <w:lang w:bidi="he-IL"/>
        </w:rPr>
        <w:t xml:space="preserve"> expres</w:t>
      </w:r>
      <w:r w:rsidR="00592DAC">
        <w:rPr>
          <w:lang w:bidi="he-IL"/>
        </w:rPr>
        <w:t>sion to the fact that God</w:t>
      </w:r>
      <w:r w:rsidR="00DF2DC1">
        <w:rPr>
          <w:lang w:bidi="he-IL"/>
        </w:rPr>
        <w:t xml:space="preserve"> is</w:t>
      </w:r>
      <w:r w:rsidR="00592DAC">
        <w:rPr>
          <w:lang w:bidi="he-IL"/>
        </w:rPr>
        <w:t xml:space="preserve"> lord over Abraham</w:t>
      </w:r>
      <w:r w:rsidR="00DF2DC1">
        <w:rPr>
          <w:rStyle w:val="FootnoteReference"/>
          <w:lang w:bidi="he-IL"/>
        </w:rPr>
        <w:footnoteReference w:id="340"/>
      </w:r>
      <w:r w:rsidR="00DF2DC1">
        <w:rPr>
          <w:lang w:bidi="he-IL"/>
        </w:rPr>
        <w:t xml:space="preserve"> </w:t>
      </w:r>
      <w:r w:rsidR="00592DAC">
        <w:rPr>
          <w:lang w:bidi="he-IL"/>
        </w:rPr>
        <w:t>(cf. the name changes in 2 Kings 23:34; 24:17, which have no significance beyond an assertion of</w:t>
      </w:r>
      <w:r w:rsidR="00B10057">
        <w:rPr>
          <w:lang w:bidi="he-IL"/>
        </w:rPr>
        <w:t xml:space="preserve"> imperial sovereignty). This naming</w:t>
      </w:r>
      <w:r w:rsidR="00806097">
        <w:rPr>
          <w:lang w:bidi="he-IL"/>
        </w:rPr>
        <w:t xml:space="preserve"> </w:t>
      </w:r>
      <w:r w:rsidR="00B10057">
        <w:rPr>
          <w:lang w:bidi="he-IL"/>
        </w:rPr>
        <w:t>does also suggest God’</w:t>
      </w:r>
      <w:r w:rsidR="00E64244">
        <w:rPr>
          <w:lang w:bidi="he-IL"/>
        </w:rPr>
        <w:t>s</w:t>
      </w:r>
      <w:r w:rsidR="006C1AD3">
        <w:rPr>
          <w:lang w:bidi="he-IL"/>
        </w:rPr>
        <w:t xml:space="preserve"> doing something new for Abraham, </w:t>
      </w:r>
      <w:r w:rsidR="00806097">
        <w:rPr>
          <w:lang w:bidi="he-IL"/>
        </w:rPr>
        <w:t>an act of new creation.</w:t>
      </w:r>
      <w:r w:rsidR="00AC7606">
        <w:rPr>
          <w:rStyle w:val="FootnoteReference"/>
          <w:lang w:bidi="he-IL"/>
        </w:rPr>
        <w:footnoteReference w:id="341"/>
      </w:r>
      <w:r w:rsidR="00806097">
        <w:rPr>
          <w:lang w:bidi="he-IL"/>
        </w:rPr>
        <w:t>And it gives new expression to his promise and intention, through the</w:t>
      </w:r>
      <w:r w:rsidR="006C1AD3">
        <w:rPr>
          <w:lang w:bidi="he-IL"/>
        </w:rPr>
        <w:t xml:space="preserve"> paronom</w:t>
      </w:r>
      <w:r w:rsidR="00806097">
        <w:rPr>
          <w:lang w:bidi="he-IL"/>
        </w:rPr>
        <w:t>asia with the word for a horde;</w:t>
      </w:r>
      <w:r w:rsidR="00CB6156">
        <w:rPr>
          <w:lang w:bidi="he-IL"/>
        </w:rPr>
        <w:t xml:space="preserve"> </w:t>
      </w:r>
      <w:r w:rsidR="003D56BA">
        <w:rPr>
          <w:lang w:bidi="he-IL"/>
        </w:rPr>
        <w:t>“</w:t>
      </w:r>
      <w:r w:rsidR="00CB6156">
        <w:rPr>
          <w:lang w:bidi="he-IL"/>
        </w:rPr>
        <w:t>the name focuses not on his personal relationship with God but on his relationship to the nations. The name looks outward.</w:t>
      </w:r>
      <w:r w:rsidR="003D56BA">
        <w:rPr>
          <w:lang w:bidi="he-IL"/>
        </w:rPr>
        <w:t>”</w:t>
      </w:r>
      <w:r w:rsidR="00CB6156" w:rsidRPr="00CB6156">
        <w:rPr>
          <w:vertAlign w:val="superscript"/>
          <w:lang w:bidi="he-IL"/>
        </w:rPr>
        <w:footnoteReference w:id="342"/>
      </w:r>
    </w:p>
    <w:p w14:paraId="426FFEB6" w14:textId="10AD3756" w:rsidR="00AC2E60" w:rsidRDefault="00B10057" w:rsidP="001437B5">
      <w:pPr>
        <w:rPr>
          <w:lang w:bidi="he-IL"/>
        </w:rPr>
      </w:pPr>
      <w:r>
        <w:rPr>
          <w:lang w:bidi="he-IL"/>
        </w:rPr>
        <w:t xml:space="preserve">God’s </w:t>
      </w:r>
      <w:r w:rsidR="006C1AD3">
        <w:rPr>
          <w:lang w:bidi="he-IL"/>
        </w:rPr>
        <w:t>promise of extraordinary fruitfulness (v. 6) draw</w:t>
      </w:r>
      <w:r w:rsidR="00AC2E60">
        <w:rPr>
          <w:lang w:bidi="he-IL"/>
        </w:rPr>
        <w:t>s</w:t>
      </w:r>
      <w:r w:rsidR="006C1AD3">
        <w:rPr>
          <w:lang w:bidi="he-IL"/>
        </w:rPr>
        <w:t xml:space="preserve"> attention to further imp</w:t>
      </w:r>
      <w:r>
        <w:rPr>
          <w:lang w:bidi="he-IL"/>
        </w:rPr>
        <w:t>lications of G</w:t>
      </w:r>
      <w:r w:rsidR="00F53520">
        <w:rPr>
          <w:lang w:bidi="he-IL"/>
        </w:rPr>
        <w:t>od’s undertaking</w:t>
      </w:r>
      <w:r>
        <w:rPr>
          <w:lang w:bidi="he-IL"/>
        </w:rPr>
        <w:t>s in this chapter</w:t>
      </w:r>
      <w:r w:rsidR="006C1AD3">
        <w:rPr>
          <w:lang w:bidi="he-IL"/>
        </w:rPr>
        <w:t>. Making numerous and fruitful were motifs in Gen 1 and ag</w:t>
      </w:r>
      <w:r w:rsidR="00AC2E60">
        <w:rPr>
          <w:lang w:bidi="he-IL"/>
        </w:rPr>
        <w:t>a</w:t>
      </w:r>
      <w:r w:rsidR="006C1AD3">
        <w:rPr>
          <w:lang w:bidi="he-IL"/>
        </w:rPr>
        <w:t xml:space="preserve">in in Gen </w:t>
      </w:r>
      <w:r w:rsidR="00AC2E60">
        <w:rPr>
          <w:lang w:bidi="he-IL"/>
        </w:rPr>
        <w:t xml:space="preserve">8—9, while </w:t>
      </w:r>
      <w:r w:rsidR="00806097">
        <w:rPr>
          <w:lang w:bidi="he-IL"/>
        </w:rPr>
        <w:t xml:space="preserve">we have noted that </w:t>
      </w:r>
      <w:r w:rsidR="00AC2E60">
        <w:rPr>
          <w:lang w:bidi="he-IL"/>
        </w:rPr>
        <w:t xml:space="preserve">talk of </w:t>
      </w:r>
      <w:r w:rsidR="003D56BA">
        <w:rPr>
          <w:lang w:bidi="he-IL"/>
        </w:rPr>
        <w:t>“</w:t>
      </w:r>
      <w:r w:rsidR="00AC2E60">
        <w:rPr>
          <w:lang w:bidi="he-IL"/>
        </w:rPr>
        <w:t>nations</w:t>
      </w:r>
      <w:r w:rsidR="003D56BA">
        <w:rPr>
          <w:lang w:bidi="he-IL"/>
        </w:rPr>
        <w:t>”</w:t>
      </w:r>
      <w:r w:rsidR="00AC2E60">
        <w:rPr>
          <w:lang w:bidi="he-IL"/>
        </w:rPr>
        <w:t xml:space="preserve"> </w:t>
      </w:r>
      <w:r w:rsidR="00806097">
        <w:rPr>
          <w:lang w:bidi="he-IL"/>
        </w:rPr>
        <w:t xml:space="preserve">recurred in Gen 10. God set </w:t>
      </w:r>
      <w:r w:rsidR="00AC2E60">
        <w:rPr>
          <w:lang w:bidi="he-IL"/>
        </w:rPr>
        <w:t>humanity going with the intention that it should be fr</w:t>
      </w:r>
      <w:r w:rsidR="00806097">
        <w:rPr>
          <w:lang w:bidi="he-IL"/>
        </w:rPr>
        <w:t>uitful and numerous,</w:t>
      </w:r>
      <w:r w:rsidR="00AC2E60">
        <w:rPr>
          <w:lang w:bidi="he-IL"/>
        </w:rPr>
        <w:t xml:space="preserve"> God re-set humanity going with the same intention, and the growth of nations was a realization of that intention. Now Abraham is b</w:t>
      </w:r>
      <w:r w:rsidR="00806097">
        <w:rPr>
          <w:lang w:bidi="he-IL"/>
        </w:rPr>
        <w:t>rought into connection with this</w:t>
      </w:r>
      <w:r w:rsidR="00AC2E60">
        <w:rPr>
          <w:lang w:bidi="he-IL"/>
        </w:rPr>
        <w:t xml:space="preserve"> </w:t>
      </w:r>
      <w:r w:rsidR="00806097">
        <w:rPr>
          <w:lang w:bidi="he-IL"/>
        </w:rPr>
        <w:t>objective</w:t>
      </w:r>
      <w:r w:rsidR="00AC2E60">
        <w:rPr>
          <w:lang w:bidi="he-IL"/>
        </w:rPr>
        <w:t>. God’s</w:t>
      </w:r>
      <w:r>
        <w:rPr>
          <w:lang w:bidi="he-IL"/>
        </w:rPr>
        <w:t xml:space="preserve"> intention in creation is </w:t>
      </w:r>
      <w:r w:rsidR="00AC2E60">
        <w:rPr>
          <w:lang w:bidi="he-IL"/>
        </w:rPr>
        <w:t>to be realized in him and his offspring. There were no king</w:t>
      </w:r>
      <w:r w:rsidR="00806097">
        <w:rPr>
          <w:lang w:bidi="he-IL"/>
        </w:rPr>
        <w:t>s</w:t>
      </w:r>
      <w:r w:rsidR="00AC2E60">
        <w:rPr>
          <w:lang w:bidi="he-IL"/>
        </w:rPr>
        <w:t xml:space="preserve"> in Gen 10, but there were plenty in Gen 14, so God’s additional reference to kings nuances the point further.</w:t>
      </w:r>
      <w:r w:rsidR="00BD11BB">
        <w:rPr>
          <w:rStyle w:val="FootnoteReference"/>
          <w:lang w:bidi="he-IL"/>
        </w:rPr>
        <w:footnoteReference w:id="343"/>
      </w:r>
    </w:p>
    <w:p w14:paraId="5D8B5EFD" w14:textId="503D3CDA" w:rsidR="00AC2E60" w:rsidRDefault="00AC2E60" w:rsidP="001437B5">
      <w:pPr>
        <w:rPr>
          <w:lang w:bidi="he-IL"/>
        </w:rPr>
      </w:pPr>
      <w:r>
        <w:rPr>
          <w:b/>
          <w:lang w:bidi="he-IL"/>
        </w:rPr>
        <w:t xml:space="preserve"> </w:t>
      </w:r>
      <w:r w:rsidR="005025AC">
        <w:rPr>
          <w:lang w:bidi="he-IL"/>
        </w:rPr>
        <w:t xml:space="preserve">God’s further reformulating of the pact </w:t>
      </w:r>
      <w:r w:rsidR="00385029">
        <w:rPr>
          <w:lang w:bidi="he-IL"/>
        </w:rPr>
        <w:t>(v. 7</w:t>
      </w:r>
      <w:r w:rsidR="00186E70">
        <w:rPr>
          <w:lang w:bidi="he-IL"/>
        </w:rPr>
        <w:t xml:space="preserve">) </w:t>
      </w:r>
      <w:r w:rsidR="005025AC">
        <w:rPr>
          <w:lang w:bidi="he-IL"/>
        </w:rPr>
        <w:t xml:space="preserve">involves </w:t>
      </w:r>
      <w:r w:rsidR="00186E70">
        <w:rPr>
          <w:lang w:bidi="he-IL"/>
        </w:rPr>
        <w:t xml:space="preserve">making it permanent or age-long, </w:t>
      </w:r>
      <w:r w:rsidR="00186E70" w:rsidRPr="00186E70">
        <w:rPr>
          <w:lang w:bidi="he-IL"/>
        </w:rPr>
        <w:t xml:space="preserve">like the Noah </w:t>
      </w:r>
      <w:r w:rsidR="00186E70">
        <w:rPr>
          <w:lang w:bidi="he-IL"/>
        </w:rPr>
        <w:t xml:space="preserve">pact </w:t>
      </w:r>
      <w:r w:rsidR="00186E70" w:rsidRPr="00186E70">
        <w:rPr>
          <w:lang w:bidi="he-IL"/>
        </w:rPr>
        <w:t>with the world as whole (9:12, 16</w:t>
      </w:r>
      <w:r w:rsidR="00186E70">
        <w:rPr>
          <w:lang w:bidi="he-IL"/>
        </w:rPr>
        <w:t>), which makes for another way in which God</w:t>
      </w:r>
      <w:r w:rsidR="00B10057">
        <w:rPr>
          <w:lang w:bidi="he-IL"/>
        </w:rPr>
        <w:t>’s dealings with Abraham implement</w:t>
      </w:r>
      <w:r w:rsidR="00186E70">
        <w:rPr>
          <w:lang w:bidi="he-IL"/>
        </w:rPr>
        <w:t xml:space="preserve"> his purpo</w:t>
      </w:r>
      <w:r w:rsidR="00F51555">
        <w:rPr>
          <w:lang w:bidi="he-IL"/>
        </w:rPr>
        <w:t xml:space="preserve">se for humanity as a whole. </w:t>
      </w:r>
      <w:r w:rsidR="00186E70">
        <w:rPr>
          <w:lang w:bidi="he-IL"/>
        </w:rPr>
        <w:t xml:space="preserve">God </w:t>
      </w:r>
      <w:r w:rsidR="00806097">
        <w:rPr>
          <w:lang w:bidi="he-IL"/>
        </w:rPr>
        <w:t xml:space="preserve">also encapsulates </w:t>
      </w:r>
      <w:r w:rsidR="00186E70">
        <w:rPr>
          <w:lang w:bidi="he-IL"/>
        </w:rPr>
        <w:t xml:space="preserve">the </w:t>
      </w:r>
      <w:r w:rsidR="00806097">
        <w:rPr>
          <w:lang w:bidi="he-IL"/>
        </w:rPr>
        <w:t xml:space="preserve">pact’s </w:t>
      </w:r>
      <w:r w:rsidR="00186E70">
        <w:rPr>
          <w:lang w:bidi="he-IL"/>
        </w:rPr>
        <w:t xml:space="preserve">implications in terms of </w:t>
      </w:r>
      <w:r w:rsidR="003D56BA">
        <w:rPr>
          <w:lang w:bidi="he-IL"/>
        </w:rPr>
        <w:t>“</w:t>
      </w:r>
      <w:r w:rsidR="00186E70">
        <w:rPr>
          <w:lang w:bidi="he-IL"/>
        </w:rPr>
        <w:t>being God</w:t>
      </w:r>
      <w:r w:rsidR="00DC70FF">
        <w:rPr>
          <w:lang w:bidi="he-IL"/>
        </w:rPr>
        <w:t xml:space="preserve"> for you and for your offspring.</w:t>
      </w:r>
      <w:r w:rsidR="003D56BA">
        <w:rPr>
          <w:lang w:bidi="he-IL"/>
        </w:rPr>
        <w:t>”</w:t>
      </w:r>
      <w:r w:rsidR="00DC70FF">
        <w:rPr>
          <w:lang w:bidi="he-IL"/>
        </w:rPr>
        <w:t xml:space="preserve"> </w:t>
      </w:r>
      <w:r w:rsidR="00806097">
        <w:rPr>
          <w:lang w:bidi="he-IL"/>
        </w:rPr>
        <w:t xml:space="preserve">Elsewhere, </w:t>
      </w:r>
      <w:r w:rsidR="003D56BA">
        <w:rPr>
          <w:lang w:bidi="he-IL"/>
        </w:rPr>
        <w:t>“</w:t>
      </w:r>
      <w:r w:rsidR="00DC70FF">
        <w:rPr>
          <w:lang w:bidi="he-IL"/>
        </w:rPr>
        <w:t>I will be God for you and you will be a people for me</w:t>
      </w:r>
      <w:r w:rsidR="003D56BA">
        <w:rPr>
          <w:lang w:bidi="he-IL"/>
        </w:rPr>
        <w:t>”</w:t>
      </w:r>
      <w:r w:rsidR="00DC70FF">
        <w:rPr>
          <w:lang w:bidi="he-IL"/>
        </w:rPr>
        <w:t xml:space="preserve"> (e.g., Jer 31:33; Ezek 37:27) expresses th</w:t>
      </w:r>
      <w:r w:rsidR="00806097">
        <w:rPr>
          <w:lang w:bidi="he-IL"/>
        </w:rPr>
        <w:t>e two-sided nature of this pact; here t</w:t>
      </w:r>
      <w:r w:rsidR="00806097" w:rsidRPr="00806097">
        <w:rPr>
          <w:lang w:bidi="he-IL"/>
        </w:rPr>
        <w:t xml:space="preserve">he other side of the relationship has been implied in v. 1 and will follow in vv. 9-14, and even on its own, the idea of being your God implies </w:t>
      </w:r>
      <w:r w:rsidR="003D56BA">
        <w:rPr>
          <w:lang w:bidi="he-IL"/>
        </w:rPr>
        <w:t>“</w:t>
      </w:r>
      <w:r w:rsidR="00806097" w:rsidRPr="00806097">
        <w:rPr>
          <w:lang w:bidi="he-IL"/>
        </w:rPr>
        <w:t>so you had better treat me as such</w:t>
      </w:r>
      <w:r w:rsidR="003D56BA">
        <w:rPr>
          <w:lang w:bidi="he-IL"/>
        </w:rPr>
        <w:t>”</w:t>
      </w:r>
      <w:r w:rsidR="00806097" w:rsidRPr="00806097">
        <w:rPr>
          <w:lang w:bidi="he-IL"/>
        </w:rPr>
        <w:t xml:space="preserve"> (cf. Lev 11:45; 22:33).</w:t>
      </w:r>
      <w:r w:rsidR="00E25763">
        <w:rPr>
          <w:lang w:bidi="he-IL"/>
        </w:rPr>
        <w:t xml:space="preserve"> But in v. 7 </w:t>
      </w:r>
      <w:r w:rsidR="00DC70FF">
        <w:rPr>
          <w:lang w:bidi="he-IL"/>
        </w:rPr>
        <w:t>God speaks only of being God f</w:t>
      </w:r>
      <w:r w:rsidR="00806097">
        <w:rPr>
          <w:lang w:bidi="he-IL"/>
        </w:rPr>
        <w:t>or them, i</w:t>
      </w:r>
      <w:r w:rsidR="00806097" w:rsidRPr="00806097">
        <w:rPr>
          <w:lang w:bidi="he-IL"/>
        </w:rPr>
        <w:t>n keeping with t</w:t>
      </w:r>
      <w:r w:rsidR="00806097">
        <w:rPr>
          <w:lang w:bidi="he-IL"/>
        </w:rPr>
        <w:t>he promissory nature of vv. 4-7 (cf. Exod 29:45, when God</w:t>
      </w:r>
      <w:r w:rsidR="00DC70FF">
        <w:rPr>
          <w:lang w:bidi="he-IL"/>
        </w:rPr>
        <w:t xml:space="preserve"> comes to dwell</w:t>
      </w:r>
      <w:r w:rsidR="00385029">
        <w:rPr>
          <w:lang w:bidi="he-IL"/>
        </w:rPr>
        <w:t xml:space="preserve"> in the wilderness sanctuary).</w:t>
      </w:r>
      <w:r w:rsidR="00121F4A">
        <w:rPr>
          <w:rStyle w:val="FootnoteReference"/>
          <w:lang w:bidi="he-IL"/>
        </w:rPr>
        <w:footnoteReference w:id="344"/>
      </w:r>
      <w:r w:rsidR="00385029">
        <w:rPr>
          <w:lang w:bidi="he-IL"/>
        </w:rPr>
        <w:t xml:space="preserve"> </w:t>
      </w:r>
    </w:p>
    <w:p w14:paraId="46C7E5B4" w14:textId="340B47FE" w:rsidR="00385029" w:rsidRDefault="00E25763" w:rsidP="001437B5">
      <w:pPr>
        <w:rPr>
          <w:lang w:bidi="he-IL"/>
        </w:rPr>
      </w:pPr>
      <w:r>
        <w:rPr>
          <w:lang w:bidi="he-IL"/>
        </w:rPr>
        <w:t>T</w:t>
      </w:r>
      <w:r w:rsidR="00385029">
        <w:rPr>
          <w:lang w:bidi="he-IL"/>
        </w:rPr>
        <w:t>he further spelling out of God’s commitment (v. 8) relates to the gift of the land, which is also to be permanent or age-long. God thus reconfirms the promise in 13:</w:t>
      </w:r>
      <w:r w:rsidR="00F51555">
        <w:rPr>
          <w:lang w:bidi="he-IL"/>
        </w:rPr>
        <w:t>15, adding</w:t>
      </w:r>
      <w:r w:rsidR="00385029">
        <w:rPr>
          <w:lang w:bidi="he-IL"/>
        </w:rPr>
        <w:t xml:space="preserve"> the word </w:t>
      </w:r>
      <w:r w:rsidR="003D56BA">
        <w:rPr>
          <w:lang w:bidi="he-IL"/>
        </w:rPr>
        <w:t>“</w:t>
      </w:r>
      <w:r w:rsidR="00385029">
        <w:rPr>
          <w:lang w:bidi="he-IL"/>
        </w:rPr>
        <w:t>holding</w:t>
      </w:r>
      <w:r w:rsidR="003D56BA">
        <w:rPr>
          <w:lang w:bidi="he-IL"/>
        </w:rPr>
        <w:t>”</w:t>
      </w:r>
      <w:r w:rsidR="00F51555">
        <w:rPr>
          <w:lang w:bidi="he-IL"/>
        </w:rPr>
        <w:t xml:space="preserve"> (</w:t>
      </w:r>
      <w:r w:rsidR="00F51555">
        <w:rPr>
          <w:i/>
          <w:lang w:bidi="he-IL"/>
        </w:rPr>
        <w:t>’</w:t>
      </w:r>
      <w:r w:rsidR="00F51555">
        <w:rPr>
          <w:rFonts w:cstheme="minorHAnsi"/>
          <w:i/>
          <w:lang w:bidi="he-IL"/>
        </w:rPr>
        <w:t>ăḥuzzāh</w:t>
      </w:r>
      <w:r w:rsidR="00F51555">
        <w:rPr>
          <w:rFonts w:cstheme="minorHAnsi"/>
          <w:lang w:bidi="he-IL"/>
        </w:rPr>
        <w:t>).</w:t>
      </w:r>
      <w:r>
        <w:rPr>
          <w:lang w:bidi="he-IL"/>
        </w:rPr>
        <w:t xml:space="preserve"> This term</w:t>
      </w:r>
      <w:r w:rsidR="006B2D21">
        <w:rPr>
          <w:lang w:bidi="he-IL"/>
        </w:rPr>
        <w:t xml:space="preserve"> most often refers to the parcel of land that a family </w:t>
      </w:r>
      <w:r w:rsidR="003D56BA">
        <w:rPr>
          <w:lang w:bidi="he-IL"/>
        </w:rPr>
        <w:t>“</w:t>
      </w:r>
      <w:r w:rsidR="006B2D21">
        <w:rPr>
          <w:lang w:bidi="he-IL"/>
        </w:rPr>
        <w:t>holds</w:t>
      </w:r>
      <w:r w:rsidR="003D56BA">
        <w:rPr>
          <w:lang w:bidi="he-IL"/>
        </w:rPr>
        <w:t>”</w:t>
      </w:r>
      <w:r w:rsidR="006B2D21">
        <w:rPr>
          <w:lang w:bidi="he-IL"/>
        </w:rPr>
        <w:t xml:space="preserve"> and of which it is (in theory) the s</w:t>
      </w:r>
      <w:r>
        <w:rPr>
          <w:lang w:bidi="he-IL"/>
        </w:rPr>
        <w:t>ecure and permanent possessor</w:t>
      </w:r>
      <w:r w:rsidR="00F51555">
        <w:rPr>
          <w:lang w:bidi="he-IL"/>
        </w:rPr>
        <w:t>, though</w:t>
      </w:r>
      <w:r w:rsidR="006B2D21">
        <w:rPr>
          <w:lang w:bidi="he-IL"/>
        </w:rPr>
        <w:t xml:space="preserve"> </w:t>
      </w:r>
      <w:r w:rsidR="003D56BA">
        <w:rPr>
          <w:lang w:bidi="he-IL"/>
        </w:rPr>
        <w:t>“</w:t>
      </w:r>
      <w:r w:rsidR="006B2D21">
        <w:rPr>
          <w:lang w:bidi="he-IL"/>
        </w:rPr>
        <w:t>owner</w:t>
      </w:r>
      <w:r w:rsidR="003D56BA">
        <w:rPr>
          <w:lang w:bidi="he-IL"/>
        </w:rPr>
        <w:t>”</w:t>
      </w:r>
      <w:r w:rsidR="00F159BF">
        <w:rPr>
          <w:lang w:bidi="he-IL"/>
        </w:rPr>
        <w:t xml:space="preserve"> is </w:t>
      </w:r>
      <w:r w:rsidR="006B2D21">
        <w:rPr>
          <w:lang w:bidi="he-IL"/>
        </w:rPr>
        <w:t xml:space="preserve">not quite the word, as the land still </w:t>
      </w:r>
      <w:r>
        <w:rPr>
          <w:lang w:bidi="he-IL"/>
        </w:rPr>
        <w:t>belongs to God. Here God uses this word</w:t>
      </w:r>
      <w:r w:rsidR="006B2D21">
        <w:rPr>
          <w:lang w:bidi="he-IL"/>
        </w:rPr>
        <w:t xml:space="preserve"> of the nation’s s</w:t>
      </w:r>
      <w:r w:rsidR="00F51555">
        <w:rPr>
          <w:lang w:bidi="he-IL"/>
        </w:rPr>
        <w:t xml:space="preserve">ecure possession of </w:t>
      </w:r>
      <w:r w:rsidR="006B2D21">
        <w:rPr>
          <w:lang w:bidi="he-IL"/>
        </w:rPr>
        <w:t>Canaan, a possession which is theologically though not epistemologically prior</w:t>
      </w:r>
      <w:r>
        <w:rPr>
          <w:lang w:bidi="he-IL"/>
        </w:rPr>
        <w:t xml:space="preserve"> to the possession of parcels of land by families</w:t>
      </w:r>
      <w:r w:rsidR="006B2D21">
        <w:rPr>
          <w:lang w:bidi="he-IL"/>
        </w:rPr>
        <w:t>.</w:t>
      </w:r>
    </w:p>
    <w:p w14:paraId="7DC40367" w14:textId="77777777" w:rsidR="00813963" w:rsidRDefault="006B2D21" w:rsidP="001437B5">
      <w:pPr>
        <w:rPr>
          <w:lang w:bidi="he-IL"/>
        </w:rPr>
      </w:pPr>
      <w:r>
        <w:rPr>
          <w:b/>
          <w:lang w:bidi="he-IL"/>
        </w:rPr>
        <w:t>17:9-14</w:t>
      </w:r>
      <w:r w:rsidR="00E25763">
        <w:rPr>
          <w:lang w:bidi="he-IL"/>
        </w:rPr>
        <w:t>. W</w:t>
      </w:r>
      <w:r w:rsidR="00E25763" w:rsidRPr="00E25763">
        <w:rPr>
          <w:lang w:bidi="he-IL"/>
        </w:rPr>
        <w:t xml:space="preserve">ritten into the pact </w:t>
      </w:r>
      <w:r w:rsidR="00E25763">
        <w:rPr>
          <w:lang w:bidi="he-IL"/>
        </w:rPr>
        <w:t>t</w:t>
      </w:r>
      <w:r>
        <w:rPr>
          <w:lang w:bidi="he-IL"/>
        </w:rPr>
        <w:t xml:space="preserve">here is </w:t>
      </w:r>
      <w:r w:rsidR="00E25763">
        <w:rPr>
          <w:lang w:bidi="he-IL"/>
        </w:rPr>
        <w:t xml:space="preserve">indeed </w:t>
      </w:r>
      <w:r>
        <w:rPr>
          <w:lang w:bidi="he-IL"/>
        </w:rPr>
        <w:t>an obligation that Abraham has to fulfill, as there</w:t>
      </w:r>
      <w:r w:rsidR="00813963">
        <w:rPr>
          <w:lang w:bidi="he-IL"/>
        </w:rPr>
        <w:t xml:space="preserve"> was not in Gen 9 or in Gen 15.</w:t>
      </w:r>
      <w:r w:rsidR="00A87EF7">
        <w:rPr>
          <w:lang w:bidi="he-IL"/>
        </w:rPr>
        <w:t xml:space="preserve"> Verses 10-14 resemble the form of collections of rules in Exodus or Leviticu</w:t>
      </w:r>
      <w:r w:rsidR="00F159BF">
        <w:rPr>
          <w:lang w:bidi="he-IL"/>
        </w:rPr>
        <w:t>s and may have an origin of the same</w:t>
      </w:r>
      <w:r w:rsidR="00A87EF7">
        <w:rPr>
          <w:lang w:bidi="he-IL"/>
        </w:rPr>
        <w:t xml:space="preserve"> kind.</w:t>
      </w:r>
      <w:r w:rsidR="00A87EF7">
        <w:rPr>
          <w:rStyle w:val="FootnoteReference"/>
          <w:lang w:bidi="he-IL"/>
        </w:rPr>
        <w:footnoteReference w:id="345"/>
      </w:r>
    </w:p>
    <w:p w14:paraId="63C37E87" w14:textId="1453CF43" w:rsidR="006B2D21" w:rsidRDefault="00813963" w:rsidP="001437B5">
      <w:pPr>
        <w:rPr>
          <w:lang w:bidi="he-IL"/>
        </w:rPr>
      </w:pPr>
      <w:r>
        <w:rPr>
          <w:lang w:bidi="he-IL"/>
        </w:rPr>
        <w:t>T</w:t>
      </w:r>
      <w:r w:rsidR="006B2D21">
        <w:rPr>
          <w:lang w:bidi="he-IL"/>
        </w:rPr>
        <w:t xml:space="preserve">he </w:t>
      </w:r>
      <w:r>
        <w:rPr>
          <w:lang w:bidi="he-IL"/>
        </w:rPr>
        <w:t xml:space="preserve">obligation is the </w:t>
      </w:r>
      <w:r w:rsidR="006B2D21">
        <w:rPr>
          <w:lang w:bidi="he-IL"/>
        </w:rPr>
        <w:t>circumcising of the males within the community</w:t>
      </w:r>
      <w:r w:rsidR="00B4572E">
        <w:rPr>
          <w:lang w:bidi="he-IL"/>
        </w:rPr>
        <w:t xml:space="preserve"> (v. 10</w:t>
      </w:r>
      <w:r>
        <w:rPr>
          <w:lang w:bidi="he-IL"/>
        </w:rPr>
        <w:t>)</w:t>
      </w:r>
      <w:r w:rsidR="002F7CFF">
        <w:rPr>
          <w:lang w:bidi="he-IL"/>
        </w:rPr>
        <w:t>. C</w:t>
      </w:r>
      <w:r w:rsidR="00E91B26">
        <w:rPr>
          <w:lang w:bidi="he-IL"/>
        </w:rPr>
        <w:t>ircumcis</w:t>
      </w:r>
      <w:r w:rsidR="002F7CFF">
        <w:rPr>
          <w:lang w:bidi="he-IL"/>
        </w:rPr>
        <w:t>i</w:t>
      </w:r>
      <w:r w:rsidR="00E91B26">
        <w:rPr>
          <w:lang w:bidi="he-IL"/>
        </w:rPr>
        <w:t xml:space="preserve">on </w:t>
      </w:r>
      <w:r w:rsidR="00E91B26">
        <w:rPr>
          <w:i/>
          <w:lang w:bidi="he-IL"/>
        </w:rPr>
        <w:t>is</w:t>
      </w:r>
      <w:r w:rsidR="00E91B26">
        <w:rPr>
          <w:lang w:bidi="he-IL"/>
        </w:rPr>
        <w:t xml:space="preserve"> the pact (by synecdoche</w:t>
      </w:r>
      <w:r w:rsidR="00E91B26">
        <w:rPr>
          <w:rStyle w:val="FootnoteReference"/>
          <w:lang w:bidi="he-IL"/>
        </w:rPr>
        <w:footnoteReference w:id="346"/>
      </w:r>
      <w:r w:rsidR="00E91B26">
        <w:rPr>
          <w:lang w:bidi="he-IL"/>
        </w:rPr>
        <w:t>—that is, it is the sign of the pact)</w:t>
      </w:r>
      <w:r w:rsidR="00E17D25">
        <w:rPr>
          <w:lang w:bidi="he-IL"/>
        </w:rPr>
        <w:t xml:space="preserve">. </w:t>
      </w:r>
      <w:r w:rsidR="001D7539">
        <w:rPr>
          <w:lang w:bidi="he-IL"/>
        </w:rPr>
        <w:t xml:space="preserve">It </w:t>
      </w:r>
      <w:r w:rsidR="006B2D21">
        <w:rPr>
          <w:lang w:bidi="he-IL"/>
        </w:rPr>
        <w:t xml:space="preserve">denotes the cutting off of the skin that extends forward beyond the end of the penis. </w:t>
      </w:r>
      <w:r w:rsidR="009B2AC4">
        <w:rPr>
          <w:lang w:bidi="he-IL"/>
        </w:rPr>
        <w:t xml:space="preserve">Its removal </w:t>
      </w:r>
      <w:r w:rsidR="00A955DC">
        <w:rPr>
          <w:lang w:bidi="he-IL"/>
        </w:rPr>
        <w:t xml:space="preserve">as a </w:t>
      </w:r>
      <w:r w:rsidR="00E25763">
        <w:rPr>
          <w:lang w:bidi="he-IL"/>
        </w:rPr>
        <w:t xml:space="preserve">ceremonial and/or </w:t>
      </w:r>
      <w:r w:rsidR="00A955DC">
        <w:rPr>
          <w:lang w:bidi="he-IL"/>
        </w:rPr>
        <w:t xml:space="preserve">religious act is </w:t>
      </w:r>
      <w:r w:rsidR="00B4572E">
        <w:rPr>
          <w:lang w:bidi="he-IL"/>
        </w:rPr>
        <w:t>known among many peoples;</w:t>
      </w:r>
      <w:r w:rsidR="00A955DC">
        <w:rPr>
          <w:lang w:bidi="he-IL"/>
        </w:rPr>
        <w:t xml:space="preserve"> it is </w:t>
      </w:r>
      <w:r w:rsidR="00B4572E">
        <w:rPr>
          <w:lang w:bidi="he-IL"/>
        </w:rPr>
        <w:t xml:space="preserve">also </w:t>
      </w:r>
      <w:r w:rsidR="00F51555">
        <w:rPr>
          <w:lang w:bidi="he-IL"/>
        </w:rPr>
        <w:t>common</w:t>
      </w:r>
      <w:r w:rsidR="00A955DC">
        <w:rPr>
          <w:lang w:bidi="he-IL"/>
        </w:rPr>
        <w:t>ly claimed to be medically benef</w:t>
      </w:r>
      <w:r w:rsidR="00F159BF">
        <w:rPr>
          <w:lang w:bidi="he-IL"/>
        </w:rPr>
        <w:t xml:space="preserve">icial. </w:t>
      </w:r>
      <w:r w:rsidR="00F51555">
        <w:rPr>
          <w:lang w:bidi="he-IL"/>
        </w:rPr>
        <w:t xml:space="preserve">God is </w:t>
      </w:r>
      <w:r w:rsidR="00A955DC">
        <w:rPr>
          <w:lang w:bidi="he-IL"/>
        </w:rPr>
        <w:t>taking a practice known in many cultures and giving it</w:t>
      </w:r>
      <w:r w:rsidR="00E17D25">
        <w:rPr>
          <w:lang w:bidi="he-IL"/>
        </w:rPr>
        <w:t xml:space="preserve"> a new significance in connection with</w:t>
      </w:r>
      <w:r w:rsidR="00A955DC">
        <w:rPr>
          <w:lang w:bidi="he-IL"/>
        </w:rPr>
        <w:t xml:space="preserve"> the pact between </w:t>
      </w:r>
      <w:r w:rsidR="00E25763">
        <w:rPr>
          <w:lang w:bidi="he-IL"/>
        </w:rPr>
        <w:t>himself and his people</w:t>
      </w:r>
      <w:r w:rsidR="00DB4DE1">
        <w:rPr>
          <w:lang w:bidi="he-IL"/>
        </w:rPr>
        <w:t>, as he does with (e.g.) sacrifice and cleansing rituals</w:t>
      </w:r>
      <w:r w:rsidR="00A955DC">
        <w:rPr>
          <w:lang w:bidi="he-IL"/>
        </w:rPr>
        <w:t xml:space="preserve">. </w:t>
      </w:r>
      <w:r w:rsidR="00B4572E" w:rsidRPr="00B4572E">
        <w:rPr>
          <w:lang w:bidi="he-IL"/>
        </w:rPr>
        <w:t xml:space="preserve">Whereas </w:t>
      </w:r>
      <w:r w:rsidR="003D56BA">
        <w:rPr>
          <w:lang w:bidi="he-IL"/>
        </w:rPr>
        <w:t>“</w:t>
      </w:r>
      <w:r w:rsidR="00B4572E" w:rsidRPr="00B4572E">
        <w:rPr>
          <w:lang w:bidi="he-IL"/>
        </w:rPr>
        <w:t>you</w:t>
      </w:r>
      <w:r w:rsidR="003D56BA">
        <w:rPr>
          <w:lang w:bidi="he-IL"/>
        </w:rPr>
        <w:t>”</w:t>
      </w:r>
      <w:r w:rsidR="00B4572E" w:rsidRPr="00B4572E">
        <w:rPr>
          <w:lang w:bidi="he-IL"/>
        </w:rPr>
        <w:t xml:space="preserve"> was singular in v. 9, now it is plural</w:t>
      </w:r>
      <w:r w:rsidR="00B4572E">
        <w:rPr>
          <w:lang w:bidi="he-IL"/>
        </w:rPr>
        <w:t xml:space="preserve">; the obligation </w:t>
      </w:r>
      <w:r w:rsidR="00B4572E" w:rsidRPr="00B4572E">
        <w:rPr>
          <w:lang w:bidi="he-IL"/>
        </w:rPr>
        <w:t xml:space="preserve">rests on the </w:t>
      </w:r>
      <w:r w:rsidR="00E25763">
        <w:rPr>
          <w:lang w:bidi="he-IL"/>
        </w:rPr>
        <w:t>community as</w:t>
      </w:r>
      <w:r w:rsidR="00F159BF">
        <w:rPr>
          <w:lang w:bidi="he-IL"/>
        </w:rPr>
        <w:t xml:space="preserve"> a whole,</w:t>
      </w:r>
      <w:r w:rsidR="00B4572E" w:rsidRPr="00B4572E">
        <w:rPr>
          <w:lang w:bidi="he-IL"/>
        </w:rPr>
        <w:t xml:space="preserve"> on the mothers and grandmothers as well as the fathers and grandf</w:t>
      </w:r>
      <w:r w:rsidR="00F159BF">
        <w:rPr>
          <w:lang w:bidi="he-IL"/>
        </w:rPr>
        <w:t>athers</w:t>
      </w:r>
      <w:r w:rsidR="00B4572E">
        <w:rPr>
          <w:lang w:bidi="he-IL"/>
        </w:rPr>
        <w:t xml:space="preserve"> (cf. Exod 4:24-26!</w:t>
      </w:r>
      <w:r w:rsidR="00B4572E" w:rsidRPr="00B4572E">
        <w:rPr>
          <w:lang w:bidi="he-IL"/>
        </w:rPr>
        <w:t>)</w:t>
      </w:r>
      <w:r w:rsidR="00B4572E">
        <w:rPr>
          <w:lang w:bidi="he-IL"/>
        </w:rPr>
        <w:t xml:space="preserve">. </w:t>
      </w:r>
      <w:r w:rsidR="00A955DC">
        <w:rPr>
          <w:lang w:bidi="he-IL"/>
        </w:rPr>
        <w:t xml:space="preserve">Although it is administered only to </w:t>
      </w:r>
      <w:r w:rsidR="00B4572E">
        <w:rPr>
          <w:lang w:bidi="he-IL"/>
        </w:rPr>
        <w:t xml:space="preserve">the </w:t>
      </w:r>
      <w:r w:rsidR="00A955DC">
        <w:rPr>
          <w:lang w:bidi="he-IL"/>
        </w:rPr>
        <w:t xml:space="preserve">males, </w:t>
      </w:r>
      <w:r w:rsidR="00A955DC">
        <w:rPr>
          <w:lang w:bidi="he-IL"/>
        </w:rPr>
        <w:lastRenderedPageBreak/>
        <w:t xml:space="preserve">Israel did not </w:t>
      </w:r>
      <w:r w:rsidR="00F159BF">
        <w:rPr>
          <w:lang w:bidi="he-IL"/>
        </w:rPr>
        <w:t xml:space="preserve">draw the inference that </w:t>
      </w:r>
      <w:r w:rsidR="00A955DC">
        <w:rPr>
          <w:lang w:bidi="he-IL"/>
        </w:rPr>
        <w:t>the pact did not apply to females.</w:t>
      </w:r>
      <w:r>
        <w:rPr>
          <w:lang w:bidi="he-IL"/>
        </w:rPr>
        <w:t xml:space="preserve"> </w:t>
      </w:r>
      <w:r w:rsidR="002608AD">
        <w:rPr>
          <w:lang w:bidi="he-IL"/>
        </w:rPr>
        <w:t>“Was Sarah part of the covenant?” But her role as childbearer is not ancillary but essential to the covenant.</w:t>
      </w:r>
      <w:r w:rsidR="002608AD">
        <w:rPr>
          <w:rStyle w:val="FootnoteReference"/>
          <w:lang w:bidi="he-IL"/>
        </w:rPr>
        <w:footnoteReference w:id="347"/>
      </w:r>
      <w:r w:rsidR="002608AD">
        <w:rPr>
          <w:lang w:bidi="he-IL"/>
        </w:rPr>
        <w:t xml:space="preserve"> </w:t>
      </w:r>
      <w:r>
        <w:rPr>
          <w:lang w:bidi="he-IL"/>
        </w:rPr>
        <w:t>(T</w:t>
      </w:r>
      <w:r w:rsidRPr="00813963">
        <w:rPr>
          <w:lang w:bidi="he-IL"/>
        </w:rPr>
        <w:t>here is no evidence of female circumcision as a religious practice in the ancient world, nor of its being medically beneficial</w:t>
      </w:r>
      <w:r>
        <w:rPr>
          <w:lang w:bidi="he-IL"/>
        </w:rPr>
        <w:t>.)</w:t>
      </w:r>
    </w:p>
    <w:p w14:paraId="5DD9E179" w14:textId="782FDFAA" w:rsidR="002F7CFF" w:rsidRPr="006B2D21" w:rsidRDefault="00F51555" w:rsidP="001437B5">
      <w:pPr>
        <w:rPr>
          <w:lang w:bidi="he-IL"/>
        </w:rPr>
      </w:pPr>
      <w:r>
        <w:rPr>
          <w:lang w:bidi="he-IL"/>
        </w:rPr>
        <w:t>So c</w:t>
      </w:r>
      <w:r w:rsidR="002F7CFF">
        <w:rPr>
          <w:lang w:bidi="he-IL"/>
        </w:rPr>
        <w:t xml:space="preserve">ircumcision will function as the sign of the pact (v. 11). </w:t>
      </w:r>
      <w:r w:rsidR="003D56BA">
        <w:rPr>
          <w:lang w:bidi="he-IL"/>
        </w:rPr>
        <w:t>“</w:t>
      </w:r>
      <w:r w:rsidR="00E25763" w:rsidRPr="00E25763">
        <w:rPr>
          <w:lang w:bidi="he-IL"/>
        </w:rPr>
        <w:t>Circumcision was God’s brand.</w:t>
      </w:r>
      <w:r w:rsidR="003D56BA">
        <w:rPr>
          <w:lang w:bidi="he-IL"/>
        </w:rPr>
        <w:t>”</w:t>
      </w:r>
      <w:r w:rsidR="00E25763" w:rsidRPr="00E25763">
        <w:rPr>
          <w:vertAlign w:val="superscript"/>
          <w:lang w:bidi="he-IL"/>
        </w:rPr>
        <w:footnoteReference w:id="348"/>
      </w:r>
      <w:r w:rsidR="00E25763" w:rsidRPr="00E25763">
        <w:rPr>
          <w:lang w:bidi="he-IL"/>
        </w:rPr>
        <w:t xml:space="preserve"> </w:t>
      </w:r>
      <w:r w:rsidR="002F7CFF">
        <w:rPr>
          <w:lang w:bidi="he-IL"/>
        </w:rPr>
        <w:t>The rainbow was to be pu</w:t>
      </w:r>
      <w:r w:rsidR="00F159BF">
        <w:rPr>
          <w:lang w:bidi="he-IL"/>
        </w:rPr>
        <w:t>t in place by God as</w:t>
      </w:r>
      <w:r w:rsidR="002F7CFF">
        <w:rPr>
          <w:lang w:bidi="he-IL"/>
        </w:rPr>
        <w:t xml:space="preserve"> a sign </w:t>
      </w:r>
      <w:r w:rsidR="00F82DC3">
        <w:rPr>
          <w:lang w:bidi="he-IL"/>
        </w:rPr>
        <w:t xml:space="preserve">for him but also secondarily as </w:t>
      </w:r>
      <w:r w:rsidR="002F7CFF">
        <w:rPr>
          <w:lang w:bidi="he-IL"/>
        </w:rPr>
        <w:t xml:space="preserve">a sign for human beings. </w:t>
      </w:r>
      <w:r w:rsidR="00F82DC3">
        <w:rPr>
          <w:lang w:bidi="he-IL"/>
        </w:rPr>
        <w:t xml:space="preserve">Circumcision was to be </w:t>
      </w:r>
      <w:r w:rsidR="00F159BF">
        <w:rPr>
          <w:lang w:bidi="he-IL"/>
        </w:rPr>
        <w:t>undertaken by human beings as</w:t>
      </w:r>
      <w:r w:rsidR="00F82DC3">
        <w:rPr>
          <w:lang w:bidi="he-IL"/>
        </w:rPr>
        <w:t xml:space="preserve"> a sign for them but also secondarily as a sign for God. </w:t>
      </w:r>
      <w:r w:rsidR="00B4572E">
        <w:rPr>
          <w:lang w:bidi="he-IL"/>
        </w:rPr>
        <w:t>God does not identify how it works as a s</w:t>
      </w:r>
      <w:r>
        <w:rPr>
          <w:lang w:bidi="he-IL"/>
        </w:rPr>
        <w:t>ign, but if we ask whether it is</w:t>
      </w:r>
      <w:r w:rsidR="00B4572E">
        <w:rPr>
          <w:lang w:bidi="he-IL"/>
        </w:rPr>
        <w:t xml:space="preserve"> a sign with an intrinsic relationship to what it signifies, like the rainbow, then the context of the sign is suggestive. </w:t>
      </w:r>
      <w:r w:rsidR="00F82DC3">
        <w:rPr>
          <w:lang w:bidi="he-IL"/>
        </w:rPr>
        <w:t>The pact puts most emphasis on fruitfulness</w:t>
      </w:r>
      <w:r w:rsidR="00B252CB">
        <w:rPr>
          <w:rStyle w:val="FootnoteReference"/>
          <w:lang w:bidi="he-IL"/>
        </w:rPr>
        <w:footnoteReference w:id="349"/>
      </w:r>
      <w:r w:rsidR="00F82DC3">
        <w:rPr>
          <w:lang w:bidi="he-IL"/>
        </w:rPr>
        <w:t xml:space="preserve"> but</w:t>
      </w:r>
      <w:r w:rsidR="00E25763">
        <w:rPr>
          <w:lang w:bidi="he-IL"/>
        </w:rPr>
        <w:t xml:space="preserve"> </w:t>
      </w:r>
      <w:r w:rsidR="00DA45E0">
        <w:rPr>
          <w:lang w:bidi="he-IL"/>
        </w:rPr>
        <w:t xml:space="preserve">it </w:t>
      </w:r>
      <w:r w:rsidR="00F82DC3">
        <w:rPr>
          <w:lang w:bidi="he-IL"/>
        </w:rPr>
        <w:t>also incorporates the gift of the country of Canaan. Ci</w:t>
      </w:r>
      <w:r w:rsidR="00B4572E">
        <w:rPr>
          <w:lang w:bidi="he-IL"/>
        </w:rPr>
        <w:t>rcumcision could</w:t>
      </w:r>
      <w:r w:rsidR="00E17D25">
        <w:rPr>
          <w:lang w:bidi="he-IL"/>
        </w:rPr>
        <w:t xml:space="preserve"> </w:t>
      </w:r>
      <w:r w:rsidR="00E25763">
        <w:rPr>
          <w:lang w:bidi="he-IL"/>
        </w:rPr>
        <w:t xml:space="preserve">symbolize the consecration </w:t>
      </w:r>
      <w:r w:rsidR="00E17D25">
        <w:rPr>
          <w:lang w:bidi="he-IL"/>
        </w:rPr>
        <w:t>of the men’s means of being fruitful and of their m</w:t>
      </w:r>
      <w:r w:rsidR="009E49AD">
        <w:rPr>
          <w:lang w:bidi="he-IL"/>
        </w:rPr>
        <w:t xml:space="preserve">eans of engaging in the sexual </w:t>
      </w:r>
      <w:r w:rsidR="00E17D25">
        <w:rPr>
          <w:lang w:bidi="he-IL"/>
        </w:rPr>
        <w:t>waywardness of which the Canaanites were believed to be guilty.</w:t>
      </w:r>
      <w:r w:rsidR="00E17D25">
        <w:rPr>
          <w:rStyle w:val="FootnoteReference"/>
          <w:lang w:bidi="he-IL"/>
        </w:rPr>
        <w:footnoteReference w:id="350"/>
      </w:r>
    </w:p>
    <w:p w14:paraId="0AABD665" w14:textId="77777777" w:rsidR="0088032B" w:rsidRDefault="00F45488" w:rsidP="001437B5">
      <w:pPr>
        <w:rPr>
          <w:lang w:bidi="he-IL"/>
        </w:rPr>
      </w:pPr>
      <w:r>
        <w:rPr>
          <w:lang w:bidi="he-IL"/>
        </w:rPr>
        <w:t>It is babies who are to be circumcised (vv. 12-13). Cultures vary over wh</w:t>
      </w:r>
      <w:r w:rsidR="00365D9C">
        <w:rPr>
          <w:lang w:bidi="he-IL"/>
        </w:rPr>
        <w:t>ether there is a particular age</w:t>
      </w:r>
      <w:r>
        <w:rPr>
          <w:lang w:bidi="he-IL"/>
        </w:rPr>
        <w:t xml:space="preserve"> for th</w:t>
      </w:r>
      <w:r w:rsidR="009E49AD">
        <w:rPr>
          <w:lang w:bidi="he-IL"/>
        </w:rPr>
        <w:t>e ceremony; God lays down one</w:t>
      </w:r>
      <w:r>
        <w:rPr>
          <w:lang w:bidi="he-IL"/>
        </w:rPr>
        <w:t xml:space="preserve">. </w:t>
      </w:r>
      <w:r w:rsidR="009E49AD">
        <w:rPr>
          <w:lang w:bidi="he-IL"/>
        </w:rPr>
        <w:t xml:space="preserve">The </w:t>
      </w:r>
      <w:r w:rsidR="00365D9C">
        <w:rPr>
          <w:lang w:bidi="he-IL"/>
        </w:rPr>
        <w:t>ei</w:t>
      </w:r>
      <w:r w:rsidR="009E49AD">
        <w:rPr>
          <w:lang w:bidi="he-IL"/>
        </w:rPr>
        <w:t>ghth-day rule means that it</w:t>
      </w:r>
      <w:r w:rsidR="00365D9C">
        <w:rPr>
          <w:lang w:bidi="he-IL"/>
        </w:rPr>
        <w:t xml:space="preserve"> comes at the end of a mother’s initial seven-day taboo period following birth (Lev 12:1-3). The requirement of circumcision </w:t>
      </w:r>
      <w:r>
        <w:rPr>
          <w:lang w:bidi="he-IL"/>
        </w:rPr>
        <w:t>applies as much to people in the family who do not belong to Abraham’s own</w:t>
      </w:r>
      <w:r w:rsidR="0023055D">
        <w:rPr>
          <w:lang w:bidi="he-IL"/>
        </w:rPr>
        <w:t xml:space="preserve"> offspring as to those who do. In Israel, at least, some servants (most servants?) would be fellow-Israelites (e.g., Deut 15:12-18), but some would not</w:t>
      </w:r>
      <w:r w:rsidR="00F159BF">
        <w:rPr>
          <w:lang w:bidi="he-IL"/>
        </w:rPr>
        <w:t xml:space="preserve"> be</w:t>
      </w:r>
      <w:r w:rsidR="0023055D">
        <w:rPr>
          <w:lang w:bidi="he-IL"/>
        </w:rPr>
        <w:t>, and to make sure that no gray areas remain</w:t>
      </w:r>
      <w:r>
        <w:rPr>
          <w:lang w:bidi="he-IL"/>
        </w:rPr>
        <w:t xml:space="preserve">, </w:t>
      </w:r>
      <w:r w:rsidR="0023055D">
        <w:rPr>
          <w:lang w:bidi="he-IL"/>
        </w:rPr>
        <w:t xml:space="preserve">Genesis mentions two categories of foreign </w:t>
      </w:r>
      <w:r>
        <w:rPr>
          <w:lang w:bidi="he-IL"/>
        </w:rPr>
        <w:t>ser</w:t>
      </w:r>
      <w:r w:rsidR="0023055D">
        <w:rPr>
          <w:lang w:bidi="he-IL"/>
        </w:rPr>
        <w:t>vants—</w:t>
      </w:r>
      <w:r>
        <w:rPr>
          <w:lang w:bidi="he-IL"/>
        </w:rPr>
        <w:t>people</w:t>
      </w:r>
      <w:r w:rsidR="0023055D">
        <w:rPr>
          <w:lang w:bidi="he-IL"/>
        </w:rPr>
        <w:t xml:space="preserve"> born of foreigners within the family (Ishmael would have counted if his father had been another Egyptian) </w:t>
      </w:r>
      <w:r w:rsidR="00742B60">
        <w:rPr>
          <w:lang w:bidi="he-IL"/>
        </w:rPr>
        <w:t>and foreigners who themselves come into the family from outside. In both cases they co</w:t>
      </w:r>
      <w:r w:rsidR="009E49AD">
        <w:rPr>
          <w:lang w:bidi="he-IL"/>
        </w:rPr>
        <w:t>unt as members of the family and</w:t>
      </w:r>
      <w:r w:rsidR="00742B60">
        <w:rPr>
          <w:lang w:bidi="he-IL"/>
        </w:rPr>
        <w:t xml:space="preserve"> they are therefore circumcised. They are beneficiaries of the pact God has made</w:t>
      </w:r>
      <w:r w:rsidR="00F159BF">
        <w:rPr>
          <w:lang w:bidi="he-IL"/>
        </w:rPr>
        <w:t xml:space="preserve"> and they are under obligation to it</w:t>
      </w:r>
      <w:r w:rsidR="00742B60">
        <w:rPr>
          <w:lang w:bidi="he-IL"/>
        </w:rPr>
        <w:t>.</w:t>
      </w:r>
    </w:p>
    <w:p w14:paraId="7D4CA8B2" w14:textId="0148581C" w:rsidR="00742B60" w:rsidRDefault="008106B6" w:rsidP="001437B5">
      <w:pPr>
        <w:rPr>
          <w:lang w:bidi="he-IL"/>
        </w:rPr>
      </w:pPr>
      <w:r>
        <w:rPr>
          <w:lang w:bidi="he-IL"/>
        </w:rPr>
        <w:t xml:space="preserve"> What if someone</w:t>
      </w:r>
      <w:r w:rsidR="00742B60">
        <w:rPr>
          <w:lang w:bidi="he-IL"/>
        </w:rPr>
        <w:t xml:space="preserve"> neglects to be circumcised</w:t>
      </w:r>
      <w:r>
        <w:rPr>
          <w:lang w:bidi="he-IL"/>
        </w:rPr>
        <w:t xml:space="preserve"> (v. 14)? Presumably God is talking about an adult who </w:t>
      </w:r>
      <w:r w:rsidR="00DA45E0">
        <w:rPr>
          <w:lang w:bidi="he-IL"/>
        </w:rPr>
        <w:t xml:space="preserve">for some reason </w:t>
      </w:r>
      <w:r>
        <w:rPr>
          <w:lang w:bidi="he-IL"/>
        </w:rPr>
        <w:t>was not circum</w:t>
      </w:r>
      <w:r w:rsidR="00C870DF">
        <w:rPr>
          <w:lang w:bidi="he-IL"/>
        </w:rPr>
        <w:t>cised as a baby</w:t>
      </w:r>
      <w:r w:rsidR="00DD5208">
        <w:rPr>
          <w:rStyle w:val="FootnoteReference"/>
          <w:lang w:bidi="he-IL"/>
        </w:rPr>
        <w:footnoteReference w:id="351"/>
      </w:r>
      <w:r>
        <w:rPr>
          <w:lang w:bidi="he-IL"/>
        </w:rPr>
        <w:t xml:space="preserve"> </w:t>
      </w:r>
      <w:r w:rsidR="00C870DF">
        <w:rPr>
          <w:lang w:bidi="he-IL"/>
        </w:rPr>
        <w:t xml:space="preserve">(cf. Exod 4:24-26), </w:t>
      </w:r>
      <w:r>
        <w:rPr>
          <w:lang w:bidi="he-IL"/>
        </w:rPr>
        <w:t>though wondering about this question is m</w:t>
      </w:r>
      <w:r w:rsidR="00DA45E0">
        <w:rPr>
          <w:lang w:bidi="he-IL"/>
        </w:rPr>
        <w:t xml:space="preserve">aybe </w:t>
      </w:r>
      <w:r w:rsidR="009E49AD">
        <w:rPr>
          <w:lang w:bidi="he-IL"/>
        </w:rPr>
        <w:t>again too prosaic—the point about the</w:t>
      </w:r>
      <w:r>
        <w:rPr>
          <w:lang w:bidi="he-IL"/>
        </w:rPr>
        <w:t xml:space="preserve"> verse is to underscore further the integral link between circumcision and God’s pact.</w:t>
      </w:r>
      <w:r w:rsidR="00742B60">
        <w:rPr>
          <w:lang w:bidi="he-IL"/>
        </w:rPr>
        <w:t xml:space="preserve"> </w:t>
      </w:r>
      <w:r w:rsidR="00072C70">
        <w:rPr>
          <w:lang w:bidi="he-IL"/>
        </w:rPr>
        <w:t xml:space="preserve">Someone who declines circumcision </w:t>
      </w:r>
      <w:r w:rsidR="00DF74D0">
        <w:rPr>
          <w:lang w:bidi="he-IL"/>
        </w:rPr>
        <w:t>forfeits his place in his people</w:t>
      </w:r>
      <w:r w:rsidR="00742B60">
        <w:rPr>
          <w:lang w:bidi="he-IL"/>
        </w:rPr>
        <w:t>. Maybe his relatives are expected to throw him out or maybe the verse is a warning that God will do so (</w:t>
      </w:r>
      <w:r>
        <w:rPr>
          <w:lang w:bidi="he-IL"/>
        </w:rPr>
        <w:t xml:space="preserve">again, </w:t>
      </w:r>
      <w:r w:rsidR="00742B60">
        <w:rPr>
          <w:lang w:bidi="he-IL"/>
        </w:rPr>
        <w:t>see Exod 4:24-26</w:t>
      </w:r>
      <w:r w:rsidR="00DB79E5">
        <w:rPr>
          <w:lang w:bidi="he-IL"/>
        </w:rPr>
        <w:t>; also Lev 20:3-6</w:t>
      </w:r>
      <w:r w:rsidR="00742B60">
        <w:rPr>
          <w:lang w:bidi="he-IL"/>
        </w:rPr>
        <w:t>).</w:t>
      </w:r>
      <w:r>
        <w:rPr>
          <w:lang w:bidi="he-IL"/>
        </w:rPr>
        <w:t xml:space="preserve"> </w:t>
      </w:r>
      <w:r w:rsidR="003D56BA">
        <w:rPr>
          <w:lang w:bidi="he-IL"/>
        </w:rPr>
        <w:t>“</w:t>
      </w:r>
      <w:r>
        <w:rPr>
          <w:lang w:bidi="he-IL"/>
        </w:rPr>
        <w:t>Be cut or be cut off.</w:t>
      </w:r>
      <w:r w:rsidR="003D56BA">
        <w:rPr>
          <w:lang w:bidi="he-IL"/>
        </w:rPr>
        <w:t>”</w:t>
      </w:r>
      <w:r>
        <w:rPr>
          <w:rStyle w:val="FootnoteReference"/>
          <w:lang w:bidi="he-IL"/>
        </w:rPr>
        <w:footnoteReference w:id="352"/>
      </w:r>
      <w:r w:rsidR="00DA45E0">
        <w:rPr>
          <w:lang w:bidi="he-IL"/>
        </w:rPr>
        <w:t xml:space="preserve"> The</w:t>
      </w:r>
      <w:r w:rsidR="00072C70">
        <w:rPr>
          <w:lang w:bidi="he-IL"/>
        </w:rPr>
        <w:t xml:space="preserve"> ambiguity over the cutting off </w:t>
      </w:r>
      <w:r w:rsidR="00F159BF">
        <w:rPr>
          <w:lang w:bidi="he-IL"/>
        </w:rPr>
        <w:t xml:space="preserve">again suggests that the point </w:t>
      </w:r>
      <w:r w:rsidR="00072C70">
        <w:rPr>
          <w:lang w:bidi="he-IL"/>
        </w:rPr>
        <w:t>is not the sanction</w:t>
      </w:r>
      <w:r w:rsidR="009E49AD">
        <w:rPr>
          <w:lang w:bidi="he-IL"/>
        </w:rPr>
        <w:t xml:space="preserve"> but the need to avoid ever incurr</w:t>
      </w:r>
      <w:r w:rsidR="00072C70">
        <w:rPr>
          <w:lang w:bidi="he-IL"/>
        </w:rPr>
        <w:t>ing it</w:t>
      </w:r>
      <w:r w:rsidR="00F159BF">
        <w:rPr>
          <w:lang w:bidi="he-IL"/>
        </w:rPr>
        <w:t>.</w:t>
      </w:r>
    </w:p>
    <w:p w14:paraId="00F0A3DD" w14:textId="77777777" w:rsidR="00742B60" w:rsidRDefault="00742B60" w:rsidP="001437B5">
      <w:pPr>
        <w:rPr>
          <w:lang w:bidi="he-IL"/>
        </w:rPr>
      </w:pPr>
      <w:r>
        <w:rPr>
          <w:b/>
          <w:lang w:bidi="he-IL"/>
        </w:rPr>
        <w:t>17:15-</w:t>
      </w:r>
      <w:r w:rsidR="00C50FEB">
        <w:rPr>
          <w:b/>
          <w:lang w:bidi="he-IL"/>
        </w:rPr>
        <w:t>17</w:t>
      </w:r>
      <w:r>
        <w:rPr>
          <w:b/>
          <w:lang w:bidi="he-IL"/>
        </w:rPr>
        <w:t>.</w:t>
      </w:r>
      <w:r>
        <w:rPr>
          <w:lang w:bidi="he-IL"/>
        </w:rPr>
        <w:t xml:space="preserve"> </w:t>
      </w:r>
      <w:proofErr w:type="gramStart"/>
      <w:r>
        <w:rPr>
          <w:lang w:bidi="he-IL"/>
        </w:rPr>
        <w:t>Further</w:t>
      </w:r>
      <w:proofErr w:type="gramEnd"/>
      <w:r>
        <w:rPr>
          <w:lang w:bidi="he-IL"/>
        </w:rPr>
        <w:t xml:space="preserve"> revelations follow. </w:t>
      </w:r>
      <w:r w:rsidR="0092000A">
        <w:rPr>
          <w:lang w:bidi="he-IL"/>
        </w:rPr>
        <w:t xml:space="preserve">Abraham is not the only person to have a new name. As </w:t>
      </w:r>
      <w:r w:rsidR="001F6192">
        <w:rPr>
          <w:lang w:bidi="he-IL"/>
        </w:rPr>
        <w:t xml:space="preserve">with Abraham, it is </w:t>
      </w:r>
      <w:r w:rsidR="0092000A">
        <w:rPr>
          <w:lang w:bidi="he-IL"/>
        </w:rPr>
        <w:t xml:space="preserve">the </w:t>
      </w:r>
      <w:r w:rsidR="001F6192">
        <w:rPr>
          <w:lang w:bidi="he-IL"/>
        </w:rPr>
        <w:t xml:space="preserve">actual </w:t>
      </w:r>
      <w:r w:rsidR="0092000A">
        <w:rPr>
          <w:lang w:bidi="he-IL"/>
        </w:rPr>
        <w:t xml:space="preserve">move from Śāray to </w:t>
      </w:r>
      <w:proofErr w:type="gramStart"/>
      <w:r w:rsidR="0092000A">
        <w:rPr>
          <w:lang w:bidi="he-IL"/>
        </w:rPr>
        <w:t>Śārāh</w:t>
      </w:r>
      <w:proofErr w:type="gramEnd"/>
      <w:r w:rsidR="0092000A">
        <w:rPr>
          <w:lang w:bidi="he-IL"/>
        </w:rPr>
        <w:t xml:space="preserve"> that is significant</w:t>
      </w:r>
      <w:r w:rsidR="000265C2">
        <w:rPr>
          <w:lang w:bidi="he-IL"/>
        </w:rPr>
        <w:t>,</w:t>
      </w:r>
      <w:r w:rsidR="001F6192">
        <w:rPr>
          <w:lang w:bidi="he-IL"/>
        </w:rPr>
        <w:t xml:space="preserve"> rather than a meaning attaching</w:t>
      </w:r>
      <w:r w:rsidR="0092000A">
        <w:rPr>
          <w:lang w:bidi="he-IL"/>
        </w:rPr>
        <w:t xml:space="preserve"> to the names; likely both mean </w:t>
      </w:r>
      <w:r w:rsidR="003D56BA">
        <w:rPr>
          <w:lang w:bidi="he-IL"/>
        </w:rPr>
        <w:t>“</w:t>
      </w:r>
      <w:r w:rsidR="0092000A">
        <w:rPr>
          <w:lang w:bidi="he-IL"/>
        </w:rPr>
        <w:t>queen,</w:t>
      </w:r>
      <w:r w:rsidR="003D56BA">
        <w:rPr>
          <w:lang w:bidi="he-IL"/>
        </w:rPr>
        <w:t>”</w:t>
      </w:r>
      <w:r w:rsidR="0092000A">
        <w:rPr>
          <w:lang w:bidi="he-IL"/>
        </w:rPr>
        <w:t xml:space="preserve"> but Genesis does not refer to the fact.</w:t>
      </w:r>
      <w:r w:rsidR="000265C2">
        <w:rPr>
          <w:lang w:bidi="he-IL"/>
        </w:rPr>
        <w:t xml:space="preserve"> Giving Sarai a new name would al</w:t>
      </w:r>
      <w:r w:rsidR="001F6192">
        <w:rPr>
          <w:lang w:bidi="he-IL"/>
        </w:rPr>
        <w:t>so point to her being</w:t>
      </w:r>
      <w:r w:rsidR="000265C2">
        <w:rPr>
          <w:lang w:bidi="he-IL"/>
        </w:rPr>
        <w:t xml:space="preserve"> within this new pact, even if she does not recei</w:t>
      </w:r>
      <w:r w:rsidR="001F6192">
        <w:rPr>
          <w:lang w:bidi="he-IL"/>
        </w:rPr>
        <w:t>ve the physical sign of it</w:t>
      </w:r>
      <w:r w:rsidR="000265C2">
        <w:rPr>
          <w:lang w:bidi="he-IL"/>
        </w:rPr>
        <w:t xml:space="preserve">. </w:t>
      </w:r>
    </w:p>
    <w:p w14:paraId="2ACAF7AE" w14:textId="77777777" w:rsidR="0092000A" w:rsidRDefault="001F6192" w:rsidP="001437B5">
      <w:pPr>
        <w:rPr>
          <w:lang w:bidi="he-IL"/>
        </w:rPr>
      </w:pPr>
      <w:r>
        <w:rPr>
          <w:lang w:bidi="he-IL"/>
        </w:rPr>
        <w:t>T</w:t>
      </w:r>
      <w:r w:rsidR="0092000A">
        <w:rPr>
          <w:lang w:bidi="he-IL"/>
        </w:rPr>
        <w:t>he promise of blessing follows (v. 16), another no</w:t>
      </w:r>
      <w:r>
        <w:rPr>
          <w:lang w:bidi="he-IL"/>
        </w:rPr>
        <w:t>te taken up from 1:28 and 12:2. I</w:t>
      </w:r>
      <w:r w:rsidR="009E49AD">
        <w:rPr>
          <w:lang w:bidi="he-IL"/>
        </w:rPr>
        <w:t>t is not surprising to find</w:t>
      </w:r>
      <w:r w:rsidR="0092000A">
        <w:rPr>
          <w:lang w:bidi="he-IL"/>
        </w:rPr>
        <w:t xml:space="preserve"> it spelled out in terms of the gi</w:t>
      </w:r>
      <w:r w:rsidR="009E49AD">
        <w:rPr>
          <w:lang w:bidi="he-IL"/>
        </w:rPr>
        <w:t>ft of a son—yet it is surprising</w:t>
      </w:r>
      <w:r w:rsidR="0092000A">
        <w:rPr>
          <w:lang w:bidi="he-IL"/>
        </w:rPr>
        <w:t>, because we thought that the question of a son for Abraham and Sarah had been resolved in</w:t>
      </w:r>
      <w:r w:rsidR="00F9167B">
        <w:rPr>
          <w:lang w:bidi="he-IL"/>
        </w:rPr>
        <w:t xml:space="preserve"> Gen 16. The nations and king</w:t>
      </w:r>
      <w:r w:rsidR="009E49AD">
        <w:rPr>
          <w:lang w:bidi="he-IL"/>
        </w:rPr>
        <w:t>s</w:t>
      </w:r>
      <w:r w:rsidR="00F9167B">
        <w:rPr>
          <w:lang w:bidi="he-IL"/>
        </w:rPr>
        <w:t xml:space="preserve"> of</w:t>
      </w:r>
      <w:r w:rsidR="0092000A">
        <w:rPr>
          <w:lang w:bidi="he-IL"/>
        </w:rPr>
        <w:t xml:space="preserve"> which vv. 5-6 </w:t>
      </w:r>
      <w:r w:rsidR="00F9167B">
        <w:rPr>
          <w:lang w:bidi="he-IL"/>
        </w:rPr>
        <w:t xml:space="preserve">spoke </w:t>
      </w:r>
      <w:r w:rsidR="0092000A">
        <w:rPr>
          <w:lang w:bidi="he-IL"/>
        </w:rPr>
        <w:t>are to be directly her descendants, not merely indirectly so.</w:t>
      </w:r>
      <w:r w:rsidR="00F9167B">
        <w:rPr>
          <w:lang w:bidi="he-IL"/>
        </w:rPr>
        <w:t xml:space="preserve"> </w:t>
      </w:r>
    </w:p>
    <w:p w14:paraId="478C9000" w14:textId="6E97C52A" w:rsidR="00F9167B" w:rsidRPr="00742B60" w:rsidRDefault="00ED1CB1" w:rsidP="001437B5">
      <w:pPr>
        <w:rPr>
          <w:lang w:bidi="he-IL"/>
        </w:rPr>
      </w:pPr>
      <w:r>
        <w:rPr>
          <w:lang w:bidi="he-IL"/>
        </w:rPr>
        <w:t xml:space="preserve">Pardonably, to Abraham (v. 17) </w:t>
      </w:r>
      <w:r w:rsidR="00F9167B">
        <w:rPr>
          <w:lang w:bidi="he-IL"/>
        </w:rPr>
        <w:t>the idea that Sarah might yet have a baby</w:t>
      </w:r>
      <w:r w:rsidR="00465757">
        <w:rPr>
          <w:lang w:bidi="he-IL"/>
        </w:rPr>
        <w:t xml:space="preserve"> </w:t>
      </w:r>
      <w:r w:rsidR="00465757" w:rsidRPr="00465757">
        <w:rPr>
          <w:lang w:bidi="he-IL"/>
        </w:rPr>
        <w:t>seems simply</w:t>
      </w:r>
      <w:r w:rsidR="00465757">
        <w:rPr>
          <w:lang w:bidi="he-IL"/>
        </w:rPr>
        <w:t xml:space="preserve"> implausible</w:t>
      </w:r>
      <w:r w:rsidR="009E49AD">
        <w:rPr>
          <w:lang w:bidi="he-IL"/>
        </w:rPr>
        <w:t>. They had</w:t>
      </w:r>
      <w:r w:rsidR="00F9167B">
        <w:rPr>
          <w:lang w:bidi="he-IL"/>
        </w:rPr>
        <w:t xml:space="preserve"> been trying for </w:t>
      </w:r>
      <w:r w:rsidR="009E49AD">
        <w:rPr>
          <w:lang w:bidi="he-IL"/>
        </w:rPr>
        <w:t>all those</w:t>
      </w:r>
      <w:r>
        <w:rPr>
          <w:lang w:bidi="he-IL"/>
        </w:rPr>
        <w:t xml:space="preserve"> years and she is ninety (4</w:t>
      </w:r>
      <w:r w:rsidR="009E49AD">
        <w:rPr>
          <w:lang w:bidi="he-IL"/>
        </w:rPr>
        <w:t xml:space="preserve">5 or 50 in our terms?). Again </w:t>
      </w:r>
      <w:r w:rsidR="009E49AD">
        <w:rPr>
          <w:lang w:bidi="he-IL"/>
        </w:rPr>
        <w:lastRenderedPageBreak/>
        <w:t>Abraham</w:t>
      </w:r>
      <w:r>
        <w:rPr>
          <w:lang w:bidi="he-IL"/>
        </w:rPr>
        <w:t xml:space="preserve"> falls on his face in awe, as in v. 3. The gravity of that </w:t>
      </w:r>
      <w:r w:rsidR="00146D83">
        <w:rPr>
          <w:lang w:bidi="he-IL"/>
        </w:rPr>
        <w:t xml:space="preserve">bodily </w:t>
      </w:r>
      <w:r>
        <w:rPr>
          <w:lang w:bidi="he-IL"/>
        </w:rPr>
        <w:t xml:space="preserve">response </w:t>
      </w:r>
      <w:r w:rsidR="00DA45E0">
        <w:rPr>
          <w:lang w:bidi="he-IL"/>
        </w:rPr>
        <w:t>might suggest</w:t>
      </w:r>
      <w:r>
        <w:rPr>
          <w:lang w:bidi="he-IL"/>
        </w:rPr>
        <w:t xml:space="preserve"> that his laugh, the first laugh in the Scriptures, is not a laugh of deris</w:t>
      </w:r>
      <w:r w:rsidR="001F6192">
        <w:rPr>
          <w:lang w:bidi="he-IL"/>
        </w:rPr>
        <w:t>ion</w:t>
      </w:r>
      <w:r w:rsidR="00146D83">
        <w:rPr>
          <w:lang w:bidi="he-IL"/>
        </w:rPr>
        <w:t>,</w:t>
      </w:r>
      <w:r>
        <w:rPr>
          <w:lang w:bidi="he-IL"/>
        </w:rPr>
        <w:t xml:space="preserve"> but a laugh of wonder like Sarah’s laugh i</w:t>
      </w:r>
      <w:r w:rsidR="00DA45E0">
        <w:rPr>
          <w:lang w:bidi="he-IL"/>
        </w:rPr>
        <w:t>n Gen 21 when the boy is born. H</w:t>
      </w:r>
      <w:r>
        <w:rPr>
          <w:lang w:bidi="he-IL"/>
        </w:rPr>
        <w:t>is questions, then, express</w:t>
      </w:r>
      <w:r w:rsidR="00146D83">
        <w:rPr>
          <w:lang w:bidi="he-IL"/>
        </w:rPr>
        <w:t xml:space="preserve"> amazement, not doubt. They are not</w:t>
      </w:r>
      <w:r>
        <w:rPr>
          <w:lang w:bidi="he-IL"/>
        </w:rPr>
        <w:t xml:space="preserve"> so different from the questions in Gen 15.</w:t>
      </w:r>
      <w:r w:rsidR="00DA45E0">
        <w:rPr>
          <w:lang w:bidi="he-IL"/>
        </w:rPr>
        <w:t xml:space="preserve"> Yet perhaps here is </w:t>
      </w:r>
      <w:r w:rsidR="00333BDB">
        <w:rPr>
          <w:lang w:bidi="he-IL"/>
        </w:rPr>
        <w:t>a difference when “</w:t>
      </w:r>
      <w:r w:rsidR="00333BDB">
        <w:rPr>
          <w:rFonts w:eastAsia="Times New Roman" w:cs="Times New Roman"/>
        </w:rPr>
        <w:t>l</w:t>
      </w:r>
      <w:r w:rsidR="00333BDB" w:rsidRPr="00333BDB">
        <w:rPr>
          <w:rFonts w:eastAsia="Times New Roman" w:cs="Times New Roman"/>
        </w:rPr>
        <w:t>aughter and the internal dialogue have displaced groveling as a response to divine presence</w:t>
      </w:r>
      <w:r w:rsidR="00DA45E0">
        <w:rPr>
          <w:rFonts w:eastAsia="Times New Roman" w:cs="Times New Roman"/>
        </w:rPr>
        <w:t>.</w:t>
      </w:r>
      <w:r w:rsidR="00333BDB">
        <w:rPr>
          <w:rFonts w:eastAsia="Times New Roman" w:cs="Times New Roman"/>
        </w:rPr>
        <w:t>”</w:t>
      </w:r>
      <w:r w:rsidR="00333BDB">
        <w:rPr>
          <w:rStyle w:val="FootnoteReference"/>
          <w:rFonts w:eastAsia="Times New Roman" w:cs="Times New Roman"/>
        </w:rPr>
        <w:footnoteReference w:id="353"/>
      </w:r>
      <w:r w:rsidR="00333BDB">
        <w:rPr>
          <w:rFonts w:eastAsia="Times New Roman" w:cs="Times New Roman"/>
        </w:rPr>
        <w:t xml:space="preserve"> </w:t>
      </w:r>
    </w:p>
    <w:p w14:paraId="767D2168" w14:textId="31134AB0" w:rsidR="00323991" w:rsidRPr="00323991" w:rsidRDefault="00C50FEB" w:rsidP="00323991">
      <w:pPr>
        <w:rPr>
          <w:lang w:bidi="he-IL"/>
        </w:rPr>
      </w:pPr>
      <w:r>
        <w:rPr>
          <w:b/>
          <w:lang w:bidi="he-IL"/>
        </w:rPr>
        <w:t>17:18</w:t>
      </w:r>
      <w:r w:rsidRPr="00C50FEB">
        <w:rPr>
          <w:b/>
          <w:lang w:bidi="he-IL"/>
        </w:rPr>
        <w:t xml:space="preserve">-22. </w:t>
      </w:r>
      <w:r w:rsidR="00DA45E0">
        <w:rPr>
          <w:lang w:bidi="he-IL"/>
        </w:rPr>
        <w:t>W</w:t>
      </w:r>
      <w:r>
        <w:rPr>
          <w:lang w:bidi="he-IL"/>
        </w:rPr>
        <w:t>hat about Ishmael</w:t>
      </w:r>
      <w:r w:rsidR="00323991">
        <w:rPr>
          <w:lang w:bidi="he-IL"/>
        </w:rPr>
        <w:t>? U</w:t>
      </w:r>
      <w:r w:rsidR="00323991" w:rsidRPr="00323991">
        <w:rPr>
          <w:lang w:bidi="he-IL"/>
        </w:rPr>
        <w:t>nlike</w:t>
      </w:r>
      <w:r w:rsidR="00DA45E0">
        <w:rPr>
          <w:lang w:bidi="he-IL"/>
        </w:rPr>
        <w:t xml:space="preserve"> a Western read</w:t>
      </w:r>
      <w:r w:rsidR="00323991">
        <w:rPr>
          <w:lang w:bidi="he-IL"/>
        </w:rPr>
        <w:t>er, Abraham does</w:t>
      </w:r>
      <w:r w:rsidR="00323991" w:rsidRPr="00323991">
        <w:rPr>
          <w:lang w:bidi="he-IL"/>
        </w:rPr>
        <w:t xml:space="preserve"> not ask fo</w:t>
      </w:r>
      <w:r w:rsidR="00323991">
        <w:rPr>
          <w:lang w:bidi="he-IL"/>
        </w:rPr>
        <w:t xml:space="preserve">r </w:t>
      </w:r>
      <w:r w:rsidR="00146D83">
        <w:rPr>
          <w:lang w:bidi="he-IL"/>
        </w:rPr>
        <w:t xml:space="preserve">the </w:t>
      </w:r>
      <w:r w:rsidR="00323991">
        <w:rPr>
          <w:lang w:bidi="he-IL"/>
        </w:rPr>
        <w:t>reasons</w:t>
      </w:r>
      <w:r w:rsidR="00146D83">
        <w:rPr>
          <w:lang w:bidi="he-IL"/>
        </w:rPr>
        <w:t xml:space="preserve"> for God’s action</w:t>
      </w:r>
      <w:r w:rsidR="00323991">
        <w:rPr>
          <w:lang w:bidi="he-IL"/>
        </w:rPr>
        <w:t xml:space="preserve">. He just says </w:t>
      </w:r>
      <w:r w:rsidR="003D56BA">
        <w:rPr>
          <w:lang w:bidi="he-IL"/>
        </w:rPr>
        <w:t>“</w:t>
      </w:r>
      <w:r w:rsidR="00323991">
        <w:rPr>
          <w:lang w:bidi="he-IL"/>
        </w:rPr>
        <w:t>If only….</w:t>
      </w:r>
      <w:r w:rsidR="003D56BA">
        <w:rPr>
          <w:lang w:bidi="he-IL"/>
        </w:rPr>
        <w:t>”</w:t>
      </w:r>
      <w:r w:rsidR="00323991">
        <w:rPr>
          <w:lang w:bidi="he-IL"/>
        </w:rPr>
        <w:t xml:space="preserve"> </w:t>
      </w:r>
      <w:r w:rsidR="00323991" w:rsidRPr="00323991">
        <w:rPr>
          <w:lang w:bidi="he-IL"/>
        </w:rPr>
        <w:t>(</w:t>
      </w:r>
      <w:proofErr w:type="gramStart"/>
      <w:r w:rsidR="00323991" w:rsidRPr="00323991">
        <w:rPr>
          <w:i/>
          <w:lang w:bidi="he-IL"/>
        </w:rPr>
        <w:t>lû</w:t>
      </w:r>
      <w:proofErr w:type="gramEnd"/>
      <w:r w:rsidR="00323991" w:rsidRPr="00323991">
        <w:rPr>
          <w:lang w:bidi="he-IL"/>
        </w:rPr>
        <w:t>)</w:t>
      </w:r>
      <w:r w:rsidR="00323991">
        <w:rPr>
          <w:lang w:bidi="he-IL"/>
        </w:rPr>
        <w:t>.</w:t>
      </w:r>
      <w:r w:rsidR="00323991" w:rsidRPr="00323991">
        <w:rPr>
          <w:i/>
          <w:lang w:bidi="he-IL"/>
        </w:rPr>
        <w:t xml:space="preserve"> </w:t>
      </w:r>
      <w:r w:rsidR="003D56BA">
        <w:rPr>
          <w:lang w:bidi="he-IL"/>
        </w:rPr>
        <w:t>“</w:t>
      </w:r>
      <w:r w:rsidR="00323991" w:rsidRPr="00323991">
        <w:rPr>
          <w:lang w:bidi="he-IL"/>
        </w:rPr>
        <w:t>If only</w:t>
      </w:r>
      <w:r w:rsidR="003D56BA">
        <w:rPr>
          <w:lang w:bidi="he-IL"/>
        </w:rPr>
        <w:t>”</w:t>
      </w:r>
      <w:r w:rsidR="00323991" w:rsidRPr="00323991">
        <w:rPr>
          <w:lang w:bidi="he-IL"/>
        </w:rPr>
        <w:t xml:space="preserve"> usually applies to the past; this </w:t>
      </w:r>
      <w:r w:rsidR="003D56BA">
        <w:rPr>
          <w:lang w:bidi="he-IL"/>
        </w:rPr>
        <w:t>“</w:t>
      </w:r>
      <w:r w:rsidR="00323991" w:rsidRPr="00323991">
        <w:rPr>
          <w:lang w:bidi="he-IL"/>
        </w:rPr>
        <w:t>if only</w:t>
      </w:r>
      <w:r w:rsidR="003D56BA">
        <w:rPr>
          <w:lang w:bidi="he-IL"/>
        </w:rPr>
        <w:t>”</w:t>
      </w:r>
      <w:r w:rsidR="00323991" w:rsidRPr="00323991">
        <w:rPr>
          <w:lang w:bidi="he-IL"/>
        </w:rPr>
        <w:t xml:space="preserve"> is the only one in the Scriptures </w:t>
      </w:r>
      <w:r w:rsidR="00323991">
        <w:rPr>
          <w:lang w:bidi="he-IL"/>
        </w:rPr>
        <w:t>addressed to God and</w:t>
      </w:r>
      <w:r w:rsidR="00323991" w:rsidRPr="00323991">
        <w:rPr>
          <w:lang w:bidi="he-IL"/>
        </w:rPr>
        <w:t xml:space="preserve"> </w:t>
      </w:r>
      <w:r w:rsidR="00DA45E0">
        <w:rPr>
          <w:lang w:bidi="he-IL"/>
        </w:rPr>
        <w:t>relating</w:t>
      </w:r>
      <w:r w:rsidR="00323991" w:rsidRPr="00323991">
        <w:rPr>
          <w:lang w:bidi="he-IL"/>
        </w:rPr>
        <w:t xml:space="preserve"> to the future. </w:t>
      </w:r>
      <w:r w:rsidR="00323991">
        <w:rPr>
          <w:lang w:bidi="he-IL"/>
        </w:rPr>
        <w:t>I</w:t>
      </w:r>
      <w:r w:rsidR="00323991" w:rsidRPr="00323991">
        <w:rPr>
          <w:lang w:bidi="he-IL"/>
        </w:rPr>
        <w:t xml:space="preserve">t is a </w:t>
      </w:r>
      <w:r w:rsidR="00323991">
        <w:rPr>
          <w:lang w:bidi="he-IL"/>
        </w:rPr>
        <w:t xml:space="preserve">kind of </w:t>
      </w:r>
      <w:r w:rsidR="00323991" w:rsidRPr="00323991">
        <w:rPr>
          <w:lang w:bidi="he-IL"/>
        </w:rPr>
        <w:t xml:space="preserve">prayer, </w:t>
      </w:r>
      <w:r w:rsidR="00323991">
        <w:rPr>
          <w:lang w:bidi="he-IL"/>
        </w:rPr>
        <w:t xml:space="preserve">then, </w:t>
      </w:r>
      <w:r w:rsidR="00323991" w:rsidRPr="00323991">
        <w:rPr>
          <w:lang w:bidi="he-IL"/>
        </w:rPr>
        <w:t xml:space="preserve">and Abraham </w:t>
      </w:r>
      <w:r w:rsidR="00146D83">
        <w:rPr>
          <w:lang w:bidi="he-IL"/>
        </w:rPr>
        <w:t>is someone who knows how to pray; he</w:t>
      </w:r>
      <w:r w:rsidR="00323991" w:rsidRPr="00323991">
        <w:rPr>
          <w:lang w:bidi="he-IL"/>
        </w:rPr>
        <w:t xml:space="preserve"> will do so quite productively in Gen 18.</w:t>
      </w:r>
      <w:r w:rsidR="00A77882">
        <w:rPr>
          <w:lang w:bidi="he-IL"/>
        </w:rPr>
        <w:t xml:space="preserve"> </w:t>
      </w:r>
      <w:r w:rsidR="003D56BA">
        <w:rPr>
          <w:lang w:bidi="he-IL"/>
        </w:rPr>
        <w:t>“</w:t>
      </w:r>
      <w:r w:rsidR="00A77882">
        <w:rPr>
          <w:lang w:bidi="he-IL"/>
        </w:rPr>
        <w:t>Living before you</w:t>
      </w:r>
      <w:r w:rsidR="003D56BA">
        <w:rPr>
          <w:lang w:bidi="he-IL"/>
        </w:rPr>
        <w:t>”</w:t>
      </w:r>
      <w:r w:rsidR="00A77882">
        <w:rPr>
          <w:lang w:bidi="he-IL"/>
        </w:rPr>
        <w:t xml:space="preserve"> suggests enjoying life somewhere where </w:t>
      </w:r>
      <w:r w:rsidR="003D56BA">
        <w:rPr>
          <w:lang w:bidi="he-IL"/>
        </w:rPr>
        <w:t>“</w:t>
      </w:r>
      <w:r w:rsidR="00A77882">
        <w:rPr>
          <w:lang w:bidi="he-IL"/>
        </w:rPr>
        <w:t>you</w:t>
      </w:r>
      <w:r w:rsidR="003D56BA">
        <w:rPr>
          <w:lang w:bidi="he-IL"/>
        </w:rPr>
        <w:t>”</w:t>
      </w:r>
      <w:r w:rsidR="00A77882">
        <w:rPr>
          <w:lang w:bidi="he-IL"/>
        </w:rPr>
        <w:t xml:space="preserve"> are looking and smiling and providing. In v. 1 God had said, </w:t>
      </w:r>
      <w:r w:rsidR="003D56BA">
        <w:rPr>
          <w:lang w:bidi="he-IL"/>
        </w:rPr>
        <w:t>“</w:t>
      </w:r>
      <w:r w:rsidR="00A77882">
        <w:rPr>
          <w:lang w:bidi="he-IL"/>
        </w:rPr>
        <w:t xml:space="preserve">Walk </w:t>
      </w:r>
      <w:r w:rsidR="00146D83">
        <w:rPr>
          <w:lang w:bidi="he-IL"/>
        </w:rPr>
        <w:t xml:space="preserve">about </w:t>
      </w:r>
      <w:r w:rsidR="00A77882">
        <w:rPr>
          <w:lang w:bidi="he-IL"/>
        </w:rPr>
        <w:t>before me</w:t>
      </w:r>
      <w:r w:rsidR="003D56BA">
        <w:rPr>
          <w:lang w:bidi="he-IL"/>
        </w:rPr>
        <w:t>”</w:t>
      </w:r>
      <w:r w:rsidR="00A77882">
        <w:rPr>
          <w:lang w:bidi="he-IL"/>
        </w:rPr>
        <w:t>; Abraham asks that something of this kind such apply to Ishmael.</w:t>
      </w:r>
    </w:p>
    <w:p w14:paraId="39778D5D" w14:textId="4EE0D083" w:rsidR="00323991" w:rsidRPr="00812134" w:rsidRDefault="00323991" w:rsidP="00323991">
      <w:pPr>
        <w:rPr>
          <w:lang w:bidi="he-IL"/>
        </w:rPr>
      </w:pPr>
      <w:r>
        <w:rPr>
          <w:lang w:bidi="he-IL"/>
        </w:rPr>
        <w:t>God reacts</w:t>
      </w:r>
      <w:r w:rsidR="00465757">
        <w:rPr>
          <w:lang w:bidi="he-IL"/>
        </w:rPr>
        <w:t xml:space="preserve"> </w:t>
      </w:r>
      <w:r w:rsidR="00812134">
        <w:rPr>
          <w:lang w:bidi="he-IL"/>
        </w:rPr>
        <w:t xml:space="preserve">to Abraham’s plea </w:t>
      </w:r>
      <w:r w:rsidR="00C50FEB">
        <w:rPr>
          <w:lang w:bidi="he-IL"/>
        </w:rPr>
        <w:t xml:space="preserve">(v. 19) first </w:t>
      </w:r>
      <w:r w:rsidR="00465757">
        <w:rPr>
          <w:lang w:bidi="he-IL"/>
        </w:rPr>
        <w:t>with a resta</w:t>
      </w:r>
      <w:r w:rsidR="009230C3">
        <w:rPr>
          <w:lang w:bidi="he-IL"/>
        </w:rPr>
        <w:t>tement of the</w:t>
      </w:r>
      <w:r w:rsidR="00C50FEB">
        <w:rPr>
          <w:lang w:bidi="he-IL"/>
        </w:rPr>
        <w:t xml:space="preserve"> intention</w:t>
      </w:r>
      <w:r w:rsidR="009230C3">
        <w:rPr>
          <w:lang w:bidi="he-IL"/>
        </w:rPr>
        <w:t xml:space="preserve"> he announced in v. 16</w:t>
      </w:r>
      <w:r w:rsidR="00812134">
        <w:rPr>
          <w:lang w:bidi="he-IL"/>
        </w:rPr>
        <w:t xml:space="preserve">. </w:t>
      </w:r>
      <w:r w:rsidR="001F6192">
        <w:rPr>
          <w:lang w:bidi="he-IL"/>
        </w:rPr>
        <w:t>H</w:t>
      </w:r>
      <w:r w:rsidR="00146D83">
        <w:rPr>
          <w:lang w:bidi="he-IL"/>
        </w:rPr>
        <w:t xml:space="preserve">e </w:t>
      </w:r>
      <w:r>
        <w:rPr>
          <w:lang w:bidi="he-IL"/>
        </w:rPr>
        <w:t>does not tell Abraham</w:t>
      </w:r>
      <w:r w:rsidR="009230C3">
        <w:rPr>
          <w:lang w:bidi="he-IL"/>
        </w:rPr>
        <w:t xml:space="preserve"> why he proposes</w:t>
      </w:r>
      <w:r w:rsidRPr="00323991">
        <w:rPr>
          <w:lang w:bidi="he-IL"/>
        </w:rPr>
        <w:t xml:space="preserve"> to operate in the way he does. </w:t>
      </w:r>
      <w:r w:rsidR="00146D83">
        <w:rPr>
          <w:lang w:bidi="he-IL"/>
        </w:rPr>
        <w:t>Perhaps we are to infer that he</w:t>
      </w:r>
      <w:r w:rsidR="009230C3">
        <w:rPr>
          <w:lang w:bidi="he-IL"/>
        </w:rPr>
        <w:t xml:space="preserve"> had</w:t>
      </w:r>
      <w:r w:rsidR="001F6192">
        <w:rPr>
          <w:lang w:bidi="he-IL"/>
        </w:rPr>
        <w:t xml:space="preserve"> never</w:t>
      </w:r>
      <w:r w:rsidRPr="00323991">
        <w:rPr>
          <w:lang w:bidi="he-IL"/>
        </w:rPr>
        <w:t xml:space="preserve"> accept</w:t>
      </w:r>
      <w:r w:rsidR="009230C3">
        <w:rPr>
          <w:lang w:bidi="he-IL"/>
        </w:rPr>
        <w:t>ed</w:t>
      </w:r>
      <w:r w:rsidRPr="00323991">
        <w:rPr>
          <w:lang w:bidi="he-IL"/>
        </w:rPr>
        <w:t xml:space="preserve"> Sarah’s way o</w:t>
      </w:r>
      <w:r w:rsidR="00146D83">
        <w:rPr>
          <w:lang w:bidi="he-IL"/>
        </w:rPr>
        <w:t>f seeking to make sure that hi</w:t>
      </w:r>
      <w:r w:rsidRPr="00323991">
        <w:rPr>
          <w:lang w:bidi="he-IL"/>
        </w:rPr>
        <w:t>s promis</w:t>
      </w:r>
      <w:r w:rsidR="00146D83">
        <w:rPr>
          <w:lang w:bidi="he-IL"/>
        </w:rPr>
        <w:t xml:space="preserve">e found fulfillment and </w:t>
      </w:r>
      <w:r w:rsidR="009230C3">
        <w:rPr>
          <w:lang w:bidi="he-IL"/>
        </w:rPr>
        <w:t xml:space="preserve">that he </w:t>
      </w:r>
      <w:r w:rsidR="00146D83">
        <w:rPr>
          <w:lang w:bidi="he-IL"/>
        </w:rPr>
        <w:t>insists</w:t>
      </w:r>
      <w:r w:rsidRPr="00323991">
        <w:rPr>
          <w:lang w:bidi="he-IL"/>
        </w:rPr>
        <w:t xml:space="preserve"> on using his own</w:t>
      </w:r>
      <w:r w:rsidR="001F6192">
        <w:rPr>
          <w:lang w:bidi="he-IL"/>
        </w:rPr>
        <w:t xml:space="preserve"> way, even though Gen 12—14 has </w:t>
      </w:r>
      <w:r w:rsidR="009230C3">
        <w:rPr>
          <w:lang w:bidi="he-IL"/>
        </w:rPr>
        <w:t>told us stories of where he wa</w:t>
      </w:r>
      <w:r w:rsidRPr="00323991">
        <w:rPr>
          <w:lang w:bidi="he-IL"/>
        </w:rPr>
        <w:t>s prepared to work via human initiatives.</w:t>
      </w:r>
      <w:r>
        <w:rPr>
          <w:lang w:bidi="he-IL"/>
        </w:rPr>
        <w:t xml:space="preserve"> But he does not say. Instead he both expands on what he said before and indicates further that his mind is made up</w:t>
      </w:r>
      <w:r w:rsidR="00DA45E0">
        <w:rPr>
          <w:lang w:bidi="he-IL"/>
        </w:rPr>
        <w:t>,</w:t>
      </w:r>
      <w:r>
        <w:rPr>
          <w:lang w:bidi="he-IL"/>
        </w:rPr>
        <w:t xml:space="preserve"> by telling Abraham what his son</w:t>
      </w:r>
      <w:r w:rsidR="003C47A3">
        <w:rPr>
          <w:lang w:bidi="he-IL"/>
        </w:rPr>
        <w:t>’</w:t>
      </w:r>
      <w:r>
        <w:rPr>
          <w:lang w:bidi="he-IL"/>
        </w:rPr>
        <w:t xml:space="preserve">s name is to be. </w:t>
      </w:r>
      <w:r w:rsidR="001F6192">
        <w:rPr>
          <w:lang w:bidi="he-IL"/>
        </w:rPr>
        <w:t>Actually</w:t>
      </w:r>
      <w:r w:rsidR="003C47A3">
        <w:rPr>
          <w:lang w:bidi="he-IL"/>
        </w:rPr>
        <w:t xml:space="preserve"> it seems that Abr</w:t>
      </w:r>
      <w:r w:rsidR="001F6192">
        <w:rPr>
          <w:lang w:bidi="he-IL"/>
        </w:rPr>
        <w:t>aham has suggested</w:t>
      </w:r>
      <w:r w:rsidR="009230C3">
        <w:rPr>
          <w:lang w:bidi="he-IL"/>
        </w:rPr>
        <w:t xml:space="preserve"> the boy’s name for him</w:t>
      </w:r>
      <w:r w:rsidR="003C47A3">
        <w:rPr>
          <w:lang w:bidi="he-IL"/>
        </w:rPr>
        <w:t xml:space="preserve">. </w:t>
      </w:r>
      <w:r w:rsidR="003D56BA">
        <w:rPr>
          <w:lang w:bidi="he-IL"/>
        </w:rPr>
        <w:t>“</w:t>
      </w:r>
      <w:r w:rsidR="003C47A3">
        <w:rPr>
          <w:lang w:bidi="he-IL"/>
        </w:rPr>
        <w:t>Laughed</w:t>
      </w:r>
      <w:r w:rsidR="003D56BA">
        <w:rPr>
          <w:lang w:bidi="he-IL"/>
        </w:rPr>
        <w:t>”</w:t>
      </w:r>
      <w:r w:rsidR="003C47A3">
        <w:rPr>
          <w:lang w:bidi="he-IL"/>
        </w:rPr>
        <w:t xml:space="preserve"> in v. 17 was </w:t>
      </w:r>
      <w:r w:rsidR="003C47A3" w:rsidRPr="003C47A3">
        <w:rPr>
          <w:i/>
          <w:lang w:val="en-GB" w:bidi="he-IL"/>
        </w:rPr>
        <w:t>yiṣḥāq</w:t>
      </w:r>
      <w:r w:rsidR="003C47A3">
        <w:rPr>
          <w:lang w:val="en-GB" w:bidi="he-IL"/>
        </w:rPr>
        <w:t xml:space="preserve">; exactly that word will be the boy’s name. </w:t>
      </w:r>
      <w:r w:rsidR="00146D83">
        <w:rPr>
          <w:lang w:val="en-GB" w:bidi="he-IL"/>
        </w:rPr>
        <w:t>I</w:t>
      </w:r>
      <w:r w:rsidR="00523182">
        <w:rPr>
          <w:lang w:val="en-GB" w:bidi="he-IL"/>
        </w:rPr>
        <w:t xml:space="preserve">n itself </w:t>
      </w:r>
      <w:r w:rsidR="00146D83">
        <w:rPr>
          <w:lang w:val="en-GB" w:bidi="he-IL"/>
        </w:rPr>
        <w:t xml:space="preserve">(without the </w:t>
      </w:r>
      <w:r w:rsidR="00146D83">
        <w:rPr>
          <w:i/>
          <w:lang w:val="en-GB" w:bidi="he-IL"/>
        </w:rPr>
        <w:t xml:space="preserve">waw </w:t>
      </w:r>
      <w:r w:rsidR="00146D83">
        <w:rPr>
          <w:lang w:val="en-GB" w:bidi="he-IL"/>
        </w:rPr>
        <w:t xml:space="preserve">consecutive) </w:t>
      </w:r>
      <w:r w:rsidR="00523182">
        <w:rPr>
          <w:lang w:val="en-GB" w:bidi="he-IL"/>
        </w:rPr>
        <w:t xml:space="preserve">its implication would be </w:t>
      </w:r>
      <w:r w:rsidR="003D56BA">
        <w:rPr>
          <w:lang w:val="en-GB" w:bidi="he-IL"/>
        </w:rPr>
        <w:t>“</w:t>
      </w:r>
      <w:r w:rsidR="00523182">
        <w:rPr>
          <w:lang w:val="en-GB" w:bidi="he-IL"/>
        </w:rPr>
        <w:t>May he laugh</w:t>
      </w:r>
      <w:r w:rsidR="001D7539">
        <w:rPr>
          <w:lang w:val="en-GB" w:bidi="he-IL"/>
        </w:rPr>
        <w:t>.</w:t>
      </w:r>
      <w:r w:rsidR="003D56BA">
        <w:rPr>
          <w:lang w:val="en-GB" w:bidi="he-IL"/>
        </w:rPr>
        <w:t>”</w:t>
      </w:r>
      <w:r w:rsidR="001D7539">
        <w:rPr>
          <w:lang w:val="en-GB" w:bidi="he-IL"/>
        </w:rPr>
        <w:t xml:space="preserve"> The name does not make explicit the identity of </w:t>
      </w:r>
      <w:r w:rsidR="00523182">
        <w:rPr>
          <w:lang w:val="en-GB" w:bidi="he-IL"/>
        </w:rPr>
        <w:t xml:space="preserve">the </w:t>
      </w:r>
      <w:r w:rsidR="003D56BA">
        <w:rPr>
          <w:lang w:val="en-GB" w:bidi="he-IL"/>
        </w:rPr>
        <w:t>“</w:t>
      </w:r>
      <w:r w:rsidR="00523182">
        <w:rPr>
          <w:lang w:val="en-GB" w:bidi="he-IL"/>
        </w:rPr>
        <w:t>he</w:t>
      </w:r>
      <w:r w:rsidR="003D56BA">
        <w:rPr>
          <w:lang w:val="en-GB" w:bidi="he-IL"/>
        </w:rPr>
        <w:t>”</w:t>
      </w:r>
      <w:r w:rsidR="00146D83">
        <w:rPr>
          <w:lang w:val="en-GB" w:bidi="he-IL"/>
        </w:rPr>
        <w:t xml:space="preserve"> (</w:t>
      </w:r>
      <w:r w:rsidR="001F6192">
        <w:rPr>
          <w:lang w:val="en-GB" w:bidi="he-IL"/>
        </w:rPr>
        <w:t>like</w:t>
      </w:r>
      <w:r w:rsidR="001D7539">
        <w:rPr>
          <w:lang w:val="en-GB" w:bidi="he-IL"/>
        </w:rPr>
        <w:t xml:space="preserve"> the name Ishmael</w:t>
      </w:r>
      <w:r w:rsidR="001F6192">
        <w:rPr>
          <w:lang w:val="en-GB" w:bidi="he-IL"/>
        </w:rPr>
        <w:t>, “God listens”</w:t>
      </w:r>
      <w:r w:rsidR="001D7539">
        <w:rPr>
          <w:lang w:val="en-GB" w:bidi="he-IL"/>
        </w:rPr>
        <w:t>)</w:t>
      </w:r>
      <w:r w:rsidR="009230C3">
        <w:rPr>
          <w:lang w:val="en-GB" w:bidi="he-IL"/>
        </w:rPr>
        <w:t>, and it could designate</w:t>
      </w:r>
      <w:r w:rsidR="00146D83">
        <w:rPr>
          <w:lang w:val="en-GB" w:bidi="he-IL"/>
        </w:rPr>
        <w:t xml:space="preserve"> the boy </w:t>
      </w:r>
      <w:r w:rsidR="009230C3">
        <w:rPr>
          <w:lang w:val="en-GB" w:bidi="he-IL"/>
        </w:rPr>
        <w:t>as one who laughs (compare the explanation of</w:t>
      </w:r>
      <w:r w:rsidR="00203D86">
        <w:rPr>
          <w:lang w:val="en-GB" w:bidi="he-IL"/>
        </w:rPr>
        <w:t xml:space="preserve"> the name Jacob)</w:t>
      </w:r>
      <w:r w:rsidR="009230C3">
        <w:rPr>
          <w:lang w:val="en-GB" w:bidi="he-IL"/>
        </w:rPr>
        <w:t>,</w:t>
      </w:r>
      <w:r w:rsidR="00203D86">
        <w:rPr>
          <w:lang w:val="en-GB" w:bidi="he-IL"/>
        </w:rPr>
        <w:t xml:space="preserve"> but in origin </w:t>
      </w:r>
      <w:r w:rsidR="009230C3">
        <w:rPr>
          <w:lang w:val="en-GB" w:bidi="he-IL"/>
        </w:rPr>
        <w:t>it would likely refer to God</w:t>
      </w:r>
      <w:r w:rsidR="001F6192">
        <w:rPr>
          <w:lang w:val="en-GB" w:bidi="he-IL"/>
        </w:rPr>
        <w:t xml:space="preserve"> (like</w:t>
      </w:r>
      <w:r w:rsidR="00146D83">
        <w:rPr>
          <w:lang w:val="en-GB" w:bidi="he-IL"/>
        </w:rPr>
        <w:t xml:space="preserve"> the name Joseph). The name speaks</w:t>
      </w:r>
      <w:r w:rsidR="00203D86">
        <w:rPr>
          <w:lang w:val="en-GB" w:bidi="he-IL"/>
        </w:rPr>
        <w:t xml:space="preserve"> </w:t>
      </w:r>
      <w:r w:rsidR="009230C3">
        <w:rPr>
          <w:lang w:val="en-GB" w:bidi="he-IL"/>
        </w:rPr>
        <w:t>of God’s smiling on</w:t>
      </w:r>
      <w:r w:rsidR="00146D83">
        <w:rPr>
          <w:lang w:val="en-GB" w:bidi="he-IL"/>
        </w:rPr>
        <w:t xml:space="preserve"> Isaac,</w:t>
      </w:r>
      <w:r w:rsidR="009230C3">
        <w:rPr>
          <w:lang w:val="en-GB" w:bidi="he-IL"/>
        </w:rPr>
        <w:t xml:space="preserve"> </w:t>
      </w:r>
      <w:r w:rsidR="00203D86">
        <w:rPr>
          <w:lang w:val="en-GB" w:bidi="he-IL"/>
        </w:rPr>
        <w:t xml:space="preserve">of </w:t>
      </w:r>
      <w:r w:rsidR="003D56BA">
        <w:rPr>
          <w:lang w:val="en-GB" w:bidi="he-IL"/>
        </w:rPr>
        <w:t>“</w:t>
      </w:r>
      <w:r w:rsidR="00203D86">
        <w:rPr>
          <w:lang w:val="en-GB" w:bidi="he-IL"/>
        </w:rPr>
        <w:t>the laugh, the promise and the miracle that made his birth possible.</w:t>
      </w:r>
      <w:r w:rsidR="003D56BA">
        <w:rPr>
          <w:lang w:val="en-GB" w:bidi="he-IL"/>
        </w:rPr>
        <w:t>”</w:t>
      </w:r>
      <w:r w:rsidR="00203D86">
        <w:rPr>
          <w:rStyle w:val="FootnoteReference"/>
          <w:lang w:val="en-GB" w:bidi="he-IL"/>
        </w:rPr>
        <w:footnoteReference w:id="354"/>
      </w:r>
      <w:r w:rsidR="0052142E">
        <w:rPr>
          <w:lang w:val="en-GB" w:bidi="he-IL"/>
        </w:rPr>
        <w:t xml:space="preserve"> </w:t>
      </w:r>
      <w:r w:rsidR="009230C3">
        <w:rPr>
          <w:lang w:val="en-GB" w:bidi="he-IL"/>
        </w:rPr>
        <w:t>That smile i</w:t>
      </w:r>
      <w:r w:rsidR="001F6192">
        <w:rPr>
          <w:lang w:val="en-GB" w:bidi="he-IL"/>
        </w:rPr>
        <w:t>s expressed in h</w:t>
      </w:r>
      <w:r w:rsidR="009230C3">
        <w:rPr>
          <w:lang w:val="en-GB" w:bidi="he-IL"/>
        </w:rPr>
        <w:t xml:space="preserve">is making a pact </w:t>
      </w:r>
      <w:r w:rsidR="009230C3" w:rsidRPr="009230C3">
        <w:rPr>
          <w:i/>
          <w:lang w:val="en-GB" w:bidi="he-IL"/>
        </w:rPr>
        <w:t>with</w:t>
      </w:r>
      <w:r w:rsidR="009230C3">
        <w:rPr>
          <w:lang w:val="en-GB" w:bidi="he-IL"/>
        </w:rPr>
        <w:t xml:space="preserve"> Isaac and </w:t>
      </w:r>
      <w:r w:rsidR="009230C3" w:rsidRPr="009230C3">
        <w:rPr>
          <w:i/>
          <w:lang w:val="en-GB" w:bidi="he-IL"/>
        </w:rPr>
        <w:t>for</w:t>
      </w:r>
      <w:r w:rsidR="009230C3">
        <w:rPr>
          <w:lang w:val="en-GB" w:bidi="he-IL"/>
        </w:rPr>
        <w:t xml:space="preserve"> his offspring.</w:t>
      </w:r>
      <w:r w:rsidR="009230C3">
        <w:rPr>
          <w:rStyle w:val="FootnoteReference"/>
          <w:lang w:val="en-GB" w:bidi="he-IL"/>
        </w:rPr>
        <w:footnoteReference w:id="355"/>
      </w:r>
    </w:p>
    <w:p w14:paraId="3A7708EB" w14:textId="1FCFA1DE" w:rsidR="003C47A3" w:rsidRDefault="007E30FD" w:rsidP="00B571CD">
      <w:pPr>
        <w:rPr>
          <w:lang w:val="en-GB" w:bidi="he-IL"/>
        </w:rPr>
      </w:pPr>
      <w:r>
        <w:rPr>
          <w:lang w:bidi="he-IL"/>
        </w:rPr>
        <w:t>I</w:t>
      </w:r>
      <w:r w:rsidR="003C47A3">
        <w:rPr>
          <w:lang w:val="en-GB" w:bidi="he-IL"/>
        </w:rPr>
        <w:t>t’s not that God was no</w:t>
      </w:r>
      <w:r>
        <w:rPr>
          <w:lang w:val="en-GB" w:bidi="he-IL"/>
        </w:rPr>
        <w:t xml:space="preserve">t listening to Abraham (v. 20); there follows some response to his plea. </w:t>
      </w:r>
      <w:r w:rsidR="003C47A3">
        <w:rPr>
          <w:lang w:val="en-GB" w:bidi="he-IL"/>
        </w:rPr>
        <w:t>Again God wo</w:t>
      </w:r>
      <w:r>
        <w:rPr>
          <w:lang w:val="en-GB" w:bidi="he-IL"/>
        </w:rPr>
        <w:t>rks with the significance of a</w:t>
      </w:r>
      <w:r w:rsidR="00122FC5">
        <w:rPr>
          <w:lang w:val="en-GB" w:bidi="he-IL"/>
        </w:rPr>
        <w:t xml:space="preserve"> name.</w:t>
      </w:r>
      <w:r w:rsidR="003C47A3">
        <w:rPr>
          <w:lang w:val="en-GB" w:bidi="he-IL"/>
        </w:rPr>
        <w:t xml:space="preserve"> God says, </w:t>
      </w:r>
      <w:r w:rsidR="003D56BA">
        <w:rPr>
          <w:lang w:val="en-GB" w:bidi="he-IL"/>
        </w:rPr>
        <w:t>“</w:t>
      </w:r>
      <w:r w:rsidR="00122FC5">
        <w:rPr>
          <w:lang w:val="en-GB" w:bidi="he-IL"/>
        </w:rPr>
        <w:t xml:space="preserve">As for ‘God listens,’ </w:t>
      </w:r>
      <w:r w:rsidR="003C47A3">
        <w:rPr>
          <w:lang w:val="en-GB" w:bidi="he-IL"/>
        </w:rPr>
        <w:t>I’</w:t>
      </w:r>
      <w:r w:rsidR="0027545D">
        <w:rPr>
          <w:lang w:val="en-GB" w:bidi="he-IL"/>
        </w:rPr>
        <w:t>ve listened.</w:t>
      </w:r>
      <w:r w:rsidR="003D56BA">
        <w:rPr>
          <w:lang w:val="en-GB" w:bidi="he-IL"/>
        </w:rPr>
        <w:t>”</w:t>
      </w:r>
      <w:r w:rsidR="00122FC5">
        <w:rPr>
          <w:rStyle w:val="FootnoteReference"/>
          <w:lang w:val="en-GB" w:bidi="he-IL"/>
        </w:rPr>
        <w:footnoteReference w:id="356"/>
      </w:r>
      <w:r w:rsidR="0027545D">
        <w:rPr>
          <w:lang w:val="en-GB" w:bidi="he-IL"/>
        </w:rPr>
        <w:t xml:space="preserve"> He is not merely referring back to the listening in 16:11. He has now listened to Abraham, and new promises for Ishmael issue as a result. Ishmael</w:t>
      </w:r>
      <w:r w:rsidR="003C47A3">
        <w:rPr>
          <w:lang w:val="en-GB" w:bidi="he-IL"/>
        </w:rPr>
        <w:t xml:space="preserve"> too is to be the beneficiary of a promise about blessing and fruitfulness and abundant numerousness. God makes the promise th</w:t>
      </w:r>
      <w:r w:rsidR="001F6192">
        <w:rPr>
          <w:lang w:val="en-GB" w:bidi="he-IL"/>
        </w:rPr>
        <w:t>e more certain by speaking as if it</w:t>
      </w:r>
      <w:r w:rsidR="003C47A3">
        <w:rPr>
          <w:lang w:val="en-GB" w:bidi="he-IL"/>
        </w:rPr>
        <w:t xml:space="preserve"> has already happened, because he has said it, and therefo</w:t>
      </w:r>
      <w:r>
        <w:rPr>
          <w:lang w:val="en-GB" w:bidi="he-IL"/>
        </w:rPr>
        <w:t xml:space="preserve">re in effect it has </w:t>
      </w:r>
      <w:r w:rsidR="001F6192">
        <w:rPr>
          <w:lang w:val="en-GB" w:bidi="he-IL"/>
        </w:rPr>
        <w:t xml:space="preserve">indeed </w:t>
      </w:r>
      <w:r>
        <w:rPr>
          <w:lang w:val="en-GB" w:bidi="he-IL"/>
        </w:rPr>
        <w:t>happened. While t</w:t>
      </w:r>
      <w:r w:rsidR="003C47A3">
        <w:rPr>
          <w:lang w:val="en-GB" w:bidi="he-IL"/>
        </w:rPr>
        <w:t xml:space="preserve">he people listening to the story know that Isaac will generate twelve leaders </w:t>
      </w:r>
      <w:r>
        <w:rPr>
          <w:lang w:val="en-GB" w:bidi="he-IL"/>
        </w:rPr>
        <w:t xml:space="preserve">among his grandchildren, here God promises that </w:t>
      </w:r>
      <w:r w:rsidR="00774CF1">
        <w:rPr>
          <w:lang w:val="en-GB" w:bidi="he-IL"/>
        </w:rPr>
        <w:t>Ishmael will do so</w:t>
      </w:r>
      <w:r>
        <w:rPr>
          <w:lang w:val="en-GB" w:bidi="he-IL"/>
        </w:rPr>
        <w:t>,</w:t>
      </w:r>
      <w:r w:rsidR="001F6192">
        <w:rPr>
          <w:lang w:val="en-GB" w:bidi="he-IL"/>
        </w:rPr>
        <w:t xml:space="preserve"> too—</w:t>
      </w:r>
      <w:r w:rsidR="00774CF1">
        <w:rPr>
          <w:lang w:val="en-GB" w:bidi="he-IL"/>
        </w:rPr>
        <w:t>a generation earlier</w:t>
      </w:r>
      <w:r w:rsidR="0027545D">
        <w:rPr>
          <w:lang w:val="en-GB" w:bidi="he-IL"/>
        </w:rPr>
        <w:t xml:space="preserve"> </w:t>
      </w:r>
      <w:r w:rsidR="001F6192">
        <w:rPr>
          <w:lang w:val="en-GB" w:bidi="he-IL"/>
        </w:rPr>
        <w:t xml:space="preserve">in the story </w:t>
      </w:r>
      <w:r w:rsidR="0027545D">
        <w:rPr>
          <w:lang w:val="en-GB" w:bidi="he-IL"/>
        </w:rPr>
        <w:t>(</w:t>
      </w:r>
      <w:r w:rsidR="0027545D" w:rsidRPr="0027545D">
        <w:rPr>
          <w:lang w:val="en-GB" w:bidi="he-IL"/>
        </w:rPr>
        <w:t>25:12-18)</w:t>
      </w:r>
      <w:r w:rsidR="00774CF1">
        <w:rPr>
          <w:lang w:val="en-GB" w:bidi="he-IL"/>
        </w:rPr>
        <w:t>. He will be a big nation, as God promised Abraham (cf. 12:2).</w:t>
      </w:r>
      <w:r w:rsidR="0027545D">
        <w:rPr>
          <w:lang w:val="en-GB" w:bidi="he-IL"/>
        </w:rPr>
        <w:t xml:space="preserve"> </w:t>
      </w:r>
      <w:r w:rsidR="006201BA">
        <w:rPr>
          <w:lang w:val="en-GB" w:bidi="he-IL"/>
        </w:rPr>
        <w:t>God</w:t>
      </w:r>
      <w:r w:rsidR="00AB624C">
        <w:rPr>
          <w:lang w:val="en-GB" w:bidi="he-IL"/>
        </w:rPr>
        <w:t>’s choosing one does not mean rejecting</w:t>
      </w:r>
      <w:r w:rsidR="006201BA">
        <w:rPr>
          <w:lang w:val="en-GB" w:bidi="he-IL"/>
        </w:rPr>
        <w:t xml:space="preserve"> the other.</w:t>
      </w:r>
      <w:r w:rsidR="00B571CD">
        <w:rPr>
          <w:rStyle w:val="FootnoteReference"/>
          <w:rFonts w:ascii="Calibri" w:eastAsia="Times New Roman" w:hAnsi="Calibri" w:cs="Times New Roman"/>
          <w:szCs w:val="20"/>
          <w:lang w:val="en-GB" w:bidi="he-IL"/>
        </w:rPr>
        <w:footnoteReference w:id="357"/>
      </w:r>
    </w:p>
    <w:p w14:paraId="039DFAF0" w14:textId="49DB1C4E" w:rsidR="00192FE6" w:rsidRPr="0093077D" w:rsidRDefault="007E30FD" w:rsidP="00323991">
      <w:pPr>
        <w:rPr>
          <w:lang w:val="en-GB" w:bidi="he-IL"/>
        </w:rPr>
      </w:pPr>
      <w:r>
        <w:rPr>
          <w:lang w:val="en-GB" w:bidi="he-IL"/>
        </w:rPr>
        <w:t xml:space="preserve">But God goes on to reaffirm that </w:t>
      </w:r>
      <w:r w:rsidR="00AB624C">
        <w:rPr>
          <w:lang w:val="en-GB" w:bidi="he-IL"/>
        </w:rPr>
        <w:t>the</w:t>
      </w:r>
      <w:r w:rsidR="00F526BC">
        <w:rPr>
          <w:lang w:val="en-GB" w:bidi="he-IL"/>
        </w:rPr>
        <w:t xml:space="preserve"> reworked pact that he</w:t>
      </w:r>
      <w:r w:rsidR="00774CF1">
        <w:rPr>
          <w:lang w:val="en-GB" w:bidi="he-IL"/>
        </w:rPr>
        <w:t xml:space="preserve"> ha</w:t>
      </w:r>
      <w:r>
        <w:rPr>
          <w:lang w:val="en-GB" w:bidi="he-IL"/>
        </w:rPr>
        <w:t>s been talking about (v. 21)</w:t>
      </w:r>
      <w:r w:rsidR="00774CF1">
        <w:rPr>
          <w:lang w:val="en-GB" w:bidi="he-IL"/>
        </w:rPr>
        <w:t xml:space="preserve"> </w:t>
      </w:r>
      <w:r w:rsidR="00192FE6">
        <w:rPr>
          <w:lang w:val="en-GB" w:bidi="he-IL"/>
        </w:rPr>
        <w:t xml:space="preserve">will </w:t>
      </w:r>
      <w:r w:rsidR="00046CF5">
        <w:rPr>
          <w:lang w:val="en-GB" w:bidi="he-IL"/>
        </w:rPr>
        <w:t xml:space="preserve">indeed </w:t>
      </w:r>
      <w:r w:rsidR="00192FE6">
        <w:rPr>
          <w:lang w:val="en-GB" w:bidi="he-IL"/>
        </w:rPr>
        <w:t>belong</w:t>
      </w:r>
      <w:r w:rsidR="00774CF1">
        <w:rPr>
          <w:lang w:val="en-GB" w:bidi="he-IL"/>
        </w:rPr>
        <w:t xml:space="preserve"> to Isaac. </w:t>
      </w:r>
      <w:r>
        <w:rPr>
          <w:lang w:val="en-GB" w:bidi="he-IL"/>
        </w:rPr>
        <w:t xml:space="preserve">Maybe Abraham will eventually get it. In restating his intention once more, </w:t>
      </w:r>
      <w:r w:rsidR="00192FE6">
        <w:rPr>
          <w:lang w:val="en-GB" w:bidi="he-IL"/>
        </w:rPr>
        <w:t xml:space="preserve">God </w:t>
      </w:r>
      <w:r>
        <w:rPr>
          <w:lang w:val="en-GB" w:bidi="he-IL"/>
        </w:rPr>
        <w:t xml:space="preserve">again </w:t>
      </w:r>
      <w:r w:rsidR="00192FE6">
        <w:rPr>
          <w:lang w:val="en-GB" w:bidi="he-IL"/>
        </w:rPr>
        <w:t xml:space="preserve">leaves himself with little wiggle room. Sarah will conceive in three months’ time. Isaac will be born </w:t>
      </w:r>
      <w:r w:rsidR="0093077D">
        <w:rPr>
          <w:lang w:val="en-GB" w:bidi="he-IL"/>
        </w:rPr>
        <w:t xml:space="preserve">at this </w:t>
      </w:r>
      <w:r w:rsidR="003D56BA">
        <w:rPr>
          <w:lang w:val="en-GB" w:bidi="he-IL"/>
        </w:rPr>
        <w:t>“</w:t>
      </w:r>
      <w:r w:rsidR="0093077D">
        <w:rPr>
          <w:lang w:val="en-GB" w:bidi="he-IL"/>
        </w:rPr>
        <w:t>set time</w:t>
      </w:r>
      <w:r w:rsidR="003D56BA">
        <w:rPr>
          <w:lang w:val="en-GB" w:bidi="he-IL"/>
        </w:rPr>
        <w:t>”</w:t>
      </w:r>
      <w:r w:rsidR="0093077D">
        <w:rPr>
          <w:lang w:val="en-GB" w:bidi="he-IL"/>
        </w:rPr>
        <w:t xml:space="preserve"> (</w:t>
      </w:r>
      <w:proofErr w:type="gramStart"/>
      <w:r w:rsidR="0093077D">
        <w:rPr>
          <w:i/>
          <w:lang w:val="en-GB" w:bidi="he-IL"/>
        </w:rPr>
        <w:t>mô‘ēd</w:t>
      </w:r>
      <w:proofErr w:type="gramEnd"/>
      <w:r w:rsidR="0093077D">
        <w:rPr>
          <w:lang w:val="en-GB" w:bidi="he-IL"/>
        </w:rPr>
        <w:t>)</w:t>
      </w:r>
      <w:r w:rsidR="0093077D">
        <w:rPr>
          <w:i/>
          <w:lang w:val="en-GB" w:bidi="he-IL"/>
        </w:rPr>
        <w:t xml:space="preserve"> </w:t>
      </w:r>
      <w:r w:rsidR="0093077D">
        <w:rPr>
          <w:lang w:val="en-GB" w:bidi="he-IL"/>
        </w:rPr>
        <w:t>next year. How neat if it turns out that the appearance and the</w:t>
      </w:r>
      <w:r w:rsidR="00AB624C">
        <w:rPr>
          <w:lang w:val="en-GB" w:bidi="he-IL"/>
        </w:rPr>
        <w:t xml:space="preserve"> birth both happen at a “set time”</w:t>
      </w:r>
      <w:r w:rsidR="0093077D">
        <w:rPr>
          <w:lang w:val="en-GB" w:bidi="he-IL"/>
        </w:rPr>
        <w:t xml:space="preserve"> such as first fruits (</w:t>
      </w:r>
      <w:r w:rsidR="0093077D">
        <w:rPr>
          <w:i/>
          <w:lang w:val="en-GB" w:bidi="he-IL"/>
        </w:rPr>
        <w:t>Jub</w:t>
      </w:r>
      <w:r w:rsidR="0093077D">
        <w:rPr>
          <w:lang w:val="en-GB" w:bidi="he-IL"/>
        </w:rPr>
        <w:t xml:space="preserve"> 15 expands on this possibility)!</w:t>
      </w:r>
    </w:p>
    <w:p w14:paraId="5EB07B50" w14:textId="77777777" w:rsidR="00774CF1" w:rsidRPr="003C47A3" w:rsidRDefault="00F526BC" w:rsidP="00323991">
      <w:pPr>
        <w:rPr>
          <w:b/>
          <w:i/>
          <w:lang w:bidi="he-IL"/>
        </w:rPr>
      </w:pPr>
      <w:r>
        <w:rPr>
          <w:lang w:val="en-GB" w:bidi="he-IL"/>
        </w:rPr>
        <w:t>W</w:t>
      </w:r>
      <w:r w:rsidR="00774CF1">
        <w:rPr>
          <w:lang w:val="en-GB" w:bidi="he-IL"/>
        </w:rPr>
        <w:t>ith that, God is done (v. 22). He go</w:t>
      </w:r>
      <w:r w:rsidR="007F178A">
        <w:rPr>
          <w:lang w:val="en-GB" w:bidi="he-IL"/>
        </w:rPr>
        <w:t>es. It was a real appearing; it’s a real departure.</w:t>
      </w:r>
    </w:p>
    <w:p w14:paraId="337799C2" w14:textId="02D81BEC" w:rsidR="000C0105" w:rsidRDefault="00774CF1" w:rsidP="00323991">
      <w:pPr>
        <w:rPr>
          <w:lang w:bidi="he-IL"/>
        </w:rPr>
      </w:pPr>
      <w:r>
        <w:rPr>
          <w:b/>
          <w:lang w:bidi="he-IL"/>
        </w:rPr>
        <w:lastRenderedPageBreak/>
        <w:t xml:space="preserve">17:23-27. </w:t>
      </w:r>
      <w:r w:rsidR="00807116">
        <w:rPr>
          <w:lang w:bidi="he-IL"/>
        </w:rPr>
        <w:t xml:space="preserve">So Abraham sets about his </w:t>
      </w:r>
      <w:r w:rsidR="0093077D">
        <w:rPr>
          <w:lang w:bidi="he-IL"/>
        </w:rPr>
        <w:t xml:space="preserve">macabre </w:t>
      </w:r>
      <w:r w:rsidR="00807116">
        <w:rPr>
          <w:lang w:bidi="he-IL"/>
        </w:rPr>
        <w:t>task</w:t>
      </w:r>
      <w:r w:rsidR="00A26094">
        <w:rPr>
          <w:lang w:bidi="he-IL"/>
        </w:rPr>
        <w:t xml:space="preserve">; Genesis </w:t>
      </w:r>
      <w:r w:rsidR="003D56BA">
        <w:rPr>
          <w:lang w:bidi="he-IL"/>
        </w:rPr>
        <w:t>“</w:t>
      </w:r>
      <w:r w:rsidR="00A26094">
        <w:rPr>
          <w:lang w:bidi="he-IL"/>
        </w:rPr>
        <w:t>reports it in detail (</w:t>
      </w:r>
      <w:r w:rsidR="0093077D">
        <w:rPr>
          <w:lang w:bidi="he-IL"/>
        </w:rPr>
        <w:t>still without becoming graphic),</w:t>
      </w:r>
      <w:r w:rsidR="003D56BA">
        <w:rPr>
          <w:lang w:bidi="he-IL"/>
        </w:rPr>
        <w:t>”</w:t>
      </w:r>
      <w:r w:rsidR="00A26094">
        <w:rPr>
          <w:rStyle w:val="FootnoteReference"/>
          <w:lang w:bidi="he-IL"/>
        </w:rPr>
        <w:footnoteReference w:id="358"/>
      </w:r>
      <w:r w:rsidR="00A26094">
        <w:rPr>
          <w:lang w:bidi="he-IL"/>
        </w:rPr>
        <w:t xml:space="preserve"> </w:t>
      </w:r>
      <w:r w:rsidR="0093077D">
        <w:rPr>
          <w:lang w:bidi="he-IL"/>
        </w:rPr>
        <w:t xml:space="preserve">just to assure us that Abraham did as he was told, like Noah. </w:t>
      </w:r>
      <w:r w:rsidR="00D83D7E">
        <w:rPr>
          <w:lang w:bidi="he-IL"/>
        </w:rPr>
        <w:t>As</w:t>
      </w:r>
      <w:r w:rsidR="00D35621">
        <w:rPr>
          <w:lang w:bidi="he-IL"/>
        </w:rPr>
        <w:t xml:space="preserve"> there were</w:t>
      </w:r>
      <w:r w:rsidR="0093077D">
        <w:rPr>
          <w:lang w:bidi="he-IL"/>
        </w:rPr>
        <w:t xml:space="preserve"> presumably at least 318 of the grown men alone</w:t>
      </w:r>
      <w:r w:rsidR="00D35621">
        <w:rPr>
          <w:lang w:bidi="he-IL"/>
        </w:rPr>
        <w:t>,</w:t>
      </w:r>
      <w:r w:rsidR="009A7E88" w:rsidRPr="009A7E88">
        <w:rPr>
          <w:lang w:bidi="he-IL"/>
        </w:rPr>
        <w:t xml:space="preserve"> one </w:t>
      </w:r>
      <w:r w:rsidR="00D35621">
        <w:rPr>
          <w:lang w:bidi="he-IL"/>
        </w:rPr>
        <w:t>would like to think he had some help, and/or it was hardly a task</w:t>
      </w:r>
      <w:r w:rsidR="00807116">
        <w:rPr>
          <w:lang w:bidi="he-IL"/>
        </w:rPr>
        <w:t xml:space="preserve"> accomplished in</w:t>
      </w:r>
      <w:r w:rsidR="009A7E88">
        <w:rPr>
          <w:lang w:bidi="he-IL"/>
        </w:rPr>
        <w:t xml:space="preserve"> one day (and see 34:24-25)</w:t>
      </w:r>
      <w:r w:rsidR="00807116">
        <w:rPr>
          <w:lang w:bidi="he-IL"/>
        </w:rPr>
        <w:t>.</w:t>
      </w:r>
      <w:r w:rsidR="00F30F6E">
        <w:rPr>
          <w:lang w:bidi="he-IL"/>
        </w:rPr>
        <w:t xml:space="preserve"> </w:t>
      </w:r>
      <w:r w:rsidR="00C618CF">
        <w:rPr>
          <w:lang w:bidi="he-IL"/>
        </w:rPr>
        <w:t xml:space="preserve">But the phrase </w:t>
      </w:r>
      <w:r w:rsidR="003D56BA">
        <w:rPr>
          <w:lang w:bidi="he-IL"/>
        </w:rPr>
        <w:t>“</w:t>
      </w:r>
      <w:r w:rsidR="00C618CF">
        <w:rPr>
          <w:lang w:bidi="he-IL"/>
        </w:rPr>
        <w:t>on this very day</w:t>
      </w:r>
      <w:r w:rsidR="003D56BA">
        <w:rPr>
          <w:lang w:bidi="he-IL"/>
        </w:rPr>
        <w:t>”</w:t>
      </w:r>
      <w:r w:rsidR="00C618CF">
        <w:rPr>
          <w:lang w:bidi="he-IL"/>
        </w:rPr>
        <w:t xml:space="preserve"> (e.g., 7:13; Exod 12:17; Deut 32:48; Josh 5:11) draws attention to the importance of this </w:t>
      </w:r>
      <w:r w:rsidR="009A7E88">
        <w:rPr>
          <w:lang w:bidi="he-IL"/>
        </w:rPr>
        <w:t>epoch-making moment.</w:t>
      </w:r>
      <w:r w:rsidR="00C618CF">
        <w:rPr>
          <w:lang w:bidi="he-IL"/>
        </w:rPr>
        <w:t xml:space="preserve"> </w:t>
      </w:r>
      <w:r w:rsidR="009A7E88">
        <w:rPr>
          <w:lang w:bidi="he-IL"/>
        </w:rPr>
        <w:t>Abraham is doing his part in putting into effe</w:t>
      </w:r>
      <w:r w:rsidR="0093077D">
        <w:rPr>
          <w:lang w:bidi="he-IL"/>
        </w:rPr>
        <w:t>ct this new version of God’s</w:t>
      </w:r>
      <w:r w:rsidR="000C0105">
        <w:rPr>
          <w:lang w:bidi="he-IL"/>
        </w:rPr>
        <w:t xml:space="preserve"> pact</w:t>
      </w:r>
      <w:r w:rsidR="0093077D">
        <w:rPr>
          <w:lang w:bidi="he-IL"/>
        </w:rPr>
        <w:t xml:space="preserve"> with him</w:t>
      </w:r>
      <w:r w:rsidR="000C0105">
        <w:rPr>
          <w:lang w:bidi="he-IL"/>
        </w:rPr>
        <w:t>.</w:t>
      </w:r>
      <w:r w:rsidR="009A7E88">
        <w:rPr>
          <w:lang w:bidi="he-IL"/>
        </w:rPr>
        <w:t xml:space="preserve"> </w:t>
      </w:r>
      <w:r w:rsidR="00C67015">
        <w:rPr>
          <w:lang w:bidi="he-IL"/>
        </w:rPr>
        <w:t xml:space="preserve">If there was any doubt about the significance of his laughter in v. </w:t>
      </w:r>
      <w:r w:rsidR="00EE7A94">
        <w:rPr>
          <w:lang w:bidi="he-IL"/>
        </w:rPr>
        <w:t>17, there is n</w:t>
      </w:r>
      <w:r w:rsidR="00D83D7E">
        <w:rPr>
          <w:lang w:bidi="he-IL"/>
        </w:rPr>
        <w:t>o doubt about his obedience</w:t>
      </w:r>
      <w:r w:rsidR="00EE7A94">
        <w:rPr>
          <w:lang w:bidi="he-IL"/>
        </w:rPr>
        <w:t>.</w:t>
      </w:r>
      <w:r w:rsidR="00EE7A94">
        <w:rPr>
          <w:rStyle w:val="FootnoteReference"/>
          <w:lang w:bidi="he-IL"/>
        </w:rPr>
        <w:footnoteReference w:id="359"/>
      </w:r>
      <w:r w:rsidR="00EE7A94">
        <w:rPr>
          <w:lang w:bidi="he-IL"/>
        </w:rPr>
        <w:t xml:space="preserve"> </w:t>
      </w:r>
      <w:r w:rsidR="00F30F6E">
        <w:rPr>
          <w:lang w:bidi="he-IL"/>
        </w:rPr>
        <w:t>Apparently Ishmael is one of the people who benefit from and</w:t>
      </w:r>
      <w:r w:rsidR="0064387F">
        <w:rPr>
          <w:lang w:bidi="he-IL"/>
        </w:rPr>
        <w:t xml:space="preserve"> are responsible to the pact</w:t>
      </w:r>
      <w:r w:rsidR="00F30F6E">
        <w:rPr>
          <w:lang w:bidi="he-IL"/>
        </w:rPr>
        <w:t>, even though it wil</w:t>
      </w:r>
      <w:r w:rsidR="00F526BC">
        <w:rPr>
          <w:lang w:bidi="he-IL"/>
        </w:rPr>
        <w:t xml:space="preserve">l be </w:t>
      </w:r>
      <w:r w:rsidR="0064387F">
        <w:rPr>
          <w:lang w:bidi="he-IL"/>
        </w:rPr>
        <w:t>made with Isaac.</w:t>
      </w:r>
      <w:r w:rsidR="00526CB0" w:rsidRPr="00526CB0">
        <w:rPr>
          <w:lang w:bidi="he-IL"/>
        </w:rPr>
        <w:t xml:space="preserve"> </w:t>
      </w:r>
      <w:r w:rsidR="00526CB0">
        <w:rPr>
          <w:lang w:bidi="he-IL"/>
        </w:rPr>
        <w:t>Th</w:t>
      </w:r>
      <w:r w:rsidR="00F526BC">
        <w:rPr>
          <w:lang w:bidi="he-IL"/>
        </w:rPr>
        <w:t xml:space="preserve">ere is some tension between the latter declaration and </w:t>
      </w:r>
      <w:r w:rsidR="00526CB0">
        <w:rPr>
          <w:lang w:bidi="he-IL"/>
        </w:rPr>
        <w:t>Genesis</w:t>
      </w:r>
      <w:r w:rsidR="00F526BC">
        <w:rPr>
          <w:lang w:bidi="he-IL"/>
        </w:rPr>
        <w:t>’s</w:t>
      </w:r>
      <w:r w:rsidR="00526CB0">
        <w:rPr>
          <w:lang w:bidi="he-IL"/>
        </w:rPr>
        <w:t xml:space="preserve"> </w:t>
      </w:r>
      <w:r w:rsidR="00F526BC">
        <w:rPr>
          <w:lang w:bidi="he-IL"/>
        </w:rPr>
        <w:t>noting</w:t>
      </w:r>
      <w:r w:rsidR="00526CB0">
        <w:rPr>
          <w:lang w:bidi="he-IL"/>
        </w:rPr>
        <w:t xml:space="preserve"> three times that Ishmael</w:t>
      </w:r>
      <w:r w:rsidR="00526CB0" w:rsidRPr="00526CB0">
        <w:rPr>
          <w:lang w:bidi="he-IL"/>
        </w:rPr>
        <w:t xml:space="preserve"> was ci</w:t>
      </w:r>
      <w:r w:rsidR="00526CB0">
        <w:rPr>
          <w:lang w:bidi="he-IL"/>
        </w:rPr>
        <w:t xml:space="preserve">rcumcised. </w:t>
      </w:r>
      <w:r w:rsidR="00526CB0" w:rsidRPr="00526CB0">
        <w:rPr>
          <w:lang w:bidi="he-IL"/>
        </w:rPr>
        <w:t xml:space="preserve">Ishmael is </w:t>
      </w:r>
      <w:r w:rsidR="00F526BC">
        <w:rPr>
          <w:lang w:bidi="he-IL"/>
        </w:rPr>
        <w:t>thus</w:t>
      </w:r>
      <w:r w:rsidR="00526CB0">
        <w:rPr>
          <w:lang w:bidi="he-IL"/>
        </w:rPr>
        <w:t xml:space="preserve"> not </w:t>
      </w:r>
      <w:r w:rsidR="003D56BA">
        <w:rPr>
          <w:lang w:bidi="he-IL"/>
        </w:rPr>
        <w:t>“</w:t>
      </w:r>
      <w:r w:rsidR="00526CB0" w:rsidRPr="00526CB0">
        <w:rPr>
          <w:lang w:bidi="he-IL"/>
        </w:rPr>
        <w:t xml:space="preserve">specifically </w:t>
      </w:r>
      <w:r w:rsidR="00526CB0">
        <w:rPr>
          <w:lang w:bidi="he-IL"/>
        </w:rPr>
        <w:t>excluded from the covenant line.</w:t>
      </w:r>
      <w:r w:rsidR="003D56BA">
        <w:rPr>
          <w:lang w:bidi="he-IL"/>
        </w:rPr>
        <w:t>”</w:t>
      </w:r>
      <w:r w:rsidR="00526CB0" w:rsidRPr="00526CB0">
        <w:rPr>
          <w:vertAlign w:val="superscript"/>
          <w:lang w:bidi="he-IL"/>
        </w:rPr>
        <w:footnoteReference w:id="360"/>
      </w:r>
      <w:r w:rsidR="00526CB0">
        <w:rPr>
          <w:lang w:bidi="he-IL"/>
        </w:rPr>
        <w:t xml:space="preserve"> </w:t>
      </w:r>
      <w:r w:rsidR="00F526BC">
        <w:rPr>
          <w:lang w:bidi="he-IL"/>
        </w:rPr>
        <w:t>The tension can be</w:t>
      </w:r>
      <w:r w:rsidR="00526CB0" w:rsidRPr="00526CB0">
        <w:rPr>
          <w:lang w:bidi="he-IL"/>
        </w:rPr>
        <w:t xml:space="preserve"> resolved by assuming that vv. 15-22 are </w:t>
      </w:r>
      <w:r w:rsidR="003D56BA">
        <w:rPr>
          <w:lang w:bidi="he-IL"/>
        </w:rPr>
        <w:t>“</w:t>
      </w:r>
      <w:r w:rsidR="00526CB0" w:rsidRPr="00526CB0">
        <w:rPr>
          <w:lang w:bidi="he-IL"/>
        </w:rPr>
        <w:t>clumsy additions</w:t>
      </w:r>
      <w:r w:rsidR="003D56BA">
        <w:rPr>
          <w:lang w:bidi="he-IL"/>
        </w:rPr>
        <w:t>”</w:t>
      </w:r>
      <w:r w:rsidR="00526CB0" w:rsidRPr="00526CB0">
        <w:rPr>
          <w:lang w:bidi="he-IL"/>
        </w:rPr>
        <w:t xml:space="preserve"> by someone who was a bit stupid.</w:t>
      </w:r>
      <w:r w:rsidR="00526CB0" w:rsidRPr="00526CB0">
        <w:rPr>
          <w:vertAlign w:val="superscript"/>
          <w:lang w:bidi="he-IL"/>
        </w:rPr>
        <w:footnoteReference w:id="361"/>
      </w:r>
      <w:r w:rsidR="00526CB0">
        <w:rPr>
          <w:lang w:bidi="he-IL"/>
        </w:rPr>
        <w:t xml:space="preserve"> But in the text as we have it, the implication is that e</w:t>
      </w:r>
      <w:r w:rsidR="0064387F">
        <w:rPr>
          <w:lang w:bidi="he-IL"/>
        </w:rPr>
        <w:t xml:space="preserve">ven as circumcision becomes </w:t>
      </w:r>
      <w:r w:rsidR="0064387F">
        <w:rPr>
          <w:i/>
          <w:lang w:bidi="he-IL"/>
        </w:rPr>
        <w:t>the</w:t>
      </w:r>
      <w:r w:rsidR="0064387F">
        <w:rPr>
          <w:lang w:bidi="he-IL"/>
        </w:rPr>
        <w:t xml:space="preserve"> marker of God’s pact with Is</w:t>
      </w:r>
      <w:r w:rsidR="00526CB0">
        <w:rPr>
          <w:lang w:bidi="he-IL"/>
        </w:rPr>
        <w:t>rael, it is not exclusive. I</w:t>
      </w:r>
      <w:r w:rsidR="0064387F">
        <w:rPr>
          <w:lang w:bidi="he-IL"/>
        </w:rPr>
        <w:t>ts application to Ishmael might remind the audience that Abraham is to be the ancestor of nations.</w:t>
      </w:r>
      <w:r w:rsidR="0064387F">
        <w:rPr>
          <w:rStyle w:val="FootnoteReference"/>
          <w:lang w:bidi="he-IL"/>
        </w:rPr>
        <w:footnoteReference w:id="362"/>
      </w:r>
      <w:r w:rsidR="0093077D">
        <w:rPr>
          <w:lang w:bidi="he-IL"/>
        </w:rPr>
        <w:t xml:space="preserve"> </w:t>
      </w:r>
      <w:r w:rsidR="00526CB0">
        <w:rPr>
          <w:lang w:bidi="he-IL"/>
        </w:rPr>
        <w:t>Whereas Western readers might be concerned that the</w:t>
      </w:r>
      <w:r w:rsidR="000C0105">
        <w:rPr>
          <w:lang w:bidi="he-IL"/>
        </w:rPr>
        <w:t xml:space="preserve"> servants were having an unple</w:t>
      </w:r>
      <w:r w:rsidR="00526CB0">
        <w:rPr>
          <w:lang w:bidi="he-IL"/>
        </w:rPr>
        <w:t>asant operation imposed on them,</w:t>
      </w:r>
      <w:r w:rsidR="0093077D">
        <w:rPr>
          <w:rStyle w:val="FootnoteReference"/>
          <w:lang w:bidi="he-IL"/>
        </w:rPr>
        <w:footnoteReference w:id="363"/>
      </w:r>
      <w:r w:rsidR="000C0105">
        <w:rPr>
          <w:lang w:bidi="he-IL"/>
        </w:rPr>
        <w:t xml:space="preserve"> </w:t>
      </w:r>
      <w:r w:rsidR="00526CB0">
        <w:rPr>
          <w:lang w:bidi="he-IL"/>
        </w:rPr>
        <w:t>for Genesis th</w:t>
      </w:r>
      <w:r w:rsidR="00CB6156">
        <w:rPr>
          <w:lang w:bidi="he-IL"/>
        </w:rPr>
        <w:t>e repeated r</w:t>
      </w:r>
      <w:r w:rsidR="00526CB0">
        <w:rPr>
          <w:lang w:bidi="he-IL"/>
        </w:rPr>
        <w:t xml:space="preserve">eference to servants </w:t>
      </w:r>
      <w:r w:rsidR="00CB6156">
        <w:rPr>
          <w:lang w:bidi="he-IL"/>
        </w:rPr>
        <w:t>carries the implication that they are not to be left out. Circumcision is a</w:t>
      </w:r>
      <w:r w:rsidR="00526CB0">
        <w:rPr>
          <w:lang w:bidi="he-IL"/>
        </w:rPr>
        <w:t xml:space="preserve"> democratic rite. It </w:t>
      </w:r>
      <w:r w:rsidR="003D56BA">
        <w:rPr>
          <w:lang w:bidi="he-IL"/>
        </w:rPr>
        <w:t>“</w:t>
      </w:r>
      <w:r w:rsidR="00CB6156">
        <w:rPr>
          <w:lang w:bidi="he-IL"/>
        </w:rPr>
        <w:t>allows for a genuine openness to the outsider.</w:t>
      </w:r>
      <w:r w:rsidR="003D56BA">
        <w:rPr>
          <w:lang w:bidi="he-IL"/>
        </w:rPr>
        <w:t>”</w:t>
      </w:r>
      <w:r w:rsidR="00CB6156" w:rsidRPr="00CB6156">
        <w:rPr>
          <w:vertAlign w:val="superscript"/>
          <w:lang w:bidi="he-IL"/>
        </w:rPr>
        <w:footnoteReference w:id="364"/>
      </w:r>
    </w:p>
    <w:p w14:paraId="0E527E52" w14:textId="77777777" w:rsidR="00800A5E" w:rsidRDefault="00800A5E" w:rsidP="00323991">
      <w:pPr>
        <w:rPr>
          <w:lang w:bidi="he-IL"/>
        </w:rPr>
      </w:pPr>
      <w:r>
        <w:rPr>
          <w:lang w:bidi="he-IL"/>
        </w:rPr>
        <w:t>T</w:t>
      </w:r>
      <w:r w:rsidRPr="00800A5E">
        <w:rPr>
          <w:lang w:bidi="he-IL"/>
        </w:rPr>
        <w:t xml:space="preserve">here seems no reason to question the Arab peoples’ tradition that their ancestry </w:t>
      </w:r>
      <w:r w:rsidR="005F0FA2">
        <w:rPr>
          <w:lang w:bidi="he-IL"/>
        </w:rPr>
        <w:t xml:space="preserve">goes </w:t>
      </w:r>
      <w:r w:rsidRPr="00800A5E">
        <w:rPr>
          <w:lang w:bidi="he-IL"/>
        </w:rPr>
        <w:t>back to Ishmael. They are thus the beneficiaries of God’s promise regarding Ishmael.</w:t>
      </w:r>
    </w:p>
    <w:p w14:paraId="0DC4D746" w14:textId="77777777" w:rsidR="003C4C3D" w:rsidRDefault="002D0083" w:rsidP="003C4C3D">
      <w:pPr>
        <w:pStyle w:val="Heading2"/>
        <w:rPr>
          <w:lang w:bidi="he-IL"/>
        </w:rPr>
      </w:pPr>
      <w:r>
        <w:rPr>
          <w:lang w:bidi="he-IL"/>
        </w:rPr>
        <w:t>Circumcision</w:t>
      </w:r>
    </w:p>
    <w:p w14:paraId="6DE129EC" w14:textId="2C7AD658" w:rsidR="00C71328" w:rsidRDefault="002B0095" w:rsidP="00114103">
      <w:pPr>
        <w:rPr>
          <w:lang w:bidi="he-IL"/>
        </w:rPr>
      </w:pPr>
      <w:r>
        <w:rPr>
          <w:lang w:bidi="he-IL"/>
        </w:rPr>
        <w:t xml:space="preserve">When Abraham and his offspring </w:t>
      </w:r>
      <w:r w:rsidR="00EB024A">
        <w:rPr>
          <w:lang w:bidi="he-IL"/>
        </w:rPr>
        <w:t>are required to be circumcised as an expression of their commitment</w:t>
      </w:r>
      <w:r w:rsidR="007D2CC1">
        <w:rPr>
          <w:lang w:bidi="he-IL"/>
        </w:rPr>
        <w:t xml:space="preserve"> to God and his pact with them</w:t>
      </w:r>
      <w:r w:rsidR="00F526BC">
        <w:rPr>
          <w:lang w:bidi="he-IL"/>
        </w:rPr>
        <w:t>,</w:t>
      </w:r>
      <w:r>
        <w:rPr>
          <w:lang w:bidi="he-IL"/>
        </w:rPr>
        <w:t xml:space="preserve"> it</w:t>
      </w:r>
      <w:r w:rsidR="001F5FC5">
        <w:rPr>
          <w:lang w:bidi="he-IL"/>
        </w:rPr>
        <w:t xml:space="preserve"> </w:t>
      </w:r>
      <w:r w:rsidR="003D56BA">
        <w:rPr>
          <w:lang w:bidi="he-IL"/>
        </w:rPr>
        <w:t>“</w:t>
      </w:r>
      <w:r w:rsidR="001F5FC5">
        <w:rPr>
          <w:lang w:bidi="he-IL"/>
        </w:rPr>
        <w:t>does not make t</w:t>
      </w:r>
      <w:r w:rsidR="00C71328">
        <w:rPr>
          <w:lang w:bidi="he-IL"/>
        </w:rPr>
        <w:t>he covenant bilateral,</w:t>
      </w:r>
      <w:r w:rsidR="003D56BA">
        <w:rPr>
          <w:lang w:bidi="he-IL"/>
        </w:rPr>
        <w:t>”</w:t>
      </w:r>
      <w:r w:rsidR="001F5FC5">
        <w:rPr>
          <w:rStyle w:val="FootnoteReference"/>
          <w:lang w:bidi="he-IL"/>
        </w:rPr>
        <w:footnoteReference w:id="365"/>
      </w:r>
      <w:r w:rsidR="00EB024A">
        <w:rPr>
          <w:lang w:bidi="he-IL"/>
        </w:rPr>
        <w:t xml:space="preserve"> </w:t>
      </w:r>
      <w:r w:rsidR="002A0949">
        <w:rPr>
          <w:lang w:bidi="he-IL"/>
        </w:rPr>
        <w:t>even though the sign does become</w:t>
      </w:r>
      <w:r w:rsidR="00C71328">
        <w:rPr>
          <w:lang w:bidi="he-IL"/>
        </w:rPr>
        <w:t xml:space="preserve"> integral to the covenant. </w:t>
      </w:r>
      <w:r>
        <w:rPr>
          <w:lang w:bidi="he-IL"/>
        </w:rPr>
        <w:t xml:space="preserve">The </w:t>
      </w:r>
      <w:r w:rsidR="00DC1DCB">
        <w:rPr>
          <w:lang w:bidi="he-IL"/>
        </w:rPr>
        <w:t>status</w:t>
      </w:r>
      <w:r>
        <w:rPr>
          <w:lang w:bidi="he-IL"/>
        </w:rPr>
        <w:t xml:space="preserve"> of circumcision</w:t>
      </w:r>
      <w:r w:rsidR="00C71328">
        <w:rPr>
          <w:lang w:bidi="he-IL"/>
        </w:rPr>
        <w:t xml:space="preserve"> is similar to</w:t>
      </w:r>
      <w:r w:rsidR="00DC1DCB">
        <w:rPr>
          <w:lang w:bidi="he-IL"/>
        </w:rPr>
        <w:t xml:space="preserve"> that of baptism</w:t>
      </w:r>
      <w:r w:rsidR="00C71328">
        <w:rPr>
          <w:lang w:bidi="he-IL"/>
        </w:rPr>
        <w:t>. When baptism becom</w:t>
      </w:r>
      <w:r w:rsidR="002A0949">
        <w:rPr>
          <w:lang w:bidi="he-IL"/>
        </w:rPr>
        <w:t>es a sign of belonging to Jesus as</w:t>
      </w:r>
      <w:r w:rsidR="00C71328">
        <w:rPr>
          <w:lang w:bidi="he-IL"/>
        </w:rPr>
        <w:t xml:space="preserve"> God again expresses his freedom </w:t>
      </w:r>
      <w:r w:rsidR="002A0949">
        <w:rPr>
          <w:lang w:bidi="he-IL"/>
        </w:rPr>
        <w:t>to rework the terms of his pact</w:t>
      </w:r>
      <w:r w:rsidR="00C71328">
        <w:rPr>
          <w:lang w:bidi="he-IL"/>
        </w:rPr>
        <w:t xml:space="preserve"> </w:t>
      </w:r>
      <w:r w:rsidR="00114103">
        <w:rPr>
          <w:lang w:bidi="he-IL"/>
        </w:rPr>
        <w:t>and cancels</w:t>
      </w:r>
      <w:r w:rsidR="002A0949">
        <w:rPr>
          <w:lang w:bidi="he-IL"/>
        </w:rPr>
        <w:t xml:space="preserve"> the circumcision requirement,</w:t>
      </w:r>
      <w:r w:rsidR="00114103">
        <w:rPr>
          <w:lang w:bidi="he-IL"/>
        </w:rPr>
        <w:t xml:space="preserve"> baptism becomes an obligation tied up with God’s welcoming people into the Jesus family, though not exactly a condition of it.</w:t>
      </w:r>
    </w:p>
    <w:p w14:paraId="538356D8" w14:textId="7BD8E709" w:rsidR="00025E45" w:rsidRPr="00025E45" w:rsidRDefault="00C71328" w:rsidP="002D0083">
      <w:pPr>
        <w:rPr>
          <w:lang w:bidi="he-IL"/>
        </w:rPr>
      </w:pPr>
      <w:r>
        <w:rPr>
          <w:lang w:bidi="he-IL"/>
        </w:rPr>
        <w:t>Some Jews who came to trust in Jesus believed that both Jews and Gentile believers in Jesus were required to be circumcised (e.g., Acts 15:1). In that situation, at least, this insistence compromised the principle that the gospel issued from God’s grace.</w:t>
      </w:r>
      <w:r>
        <w:rPr>
          <w:rStyle w:val="FootnoteReference"/>
          <w:lang w:bidi="he-IL"/>
        </w:rPr>
        <w:footnoteReference w:id="366"/>
      </w:r>
      <w:r>
        <w:rPr>
          <w:lang w:bidi="he-IL"/>
        </w:rPr>
        <w:t xml:space="preserve"> Circumcision was not part of the relationship between God and Abraham at the beginning and it need not continue to be part of the relationship between God and Abraham’s offspring. </w:t>
      </w:r>
      <w:r w:rsidR="00DC1DCB">
        <w:rPr>
          <w:lang w:bidi="he-IL"/>
        </w:rPr>
        <w:t xml:space="preserve">Abraham received the seal of circumcision after his relationship with God was established on the basis of his trust in God’s promise (Rom </w:t>
      </w:r>
      <w:r w:rsidR="002A0949">
        <w:rPr>
          <w:lang w:bidi="he-IL"/>
        </w:rPr>
        <w:t xml:space="preserve">4:9-11). </w:t>
      </w:r>
      <w:r w:rsidR="002B0095">
        <w:rPr>
          <w:lang w:bidi="he-IL"/>
        </w:rPr>
        <w:t>Paul</w:t>
      </w:r>
      <w:r w:rsidR="006573D4">
        <w:rPr>
          <w:lang w:bidi="he-IL"/>
        </w:rPr>
        <w:t xml:space="preserve"> opposes the idea that people who come to believe in Jesus need to be circumcised. </w:t>
      </w:r>
      <w:r w:rsidR="003D56BA">
        <w:rPr>
          <w:lang w:bidi="he-IL"/>
        </w:rPr>
        <w:t>“</w:t>
      </w:r>
      <w:r w:rsidR="006573D4" w:rsidRPr="00371B40">
        <w:rPr>
          <w:bCs/>
          <w:lang w:bidi="he-IL"/>
        </w:rPr>
        <w:t xml:space="preserve">Neither Circumcision under the Law, nor Baptisme under the Gospell, </w:t>
      </w:r>
      <w:r w:rsidR="006573D4">
        <w:rPr>
          <w:bCs/>
          <w:lang w:bidi="he-IL"/>
        </w:rPr>
        <w:t xml:space="preserve">[is] </w:t>
      </w:r>
      <w:r w:rsidR="006573D4" w:rsidRPr="00371B40">
        <w:rPr>
          <w:bCs/>
          <w:lang w:bidi="he-IL"/>
        </w:rPr>
        <w:t>absolutely necessary.</w:t>
      </w:r>
      <w:r w:rsidR="003D56BA">
        <w:rPr>
          <w:bCs/>
          <w:lang w:bidi="he-IL"/>
        </w:rPr>
        <w:t>”</w:t>
      </w:r>
      <w:r w:rsidR="006573D4">
        <w:rPr>
          <w:rStyle w:val="FootnoteReference"/>
          <w:bCs/>
          <w:lang w:bidi="he-IL"/>
        </w:rPr>
        <w:footnoteReference w:id="367"/>
      </w:r>
      <w:r w:rsidR="00800A5E">
        <w:rPr>
          <w:lang w:bidi="he-IL"/>
        </w:rPr>
        <w:t xml:space="preserve"> </w:t>
      </w:r>
      <w:r w:rsidR="00F526BC">
        <w:rPr>
          <w:lang w:bidi="he-IL"/>
        </w:rPr>
        <w:t>Yet bot</w:t>
      </w:r>
      <w:r w:rsidR="008D4E32">
        <w:rPr>
          <w:lang w:bidi="he-IL"/>
        </w:rPr>
        <w:t>h are required by the covenant.</w:t>
      </w:r>
    </w:p>
    <w:p w14:paraId="5CC8B4CF" w14:textId="500E88D8" w:rsidR="00DA0866" w:rsidRDefault="00BD69A6" w:rsidP="002D0083">
      <w:pPr>
        <w:rPr>
          <w:rFonts w:eastAsiaTheme="minorHAnsi" w:cs="Minion-Regular"/>
        </w:rPr>
      </w:pPr>
      <w:r>
        <w:rPr>
          <w:lang w:bidi="he-IL"/>
        </w:rPr>
        <w:lastRenderedPageBreak/>
        <w:t>The snag with abandoning circumcision lies in losing what the sign symbol</w:t>
      </w:r>
      <w:r w:rsidR="003E1D8A">
        <w:rPr>
          <w:lang w:bidi="he-IL"/>
        </w:rPr>
        <w:t>ized. In general terms, it</w:t>
      </w:r>
      <w:r w:rsidR="002B0095">
        <w:rPr>
          <w:lang w:bidi="he-IL"/>
        </w:rPr>
        <w:t xml:space="preserve"> reflects God expecting</w:t>
      </w:r>
      <w:r>
        <w:rPr>
          <w:lang w:bidi="he-IL"/>
        </w:rPr>
        <w:t xml:space="preserve"> </w:t>
      </w:r>
      <w:r w:rsidR="002A0949">
        <w:rPr>
          <w:lang w:bidi="he-IL"/>
        </w:rPr>
        <w:t xml:space="preserve">that </w:t>
      </w:r>
      <w:r>
        <w:rPr>
          <w:lang w:bidi="he-IL"/>
        </w:rPr>
        <w:t>a comm</w:t>
      </w:r>
      <w:r w:rsidR="002B0095">
        <w:rPr>
          <w:lang w:bidi="he-IL"/>
        </w:rPr>
        <w:t xml:space="preserve">itment from his people </w:t>
      </w:r>
      <w:r w:rsidR="002A0949">
        <w:rPr>
          <w:lang w:bidi="he-IL"/>
        </w:rPr>
        <w:t xml:space="preserve">should be </w:t>
      </w:r>
      <w:r w:rsidR="002B0095">
        <w:rPr>
          <w:lang w:bidi="he-IL"/>
        </w:rPr>
        <w:t xml:space="preserve">expressed </w:t>
      </w:r>
      <w:r w:rsidR="00D83D7E">
        <w:rPr>
          <w:lang w:bidi="he-IL"/>
        </w:rPr>
        <w:t>in what they do</w:t>
      </w:r>
      <w:r w:rsidR="00F33473">
        <w:rPr>
          <w:lang w:bidi="he-IL"/>
        </w:rPr>
        <w:t xml:space="preserve"> with their bodies </w:t>
      </w:r>
      <w:r>
        <w:rPr>
          <w:lang w:bidi="he-IL"/>
        </w:rPr>
        <w:t xml:space="preserve">and not merely </w:t>
      </w:r>
      <w:r w:rsidR="002A0949">
        <w:rPr>
          <w:lang w:bidi="he-IL"/>
        </w:rPr>
        <w:t xml:space="preserve">in </w:t>
      </w:r>
      <w:r w:rsidR="00D83D7E">
        <w:rPr>
          <w:lang w:bidi="he-IL"/>
        </w:rPr>
        <w:t>what they do</w:t>
      </w:r>
      <w:r w:rsidR="00F33473">
        <w:rPr>
          <w:lang w:bidi="he-IL"/>
        </w:rPr>
        <w:t xml:space="preserve"> with their inner beings. </w:t>
      </w:r>
      <w:r w:rsidR="0083125F">
        <w:rPr>
          <w:lang w:bidi="he-IL"/>
        </w:rPr>
        <w:t>When people come to identify with J</w:t>
      </w:r>
      <w:r w:rsidR="003E1D8A">
        <w:rPr>
          <w:lang w:bidi="he-IL"/>
        </w:rPr>
        <w:t>esus’</w:t>
      </w:r>
      <w:r w:rsidR="005166DC">
        <w:rPr>
          <w:lang w:bidi="he-IL"/>
        </w:rPr>
        <w:t>s</w:t>
      </w:r>
      <w:r w:rsidR="003E1D8A">
        <w:rPr>
          <w:lang w:bidi="he-IL"/>
        </w:rPr>
        <w:t xml:space="preserve"> dying for them, they </w:t>
      </w:r>
      <w:r w:rsidR="002B0095">
        <w:rPr>
          <w:lang w:bidi="he-IL"/>
        </w:rPr>
        <w:t xml:space="preserve">still </w:t>
      </w:r>
      <w:r w:rsidR="0083125F">
        <w:rPr>
          <w:lang w:bidi="he-IL"/>
        </w:rPr>
        <w:t xml:space="preserve">share in disavowing the fleshly body as he did when he was circumcised (Col 2:11). </w:t>
      </w:r>
      <w:r w:rsidR="00321C42">
        <w:rPr>
          <w:lang w:bidi="he-IL"/>
        </w:rPr>
        <w:t xml:space="preserve">But </w:t>
      </w:r>
      <w:r w:rsidR="003D56BA">
        <w:rPr>
          <w:lang w:bidi="he-IL"/>
        </w:rPr>
        <w:t>“</w:t>
      </w:r>
      <w:r w:rsidR="00321C42">
        <w:rPr>
          <w:lang w:bidi="he-IL"/>
        </w:rPr>
        <w:t>t</w:t>
      </w:r>
      <w:r>
        <w:rPr>
          <w:lang w:bidi="he-IL"/>
        </w:rPr>
        <w:t>he future of the covenant in Christ is a future in the body</w:t>
      </w:r>
      <w:r w:rsidR="003D56BA">
        <w:rPr>
          <w:lang w:bidi="he-IL"/>
        </w:rPr>
        <w:t>”</w:t>
      </w:r>
      <w:r>
        <w:rPr>
          <w:lang w:bidi="he-IL"/>
        </w:rPr>
        <w:t xml:space="preserve"> (e.g., Rom 6:19; Gal 6:17).</w:t>
      </w:r>
      <w:r>
        <w:rPr>
          <w:rStyle w:val="FootnoteReference"/>
          <w:lang w:bidi="he-IL"/>
        </w:rPr>
        <w:footnoteReference w:id="368"/>
      </w:r>
      <w:r w:rsidR="00DA0866">
        <w:rPr>
          <w:lang w:bidi="he-IL"/>
        </w:rPr>
        <w:t xml:space="preserve"> </w:t>
      </w:r>
      <w:r w:rsidR="00337A39" w:rsidRPr="00337A39">
        <w:rPr>
          <w:lang w:bidi="he-IL"/>
        </w:rPr>
        <w:t>As long as people do not require circumcision as a condition of belonging to the people of God, then, there is a case for continuing to observe the rite (cf. Acts 16:3; Gal 2:3).</w:t>
      </w:r>
      <w:r w:rsidR="00321C42">
        <w:rPr>
          <w:lang w:bidi="he-IL"/>
        </w:rPr>
        <w:t xml:space="preserve"> And s</w:t>
      </w:r>
      <w:r w:rsidR="00DA0866">
        <w:rPr>
          <w:lang w:bidi="he-IL"/>
        </w:rPr>
        <w:t>pecifically,</w:t>
      </w:r>
      <w:r w:rsidR="00321C42">
        <w:rPr>
          <w:lang w:bidi="he-IL"/>
        </w:rPr>
        <w:t xml:space="preserve"> people’s </w:t>
      </w:r>
      <w:r w:rsidR="003E1D8A">
        <w:rPr>
          <w:lang w:bidi="he-IL"/>
        </w:rPr>
        <w:t>commitment n</w:t>
      </w:r>
      <w:r w:rsidR="00321C42">
        <w:rPr>
          <w:lang w:bidi="he-IL"/>
        </w:rPr>
        <w:t>eeds to express itself in their</w:t>
      </w:r>
      <w:r w:rsidR="003E1D8A">
        <w:rPr>
          <w:lang w:bidi="he-IL"/>
        </w:rPr>
        <w:t xml:space="preserve"> sex</w:t>
      </w:r>
      <w:r w:rsidR="00F33473">
        <w:rPr>
          <w:lang w:bidi="he-IL"/>
        </w:rPr>
        <w:t xml:space="preserve"> lives.</w:t>
      </w:r>
      <w:r w:rsidR="00727890">
        <w:rPr>
          <w:lang w:bidi="he-IL"/>
        </w:rPr>
        <w:t xml:space="preserve"> </w:t>
      </w:r>
      <w:r w:rsidR="003E1D8A">
        <w:rPr>
          <w:lang w:bidi="he-IL"/>
        </w:rPr>
        <w:t>For a man, c</w:t>
      </w:r>
      <w:r w:rsidR="00F33473">
        <w:rPr>
          <w:lang w:bidi="he-IL"/>
        </w:rPr>
        <w:t xml:space="preserve">ircumcision points to the disciplining of the </w:t>
      </w:r>
      <w:r w:rsidR="003E1D8A">
        <w:rPr>
          <w:lang w:bidi="he-IL"/>
        </w:rPr>
        <w:t xml:space="preserve">means of sexual expression. Perhaps </w:t>
      </w:r>
      <w:r w:rsidR="00D83D7E">
        <w:rPr>
          <w:lang w:bidi="he-IL"/>
        </w:rPr>
        <w:t xml:space="preserve">it was </w:t>
      </w:r>
      <w:r w:rsidR="00F33473">
        <w:rPr>
          <w:lang w:bidi="he-IL"/>
        </w:rPr>
        <w:t xml:space="preserve">appropriate that </w:t>
      </w:r>
      <w:r w:rsidR="003D56BA">
        <w:rPr>
          <w:lang w:bidi="he-IL"/>
        </w:rPr>
        <w:t>“</w:t>
      </w:r>
      <w:r w:rsidR="00F33473">
        <w:rPr>
          <w:lang w:bidi="he-IL"/>
        </w:rPr>
        <w:t>t</w:t>
      </w:r>
      <w:r>
        <w:rPr>
          <w:lang w:bidi="he-IL"/>
        </w:rPr>
        <w:t>he promulgator of the eternal law requires the mark of carnal circumcision only in males, because in the sexual relationship the man i</w:t>
      </w:r>
      <w:r w:rsidR="00F33473">
        <w:rPr>
          <w:lang w:bidi="he-IL"/>
        </w:rPr>
        <w:t>s more impetuous than the woman,</w:t>
      </w:r>
      <w:r w:rsidR="003D56BA">
        <w:rPr>
          <w:lang w:bidi="he-IL"/>
        </w:rPr>
        <w:t>”</w:t>
      </w:r>
      <w:r>
        <w:rPr>
          <w:rStyle w:val="FootnoteReference"/>
          <w:lang w:bidi="he-IL"/>
        </w:rPr>
        <w:footnoteReference w:id="369"/>
      </w:r>
      <w:r>
        <w:rPr>
          <w:lang w:bidi="he-IL"/>
        </w:rPr>
        <w:t xml:space="preserve"> </w:t>
      </w:r>
      <w:r w:rsidR="00DA0866">
        <w:rPr>
          <w:lang w:bidi="he-IL"/>
        </w:rPr>
        <w:t xml:space="preserve">though </w:t>
      </w:r>
      <w:r w:rsidR="00F33473">
        <w:rPr>
          <w:lang w:bidi="he-IL"/>
        </w:rPr>
        <w:t xml:space="preserve">in the </w:t>
      </w:r>
      <w:r w:rsidR="003E1D8A">
        <w:rPr>
          <w:lang w:bidi="he-IL"/>
        </w:rPr>
        <w:t>modern West wo</w:t>
      </w:r>
      <w:r w:rsidR="00DA0866">
        <w:rPr>
          <w:lang w:bidi="he-IL"/>
        </w:rPr>
        <w:t xml:space="preserve">men may </w:t>
      </w:r>
      <w:r w:rsidR="003E1D8A">
        <w:rPr>
          <w:lang w:bidi="he-IL"/>
        </w:rPr>
        <w:t xml:space="preserve">feel </w:t>
      </w:r>
      <w:r w:rsidR="00D83D7E">
        <w:rPr>
          <w:lang w:bidi="he-IL"/>
        </w:rPr>
        <w:t xml:space="preserve">less </w:t>
      </w:r>
      <w:r w:rsidR="00F33473">
        <w:rPr>
          <w:lang w:bidi="he-IL"/>
        </w:rPr>
        <w:t>constrained in their sexual relationships than was traditional</w:t>
      </w:r>
      <w:r w:rsidR="002B0095">
        <w:rPr>
          <w:lang w:bidi="he-IL"/>
        </w:rPr>
        <w:t>ly so</w:t>
      </w:r>
      <w:r w:rsidRPr="00F33473">
        <w:rPr>
          <w:rFonts w:ascii="Minion-Regular" w:eastAsiaTheme="minorHAnsi" w:hAnsi="Minion-Regular" w:cs="Minion-Regular"/>
          <w:sz w:val="17"/>
          <w:szCs w:val="17"/>
        </w:rPr>
        <w:t>.</w:t>
      </w:r>
      <w:r>
        <w:rPr>
          <w:rStyle w:val="FootnoteReference"/>
          <w:rFonts w:ascii="Minion-Regular" w:eastAsiaTheme="minorHAnsi" w:hAnsi="Minion-Regular" w:cs="Minion-Regular"/>
          <w:sz w:val="17"/>
          <w:szCs w:val="17"/>
        </w:rPr>
        <w:footnoteReference w:id="370"/>
      </w:r>
      <w:r w:rsidR="00D06FD8">
        <w:rPr>
          <w:rFonts w:eastAsiaTheme="minorHAnsi" w:cs="Minion-Regular"/>
        </w:rPr>
        <w:t xml:space="preserve"> </w:t>
      </w:r>
    </w:p>
    <w:p w14:paraId="1ACD52DA" w14:textId="4E749CBC" w:rsidR="00337A39" w:rsidRPr="00337A39" w:rsidRDefault="00F33473" w:rsidP="00337A39">
      <w:pPr>
        <w:rPr>
          <w:lang w:bidi="he-IL"/>
        </w:rPr>
      </w:pPr>
      <w:r>
        <w:rPr>
          <w:lang w:bidi="he-IL"/>
        </w:rPr>
        <w:t xml:space="preserve">It was always the case that </w:t>
      </w:r>
      <w:r w:rsidR="003D56BA">
        <w:rPr>
          <w:lang w:bidi="he-IL"/>
        </w:rPr>
        <w:t>“</w:t>
      </w:r>
      <w:r>
        <w:rPr>
          <w:lang w:bidi="he-IL"/>
        </w:rPr>
        <w:t>circumcision functions in the flesh but not according to the flesh</w:t>
      </w:r>
      <w:r w:rsidR="003D56BA">
        <w:rPr>
          <w:lang w:bidi="he-IL"/>
        </w:rPr>
        <w:t>”</w:t>
      </w:r>
      <w:r w:rsidRPr="0009299F">
        <w:rPr>
          <w:vertAlign w:val="superscript"/>
          <w:lang w:bidi="he-IL"/>
        </w:rPr>
        <w:footnoteReference w:id="371"/>
      </w:r>
      <w:r w:rsidR="00321C42">
        <w:rPr>
          <w:lang w:bidi="he-IL"/>
        </w:rPr>
        <w:t>—that is, it was never</w:t>
      </w:r>
      <w:r w:rsidR="00D83D7E">
        <w:rPr>
          <w:lang w:bidi="he-IL"/>
        </w:rPr>
        <w:t xml:space="preserve"> limited to people who belong</w:t>
      </w:r>
      <w:r>
        <w:rPr>
          <w:lang w:bidi="he-IL"/>
        </w:rPr>
        <w:t xml:space="preserve"> to the offspring of Abraham</w:t>
      </w:r>
      <w:r w:rsidR="00285603">
        <w:rPr>
          <w:lang w:bidi="he-IL"/>
        </w:rPr>
        <w:t>, nor to masters as opposed to servants</w:t>
      </w:r>
      <w:r w:rsidR="00321C42">
        <w:rPr>
          <w:lang w:bidi="he-IL"/>
        </w:rPr>
        <w:t>, as Gen 17 makes explicit</w:t>
      </w:r>
      <w:r>
        <w:rPr>
          <w:lang w:bidi="he-IL"/>
        </w:rPr>
        <w:t xml:space="preserve">. </w:t>
      </w:r>
      <w:r w:rsidR="00321C42">
        <w:rPr>
          <w:lang w:bidi="he-IL"/>
        </w:rPr>
        <w:t>Circumcision would be</w:t>
      </w:r>
      <w:r w:rsidR="00337A39" w:rsidRPr="00337A39">
        <w:rPr>
          <w:lang w:bidi="he-IL"/>
        </w:rPr>
        <w:t xml:space="preserve"> a mark of distinctivenes</w:t>
      </w:r>
      <w:r w:rsidR="00321C42">
        <w:rPr>
          <w:lang w:bidi="he-IL"/>
        </w:rPr>
        <w:t>s for the community</w:t>
      </w:r>
      <w:r w:rsidR="00337A39" w:rsidRPr="00337A39">
        <w:rPr>
          <w:lang w:bidi="he-IL"/>
        </w:rPr>
        <w:t>, a concrete, intentional, and costly</w:t>
      </w:r>
      <w:r w:rsidR="00321C42">
        <w:rPr>
          <w:lang w:bidi="he-IL"/>
        </w:rPr>
        <w:t xml:space="preserve"> sign, and one that embraced</w:t>
      </w:r>
      <w:r w:rsidR="00337A39" w:rsidRPr="00337A39">
        <w:rPr>
          <w:lang w:bidi="he-IL"/>
        </w:rPr>
        <w:t xml:space="preserve"> both “born” and “bought.”</w:t>
      </w:r>
      <w:r w:rsidR="00337A39" w:rsidRPr="00337A39">
        <w:rPr>
          <w:vertAlign w:val="superscript"/>
          <w:lang w:bidi="he-IL"/>
        </w:rPr>
        <w:footnoteReference w:id="372"/>
      </w:r>
      <w:r w:rsidR="00337A39">
        <w:rPr>
          <w:lang w:bidi="he-IL"/>
        </w:rPr>
        <w:t xml:space="preserve"> </w:t>
      </w:r>
      <w:r w:rsidR="00321C42">
        <w:rPr>
          <w:lang w:bidi="he-IL"/>
        </w:rPr>
        <w:t xml:space="preserve">It went </w:t>
      </w:r>
      <w:r w:rsidR="00337A39" w:rsidRPr="00337A39">
        <w:rPr>
          <w:lang w:bidi="he-IL"/>
        </w:rPr>
        <w:t>along with a new name. Both suggest</w:t>
      </w:r>
      <w:r w:rsidR="00321C42">
        <w:rPr>
          <w:lang w:bidi="he-IL"/>
        </w:rPr>
        <w:t>ed</w:t>
      </w:r>
      <w:r w:rsidR="00337A39" w:rsidRPr="00337A39">
        <w:rPr>
          <w:lang w:bidi="he-IL"/>
        </w:rPr>
        <w:t xml:space="preserve"> a new and climactic stage in the differentiation of Abraham from his environment.</w:t>
      </w:r>
      <w:r w:rsidR="00337A39" w:rsidRPr="00337A39">
        <w:rPr>
          <w:vertAlign w:val="superscript"/>
          <w:lang w:bidi="he-IL"/>
        </w:rPr>
        <w:footnoteReference w:id="373"/>
      </w:r>
    </w:p>
    <w:p w14:paraId="51F02D04" w14:textId="7D65CD25" w:rsidR="00DA0866" w:rsidRPr="00DA0866" w:rsidRDefault="00337A39" w:rsidP="00321C42">
      <w:pPr>
        <w:rPr>
          <w:lang w:bidi="he-IL"/>
        </w:rPr>
      </w:pPr>
      <w:r>
        <w:rPr>
          <w:lang w:bidi="he-IL"/>
        </w:rPr>
        <w:t>B</w:t>
      </w:r>
      <w:r w:rsidR="00F33473">
        <w:rPr>
          <w:lang w:bidi="he-IL"/>
        </w:rPr>
        <w:t>aptism corresponds</w:t>
      </w:r>
      <w:r w:rsidR="00321C42">
        <w:rPr>
          <w:lang w:bidi="he-IL"/>
        </w:rPr>
        <w:t xml:space="preserve"> to circumcision, then, in being</w:t>
      </w:r>
      <w:r w:rsidR="00CD4954">
        <w:rPr>
          <w:lang w:bidi="he-IL"/>
        </w:rPr>
        <w:t xml:space="preserve"> open to all peoples </w:t>
      </w:r>
      <w:r w:rsidR="00D94664">
        <w:rPr>
          <w:lang w:bidi="he-IL"/>
        </w:rPr>
        <w:t>and to both servants and masters. It may or may not contrast with circumcision according to whether or not it works by families (</w:t>
      </w:r>
      <w:r w:rsidR="00285603">
        <w:rPr>
          <w:lang w:bidi="he-IL"/>
        </w:rPr>
        <w:t>Reformed theology argues</w:t>
      </w:r>
      <w:r w:rsidR="00D94664">
        <w:rPr>
          <w:lang w:bidi="he-IL"/>
        </w:rPr>
        <w:t xml:space="preserve"> that it does</w:t>
      </w:r>
      <w:r w:rsidR="003E1D8A">
        <w:rPr>
          <w:lang w:bidi="he-IL"/>
        </w:rPr>
        <w:t>)</w:t>
      </w:r>
      <w:r w:rsidR="00D94664">
        <w:rPr>
          <w:lang w:bidi="he-IL"/>
        </w:rPr>
        <w:t>. It does contrast with circumcision in being open to both sexes—it thus av</w:t>
      </w:r>
      <w:r w:rsidR="00321C42">
        <w:rPr>
          <w:lang w:bidi="he-IL"/>
        </w:rPr>
        <w:t>oids the oddness of the</w:t>
      </w:r>
      <w:r w:rsidR="00D94664">
        <w:rPr>
          <w:lang w:bidi="he-IL"/>
        </w:rPr>
        <w:t xml:space="preserve"> fact that the Abrahamic and Mosaic covenant was open to both sexes th</w:t>
      </w:r>
      <w:r w:rsidR="00E75A4B">
        <w:rPr>
          <w:lang w:bidi="he-IL"/>
        </w:rPr>
        <w:t>ough the covenant sign was not: cf. the implicit contrast between baptism and</w:t>
      </w:r>
      <w:r w:rsidR="00321C42">
        <w:rPr>
          <w:lang w:bidi="he-IL"/>
        </w:rPr>
        <w:t xml:space="preserve"> circumcision </w:t>
      </w:r>
      <w:r w:rsidR="00E75A4B">
        <w:rPr>
          <w:lang w:bidi="he-IL"/>
        </w:rPr>
        <w:t xml:space="preserve">(at least as understood in Galatia) in Gal 3:28 </w:t>
      </w:r>
      <w:r w:rsidR="00321C42">
        <w:rPr>
          <w:lang w:bidi="he-IL"/>
        </w:rPr>
        <w:t>as</w:t>
      </w:r>
      <w:r w:rsidR="00321C42" w:rsidRPr="00DA0866">
        <w:rPr>
          <w:lang w:bidi="he-IL"/>
        </w:rPr>
        <w:t xml:space="preserve"> making no distinction on the basis of ethnic</w:t>
      </w:r>
      <w:r w:rsidR="00E75A4B">
        <w:rPr>
          <w:lang w:bidi="he-IL"/>
        </w:rPr>
        <w:t>ity, class, or gender.</w:t>
      </w:r>
      <w:r w:rsidR="00321C42" w:rsidRPr="00DA0866">
        <w:rPr>
          <w:vertAlign w:val="superscript"/>
          <w:lang w:bidi="he-IL"/>
        </w:rPr>
        <w:footnoteReference w:id="374"/>
      </w:r>
    </w:p>
    <w:p w14:paraId="05FBD8A9" w14:textId="659049EE" w:rsidR="00F65256" w:rsidRDefault="00337A39" w:rsidP="002D0083">
      <w:pPr>
        <w:rPr>
          <w:lang w:bidi="he-IL"/>
        </w:rPr>
      </w:pPr>
      <w:r>
        <w:rPr>
          <w:lang w:bidi="he-IL"/>
        </w:rPr>
        <w:t>With circumcision and with baptism,</w:t>
      </w:r>
      <w:r w:rsidR="00CD4954">
        <w:rPr>
          <w:lang w:bidi="he-IL"/>
        </w:rPr>
        <w:t xml:space="preserve"> it is no use accepting the sign if you do not also manifes</w:t>
      </w:r>
      <w:r w:rsidR="00321C42">
        <w:rPr>
          <w:lang w:bidi="he-IL"/>
        </w:rPr>
        <w:t>t the reality it signifies, the</w:t>
      </w:r>
      <w:r w:rsidR="00CD4954">
        <w:rPr>
          <w:lang w:bidi="he-IL"/>
        </w:rPr>
        <w:t xml:space="preserve"> integrity of w</w:t>
      </w:r>
      <w:r w:rsidR="003E1D8A">
        <w:rPr>
          <w:lang w:bidi="he-IL"/>
        </w:rPr>
        <w:t xml:space="preserve">alk before God with which Gen 17 begins. </w:t>
      </w:r>
      <w:r w:rsidR="00CD4954">
        <w:rPr>
          <w:lang w:bidi="he-IL"/>
        </w:rPr>
        <w:t xml:space="preserve">Genesis presupposes the expectation which the First Testament will later make explicit, that Israel needs to have its mind as well as its body circumcised (e.g., Deut 10:16). It would be odd to think </w:t>
      </w:r>
      <w:r w:rsidR="00321C42">
        <w:rPr>
          <w:lang w:bidi="he-IL"/>
        </w:rPr>
        <w:t>of an inner circumcision if</w:t>
      </w:r>
      <w:r w:rsidR="00952340">
        <w:rPr>
          <w:lang w:bidi="he-IL"/>
        </w:rPr>
        <w:t xml:space="preserve"> there was no</w:t>
      </w:r>
      <w:r w:rsidR="00CD4954">
        <w:rPr>
          <w:lang w:bidi="he-IL"/>
        </w:rPr>
        <w:t xml:space="preserve"> outer circumcision; it would be odd to thi</w:t>
      </w:r>
      <w:r w:rsidR="00321C42">
        <w:rPr>
          <w:lang w:bidi="he-IL"/>
        </w:rPr>
        <w:t>nk of an outer circumcision if</w:t>
      </w:r>
      <w:r w:rsidR="00CD4954">
        <w:rPr>
          <w:lang w:bidi="he-IL"/>
        </w:rPr>
        <w:t xml:space="preserve"> there was no inner circumcision.</w:t>
      </w:r>
      <w:r w:rsidR="00321C42">
        <w:rPr>
          <w:lang w:bidi="he-IL"/>
        </w:rPr>
        <w:t xml:space="preserve"> T</w:t>
      </w:r>
      <w:r w:rsidR="00952340">
        <w:rPr>
          <w:lang w:bidi="he-IL"/>
        </w:rPr>
        <w:t>he parallel with baptism continues to hold. It would be odd to think of an inner c</w:t>
      </w:r>
      <w:r w:rsidR="00321C42">
        <w:rPr>
          <w:lang w:bidi="he-IL"/>
        </w:rPr>
        <w:t>leansing and dying if there was</w:t>
      </w:r>
      <w:r w:rsidR="00952340">
        <w:rPr>
          <w:lang w:bidi="he-IL"/>
        </w:rPr>
        <w:t xml:space="preserve"> no outward sign of </w:t>
      </w:r>
      <w:r w:rsidR="003E1D8A">
        <w:rPr>
          <w:lang w:bidi="he-IL"/>
        </w:rPr>
        <w:t>dying and of cl</w:t>
      </w:r>
      <w:r w:rsidR="00321C42">
        <w:rPr>
          <w:lang w:bidi="he-IL"/>
        </w:rPr>
        <w:t>eansing;</w:t>
      </w:r>
      <w:r w:rsidR="003E1D8A">
        <w:rPr>
          <w:lang w:bidi="he-IL"/>
        </w:rPr>
        <w:t xml:space="preserve"> it would</w:t>
      </w:r>
      <w:r w:rsidR="00952340">
        <w:rPr>
          <w:lang w:bidi="he-IL"/>
        </w:rPr>
        <w:t xml:space="preserve"> also </w:t>
      </w:r>
      <w:r w:rsidR="003E1D8A">
        <w:rPr>
          <w:lang w:bidi="he-IL"/>
        </w:rPr>
        <w:t xml:space="preserve">be </w:t>
      </w:r>
      <w:r w:rsidR="00952340">
        <w:rPr>
          <w:lang w:bidi="he-IL"/>
        </w:rPr>
        <w:t xml:space="preserve">odd to </w:t>
      </w:r>
      <w:r w:rsidR="00321C42">
        <w:rPr>
          <w:lang w:bidi="he-IL"/>
        </w:rPr>
        <w:t>think of an outward baptism if there was</w:t>
      </w:r>
      <w:r w:rsidR="00952340">
        <w:rPr>
          <w:lang w:bidi="he-IL"/>
        </w:rPr>
        <w:t xml:space="preserve"> no dying and cleansing of the whole person. Baptism can </w:t>
      </w:r>
      <w:r w:rsidR="003E1D8A">
        <w:rPr>
          <w:lang w:bidi="he-IL"/>
        </w:rPr>
        <w:t xml:space="preserve">also </w:t>
      </w:r>
      <w:r w:rsidR="00952340">
        <w:rPr>
          <w:lang w:bidi="he-IL"/>
        </w:rPr>
        <w:t>be</w:t>
      </w:r>
      <w:r w:rsidR="003E1D8A">
        <w:rPr>
          <w:lang w:bidi="he-IL"/>
        </w:rPr>
        <w:t xml:space="preserve"> an empty ritual. It can </w:t>
      </w:r>
      <w:r w:rsidR="00952340">
        <w:rPr>
          <w:lang w:bidi="he-IL"/>
        </w:rPr>
        <w:t>take on a life of its own which has no relation to its being a sign of God’s comm</w:t>
      </w:r>
      <w:r w:rsidR="0083125F">
        <w:rPr>
          <w:lang w:bidi="he-IL"/>
        </w:rPr>
        <w:t>itment t</w:t>
      </w:r>
      <w:r w:rsidR="00321C42">
        <w:rPr>
          <w:lang w:bidi="he-IL"/>
        </w:rPr>
        <w:t>o us and ours to God. T</w:t>
      </w:r>
      <w:r w:rsidR="0083125F">
        <w:rPr>
          <w:lang w:bidi="he-IL"/>
        </w:rPr>
        <w:t>he need to avoid this possibility i</w:t>
      </w:r>
      <w:r w:rsidR="00952340">
        <w:rPr>
          <w:lang w:bidi="he-IL"/>
        </w:rPr>
        <w:t>s one of the ways in which circumcision helps us understand baptism (Col 2:11-13).</w:t>
      </w:r>
      <w:r w:rsidR="00952340">
        <w:rPr>
          <w:rStyle w:val="FootnoteReference"/>
          <w:lang w:bidi="he-IL"/>
        </w:rPr>
        <w:footnoteReference w:id="375"/>
      </w:r>
      <w:r>
        <w:rPr>
          <w:lang w:bidi="he-IL"/>
        </w:rPr>
        <w:t xml:space="preserve"> </w:t>
      </w:r>
    </w:p>
    <w:p w14:paraId="64B292B8" w14:textId="0262F855" w:rsidR="0053623B" w:rsidRPr="00F216B9" w:rsidRDefault="0053623B" w:rsidP="002D0083">
      <w:pPr>
        <w:rPr>
          <w:lang w:bidi="he-IL"/>
        </w:rPr>
      </w:pPr>
      <w:r>
        <w:rPr>
          <w:lang w:bidi="he-IL"/>
        </w:rPr>
        <w:br w:type="page"/>
      </w:r>
    </w:p>
    <w:p w14:paraId="31B38286" w14:textId="625EE080" w:rsidR="0053623B" w:rsidRDefault="00177952" w:rsidP="0053623B">
      <w:pPr>
        <w:pStyle w:val="Heading1"/>
        <w:rPr>
          <w:lang w:bidi="he-IL"/>
        </w:rPr>
      </w:pPr>
      <w:r>
        <w:rPr>
          <w:lang w:bidi="he-IL"/>
        </w:rPr>
        <w:lastRenderedPageBreak/>
        <w:t>Genesis 18:1—19:38—</w:t>
      </w:r>
      <w:proofErr w:type="gramStart"/>
      <w:r>
        <w:rPr>
          <w:lang w:bidi="he-IL"/>
        </w:rPr>
        <w:t>The</w:t>
      </w:r>
      <w:proofErr w:type="gramEnd"/>
      <w:r>
        <w:rPr>
          <w:lang w:bidi="he-IL"/>
        </w:rPr>
        <w:t xml:space="preserve"> Three Visitors</w:t>
      </w:r>
    </w:p>
    <w:p w14:paraId="4EA314D0" w14:textId="77777777" w:rsidR="00DD5208" w:rsidRDefault="00DD5208" w:rsidP="0053623B">
      <w:pPr>
        <w:pStyle w:val="ListParagraph"/>
        <w:ind w:left="720" w:firstLine="0"/>
        <w:rPr>
          <w:lang w:bidi="he-IL"/>
        </w:rPr>
      </w:pPr>
    </w:p>
    <w:p w14:paraId="61624A00" w14:textId="77777777" w:rsidR="00141055" w:rsidRPr="00DA695A" w:rsidRDefault="00141055" w:rsidP="00141055">
      <w:pPr>
        <w:pStyle w:val="Heading2"/>
        <w:rPr>
          <w:lang w:bidi="he-IL"/>
        </w:rPr>
      </w:pPr>
      <w:r>
        <w:rPr>
          <w:lang w:bidi="he-IL"/>
        </w:rPr>
        <w:t>Overview</w:t>
      </w:r>
    </w:p>
    <w:p w14:paraId="12BDC50F" w14:textId="4083F2E7" w:rsidR="0050597E" w:rsidRDefault="00080FAD" w:rsidP="00080FAD">
      <w:pPr>
        <w:rPr>
          <w:lang w:bidi="he-IL"/>
        </w:rPr>
      </w:pPr>
      <w:r>
        <w:rPr>
          <w:lang w:bidi="he-IL"/>
        </w:rPr>
        <w:t xml:space="preserve">Gen 13:10-13 prepared us for an account of a catastrophe in Sodom, and </w:t>
      </w:r>
      <w:r w:rsidR="00337A39">
        <w:rPr>
          <w:lang w:bidi="he-IL"/>
        </w:rPr>
        <w:t xml:space="preserve">it </w:t>
      </w:r>
      <w:r>
        <w:rPr>
          <w:lang w:bidi="he-IL"/>
        </w:rPr>
        <w:t>raised the question how this catastrophe would affect Lot, while Gen 17 told of God’s promise concerning a son for Sarah but didn’t</w:t>
      </w:r>
      <w:r w:rsidR="00727890">
        <w:rPr>
          <w:lang w:bidi="he-IL"/>
        </w:rPr>
        <w:t xml:space="preserve"> </w:t>
      </w:r>
      <w:r>
        <w:rPr>
          <w:lang w:bidi="he-IL"/>
        </w:rPr>
        <w:t>indicate how Sarah would come to know about it. Gen 18—19 fills in these two gaps. First there is another appearance to Abraham which incorporates the announcement to Sarah and a chance for her to laugh. In due course there is an account of the disaster that comes to Sodom and the rescue o</w:t>
      </w:r>
      <w:r w:rsidR="00FF7E6E">
        <w:rPr>
          <w:lang w:bidi="he-IL"/>
        </w:rPr>
        <w:t>f Lot and his family. Within this</w:t>
      </w:r>
      <w:r>
        <w:rPr>
          <w:lang w:bidi="he-IL"/>
        </w:rPr>
        <w:t xml:space="preserve"> main story is an account of a dialogue between Yahweh and Abr</w:t>
      </w:r>
      <w:r w:rsidR="00FF7E6E">
        <w:rPr>
          <w:lang w:bidi="he-IL"/>
        </w:rPr>
        <w:t>aham about the propriety of bringing</w:t>
      </w:r>
      <w:r>
        <w:rPr>
          <w:lang w:bidi="he-IL"/>
        </w:rPr>
        <w:t xml:space="preserve"> catastrophe. And appended to the main story is a postscript about Lot and his daughters.</w:t>
      </w:r>
      <w:r w:rsidR="00FF7E6E">
        <w:rPr>
          <w:lang w:bidi="he-IL"/>
        </w:rPr>
        <w:t xml:space="preserve"> </w:t>
      </w:r>
      <w:r w:rsidR="0050597E">
        <w:rPr>
          <w:lang w:bidi="he-IL"/>
        </w:rPr>
        <w:t>The chapters give no indication that the events in these chapters followed on the events in Gen 17 and it makes more sense to see this account as parallel to Gen 17.</w:t>
      </w:r>
      <w:r w:rsidR="0050597E">
        <w:rPr>
          <w:rStyle w:val="FootnoteReference"/>
          <w:lang w:bidi="he-IL"/>
        </w:rPr>
        <w:footnoteReference w:id="376"/>
      </w:r>
      <w:r w:rsidR="00DF7679">
        <w:rPr>
          <w:lang w:bidi="he-IL"/>
        </w:rPr>
        <w:t xml:space="preserve"> The repetition of the story about the giving of the promise underlines its importance.</w:t>
      </w:r>
      <w:r w:rsidR="00DF7679">
        <w:rPr>
          <w:rStyle w:val="FootnoteReference"/>
          <w:lang w:bidi="he-IL"/>
        </w:rPr>
        <w:footnoteReference w:id="377"/>
      </w:r>
    </w:p>
    <w:p w14:paraId="153D88E0" w14:textId="4DD9DFB1" w:rsidR="002D5AE9" w:rsidRDefault="00706F8B" w:rsidP="00080FAD">
      <w:pPr>
        <w:rPr>
          <w:lang w:bidi="he-IL"/>
        </w:rPr>
      </w:pPr>
      <w:r>
        <w:rPr>
          <w:lang w:bidi="he-IL"/>
        </w:rPr>
        <w:t xml:space="preserve">One </w:t>
      </w:r>
      <w:r w:rsidR="008074CF">
        <w:rPr>
          <w:lang w:bidi="he-IL"/>
        </w:rPr>
        <w:t>question underlying</w:t>
      </w:r>
      <w:r w:rsidR="002D5AE9">
        <w:rPr>
          <w:lang w:bidi="he-IL"/>
        </w:rPr>
        <w:t xml:space="preserve"> the chapter is, was Yahweh fair to Sodom? And the answer might be:</w:t>
      </w:r>
    </w:p>
    <w:p w14:paraId="74B8A43B" w14:textId="77777777" w:rsidR="002D5AE9" w:rsidRDefault="002D5AE9" w:rsidP="00080FAD">
      <w:pPr>
        <w:rPr>
          <w:lang w:bidi="he-IL"/>
        </w:rPr>
      </w:pPr>
    </w:p>
    <w:p w14:paraId="6A8167BD" w14:textId="77777777" w:rsidR="002D5AE9" w:rsidRDefault="002D5AE9" w:rsidP="002D5AE9">
      <w:pPr>
        <w:pStyle w:val="ListParagraph"/>
        <w:numPr>
          <w:ilvl w:val="0"/>
          <w:numId w:val="38"/>
        </w:numPr>
        <w:rPr>
          <w:lang w:bidi="he-IL"/>
        </w:rPr>
      </w:pPr>
      <w:r>
        <w:rPr>
          <w:lang w:bidi="he-IL"/>
        </w:rPr>
        <w:t xml:space="preserve">Yahweh’s </w:t>
      </w:r>
      <w:r w:rsidR="00337A39">
        <w:rPr>
          <w:lang w:bidi="he-IL"/>
        </w:rPr>
        <w:t xml:space="preserve">primary </w:t>
      </w:r>
      <w:r>
        <w:rPr>
          <w:lang w:bidi="he-IL"/>
        </w:rPr>
        <w:t>commitment is to Abra</w:t>
      </w:r>
      <w:r w:rsidR="00337A39">
        <w:rPr>
          <w:lang w:bidi="he-IL"/>
        </w:rPr>
        <w:t>ham and Sarah, whether or not they deserve it</w:t>
      </w:r>
      <w:r w:rsidR="00672F96">
        <w:rPr>
          <w:lang w:bidi="he-IL"/>
        </w:rPr>
        <w:t>.</w:t>
      </w:r>
    </w:p>
    <w:p w14:paraId="0175A4B1" w14:textId="77777777" w:rsidR="002D5AE9" w:rsidRDefault="002D5AE9" w:rsidP="002D5AE9">
      <w:pPr>
        <w:pStyle w:val="ListParagraph"/>
        <w:numPr>
          <w:ilvl w:val="0"/>
          <w:numId w:val="38"/>
        </w:numPr>
        <w:rPr>
          <w:lang w:bidi="he-IL"/>
        </w:rPr>
      </w:pPr>
      <w:r>
        <w:rPr>
          <w:lang w:bidi="he-IL"/>
        </w:rPr>
        <w:t>Tied up with that commitment is an intention tha</w:t>
      </w:r>
      <w:r w:rsidR="00337A39">
        <w:rPr>
          <w:lang w:bidi="he-IL"/>
        </w:rPr>
        <w:t>t Abraham should be the means whereby blessing comes</w:t>
      </w:r>
      <w:r>
        <w:rPr>
          <w:lang w:bidi="he-IL"/>
        </w:rPr>
        <w:t xml:space="preserve"> to the world</w:t>
      </w:r>
      <w:r w:rsidR="00672F96">
        <w:rPr>
          <w:lang w:bidi="he-IL"/>
        </w:rPr>
        <w:t>.</w:t>
      </w:r>
    </w:p>
    <w:p w14:paraId="193BC46A" w14:textId="77777777" w:rsidR="002D5AE9" w:rsidRDefault="002D5AE9" w:rsidP="002D5AE9">
      <w:pPr>
        <w:pStyle w:val="ListParagraph"/>
        <w:numPr>
          <w:ilvl w:val="0"/>
          <w:numId w:val="38"/>
        </w:numPr>
        <w:rPr>
          <w:lang w:bidi="he-IL"/>
        </w:rPr>
      </w:pPr>
      <w:r>
        <w:rPr>
          <w:lang w:bidi="he-IL"/>
        </w:rPr>
        <w:t>Abraham’s dialogue pre</w:t>
      </w:r>
      <w:r w:rsidR="008074CF">
        <w:rPr>
          <w:lang w:bidi="he-IL"/>
        </w:rPr>
        <w:t>sses</w:t>
      </w:r>
      <w:r w:rsidR="00337A39">
        <w:rPr>
          <w:lang w:bidi="he-IL"/>
        </w:rPr>
        <w:t xml:space="preserve"> Yahweh on when h</w:t>
      </w:r>
      <w:r w:rsidR="00FF7E6E">
        <w:rPr>
          <w:lang w:bidi="he-IL"/>
        </w:rPr>
        <w:t>e would b</w:t>
      </w:r>
      <w:r w:rsidR="00672F96">
        <w:rPr>
          <w:lang w:bidi="he-IL"/>
        </w:rPr>
        <w:t>e merciful</w:t>
      </w:r>
      <w:r w:rsidR="00337A39">
        <w:rPr>
          <w:lang w:bidi="he-IL"/>
        </w:rPr>
        <w:t xml:space="preserve"> to a town such as Sodom</w:t>
      </w:r>
      <w:r w:rsidR="00672F96">
        <w:rPr>
          <w:lang w:bidi="he-IL"/>
        </w:rPr>
        <w:t>.</w:t>
      </w:r>
    </w:p>
    <w:p w14:paraId="24EACD22" w14:textId="77777777" w:rsidR="00672F96" w:rsidRDefault="008074CF" w:rsidP="002D5AE9">
      <w:pPr>
        <w:pStyle w:val="ListParagraph"/>
        <w:numPr>
          <w:ilvl w:val="0"/>
          <w:numId w:val="38"/>
        </w:numPr>
        <w:rPr>
          <w:lang w:bidi="he-IL"/>
        </w:rPr>
      </w:pPr>
      <w:r>
        <w:rPr>
          <w:lang w:bidi="he-IL"/>
        </w:rPr>
        <w:t>The envoys’ mission i</w:t>
      </w:r>
      <w:r w:rsidR="00FF7E6E">
        <w:rPr>
          <w:lang w:bidi="he-IL"/>
        </w:rPr>
        <w:t>s</w:t>
      </w:r>
      <w:r>
        <w:rPr>
          <w:lang w:bidi="he-IL"/>
        </w:rPr>
        <w:t xml:space="preserve"> designed to check whether it i</w:t>
      </w:r>
      <w:r w:rsidR="00FF7E6E">
        <w:rPr>
          <w:lang w:bidi="he-IL"/>
        </w:rPr>
        <w:t>s</w:t>
      </w:r>
      <w:r w:rsidR="00672F96">
        <w:rPr>
          <w:lang w:bidi="he-IL"/>
        </w:rPr>
        <w:t xml:space="preserve"> fair t</w:t>
      </w:r>
      <w:r>
        <w:rPr>
          <w:lang w:bidi="he-IL"/>
        </w:rPr>
        <w:t>o bring disaster—and it sure does</w:t>
      </w:r>
      <w:r w:rsidR="00672F96">
        <w:rPr>
          <w:lang w:bidi="he-IL"/>
        </w:rPr>
        <w:t xml:space="preserve"> so.</w:t>
      </w:r>
    </w:p>
    <w:p w14:paraId="5ECC6049" w14:textId="77777777" w:rsidR="00672F96" w:rsidRDefault="00672F96" w:rsidP="002D5AE9">
      <w:pPr>
        <w:pStyle w:val="ListParagraph"/>
        <w:numPr>
          <w:ilvl w:val="0"/>
          <w:numId w:val="38"/>
        </w:numPr>
        <w:rPr>
          <w:lang w:bidi="he-IL"/>
        </w:rPr>
      </w:pPr>
      <w:r>
        <w:rPr>
          <w:lang w:bidi="he-IL"/>
        </w:rPr>
        <w:t>Th</w:t>
      </w:r>
      <w:r w:rsidR="008074CF">
        <w:rPr>
          <w:lang w:bidi="he-IL"/>
        </w:rPr>
        <w:t>e postscript shows what happens</w:t>
      </w:r>
      <w:r>
        <w:rPr>
          <w:lang w:bidi="he-IL"/>
        </w:rPr>
        <w:t xml:space="preserve"> to </w:t>
      </w:r>
      <w:r w:rsidR="008074CF">
        <w:rPr>
          <w:lang w:bidi="he-IL"/>
        </w:rPr>
        <w:t>some people who ge</w:t>
      </w:r>
      <w:r>
        <w:rPr>
          <w:lang w:bidi="he-IL"/>
        </w:rPr>
        <w:t>t too close to Sodom</w:t>
      </w:r>
    </w:p>
    <w:p w14:paraId="6196CB4A" w14:textId="77777777" w:rsidR="0053623B" w:rsidRPr="00495304" w:rsidRDefault="0053623B" w:rsidP="0053623B">
      <w:pPr>
        <w:pStyle w:val="Heading2"/>
        <w:rPr>
          <w:vertAlign w:val="superscript"/>
          <w:lang w:bidi="he-IL"/>
        </w:rPr>
      </w:pPr>
      <w:r w:rsidRPr="00DA695A">
        <w:rPr>
          <w:lang w:bidi="he-IL"/>
        </w:rPr>
        <w:t>Translation</w:t>
      </w:r>
    </w:p>
    <w:p w14:paraId="7101B44A" w14:textId="361F7352" w:rsidR="0031013A" w:rsidRDefault="0053623B" w:rsidP="0053623B">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18:1</w:t>
      </w:r>
      <w:r w:rsidR="00706F8B">
        <w:rPr>
          <w:rFonts w:ascii="Calibri" w:eastAsia="Times New Roman" w:hAnsi="Calibri" w:cs="Times New Roman"/>
          <w:szCs w:val="18"/>
          <w:lang w:val="en-GB" w:bidi="he-IL"/>
        </w:rPr>
        <w:t>So Y</w:t>
      </w:r>
      <w:r>
        <w:rPr>
          <w:rFonts w:ascii="Calibri" w:eastAsia="Times New Roman" w:hAnsi="Calibri" w:cs="Times New Roman"/>
          <w:szCs w:val="18"/>
          <w:lang w:val="en-GB" w:bidi="he-IL"/>
        </w:rPr>
        <w:t>a</w:t>
      </w:r>
      <w:r w:rsidRPr="0053623B">
        <w:rPr>
          <w:rFonts w:ascii="Calibri" w:eastAsia="Times New Roman" w:hAnsi="Calibri" w:cs="Times New Roman"/>
          <w:szCs w:val="18"/>
          <w:lang w:val="en-GB" w:bidi="he-IL"/>
        </w:rPr>
        <w:t>hwe</w:t>
      </w:r>
      <w:r w:rsidR="00692F10">
        <w:rPr>
          <w:rFonts w:ascii="Calibri" w:eastAsia="Times New Roman" w:hAnsi="Calibri" w:cs="Times New Roman"/>
          <w:szCs w:val="18"/>
          <w:lang w:val="en-GB" w:bidi="he-IL"/>
        </w:rPr>
        <w:t>h appeared</w:t>
      </w:r>
      <w:r w:rsidR="001864A6">
        <w:rPr>
          <w:rFonts w:ascii="Calibri" w:eastAsia="Times New Roman" w:hAnsi="Calibri" w:cs="Times New Roman"/>
          <w:szCs w:val="18"/>
          <w:lang w:val="en-GB" w:bidi="he-IL"/>
        </w:rPr>
        <w:t xml:space="preserve"> </w:t>
      </w:r>
      <w:r w:rsidR="00692F10">
        <w:rPr>
          <w:rFonts w:ascii="Calibri" w:eastAsia="Times New Roman" w:hAnsi="Calibri" w:cs="Times New Roman"/>
          <w:szCs w:val="18"/>
          <w:lang w:val="en-GB" w:bidi="he-IL"/>
        </w:rPr>
        <w:t>to him</w:t>
      </w:r>
      <w:r w:rsidR="001864A6">
        <w:rPr>
          <w:rStyle w:val="FootnoteReference"/>
          <w:rFonts w:ascii="Calibri" w:eastAsia="Times New Roman" w:hAnsi="Calibri" w:cs="Times New Roman"/>
          <w:szCs w:val="18"/>
          <w:lang w:val="en-GB" w:bidi="he-IL"/>
        </w:rPr>
        <w:footnoteReference w:id="378"/>
      </w:r>
      <w:r w:rsidR="00692F10">
        <w:rPr>
          <w:rFonts w:ascii="Calibri" w:eastAsia="Times New Roman" w:hAnsi="Calibri" w:cs="Times New Roman"/>
          <w:szCs w:val="18"/>
          <w:lang w:val="en-GB" w:bidi="he-IL"/>
        </w:rPr>
        <w:t xml:space="preserve"> by the Mamre O</w:t>
      </w:r>
      <w:r w:rsidRPr="0053623B">
        <w:rPr>
          <w:rFonts w:ascii="Calibri" w:eastAsia="Times New Roman" w:hAnsi="Calibri" w:cs="Times New Roman"/>
          <w:szCs w:val="18"/>
          <w:lang w:val="en-GB" w:bidi="he-IL"/>
        </w:rPr>
        <w:t xml:space="preserve">aks, when he was sitting at the tent entrance as the day grew hot. </w:t>
      </w:r>
    </w:p>
    <w:p w14:paraId="696E75FD" w14:textId="03E46E83" w:rsidR="0053623B" w:rsidRPr="0053623B" w:rsidRDefault="0053623B" w:rsidP="0053623B">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2</w:t>
      </w:r>
      <w:r w:rsidR="00FA7BEF">
        <w:rPr>
          <w:rFonts w:ascii="Calibri" w:eastAsia="Times New Roman" w:hAnsi="Calibri" w:cs="Times New Roman"/>
          <w:szCs w:val="18"/>
          <w:lang w:val="en-GB" w:bidi="he-IL"/>
        </w:rPr>
        <w:t>He lifted his eyes and saw</w:t>
      </w:r>
      <w:r w:rsidRPr="0053623B">
        <w:rPr>
          <w:rFonts w:ascii="Calibri" w:eastAsia="Times New Roman" w:hAnsi="Calibri" w:cs="Times New Roman"/>
          <w:szCs w:val="18"/>
          <w:lang w:val="en-GB" w:bidi="he-IL"/>
        </w:rPr>
        <w:t xml:space="preserve">, and there, </w:t>
      </w:r>
      <w:r w:rsidR="00921D35">
        <w:rPr>
          <w:rFonts w:ascii="Calibri" w:eastAsia="Times New Roman" w:hAnsi="Calibri" w:cs="Times New Roman"/>
          <w:szCs w:val="18"/>
          <w:lang w:val="en-GB" w:bidi="he-IL"/>
        </w:rPr>
        <w:t>three men were standing near</w:t>
      </w:r>
      <w:r w:rsidR="00453117">
        <w:rPr>
          <w:rFonts w:ascii="Calibri" w:eastAsia="Times New Roman" w:hAnsi="Calibri" w:cs="Times New Roman"/>
          <w:szCs w:val="18"/>
          <w:lang w:val="en-GB" w:bidi="he-IL"/>
        </w:rPr>
        <w:t xml:space="preserve"> him. He saw them and</w:t>
      </w:r>
      <w:r w:rsidRPr="0053623B">
        <w:rPr>
          <w:rFonts w:ascii="Calibri" w:eastAsia="Times New Roman" w:hAnsi="Calibri" w:cs="Times New Roman"/>
          <w:szCs w:val="18"/>
          <w:lang w:val="en-GB" w:bidi="he-IL"/>
        </w:rPr>
        <w:t xml:space="preserve"> ran to meet them from the tent entrance</w:t>
      </w:r>
      <w:r>
        <w:rPr>
          <w:rFonts w:ascii="Calibri" w:eastAsia="Times New Roman" w:hAnsi="Calibri" w:cs="Times New Roman"/>
          <w:szCs w:val="18"/>
          <w:lang w:val="en-GB" w:bidi="he-IL"/>
        </w:rPr>
        <w:t xml:space="preserve">, bowed to the ground, </w:t>
      </w:r>
      <w:r>
        <w:rPr>
          <w:rFonts w:ascii="Calibri" w:eastAsia="Times New Roman" w:hAnsi="Calibri" w:cs="Times New Roman"/>
          <w:szCs w:val="18"/>
          <w:vertAlign w:val="superscript"/>
          <w:lang w:val="en-GB" w:bidi="he-IL"/>
        </w:rPr>
        <w:t>3</w:t>
      </w:r>
      <w:r w:rsidRPr="0053623B">
        <w:rPr>
          <w:rFonts w:ascii="Calibri" w:eastAsia="Times New Roman" w:hAnsi="Calibri" w:cs="Times New Roman"/>
          <w:szCs w:val="18"/>
          <w:lang w:val="en-GB" w:bidi="he-IL"/>
        </w:rPr>
        <w:t xml:space="preserve">and said, </w:t>
      </w:r>
      <w:r w:rsidR="003D56BA">
        <w:rPr>
          <w:rFonts w:ascii="Calibri" w:eastAsia="Times New Roman" w:hAnsi="Calibri" w:cs="Times New Roman"/>
          <w:szCs w:val="18"/>
          <w:lang w:val="en-GB" w:bidi="he-IL"/>
        </w:rPr>
        <w:t>“</w:t>
      </w:r>
      <w:r w:rsidR="00E90ED6">
        <w:rPr>
          <w:rFonts w:ascii="Calibri" w:eastAsia="Times New Roman" w:hAnsi="Calibri" w:cs="Times New Roman"/>
          <w:szCs w:val="18"/>
          <w:lang w:val="en-GB" w:bidi="he-IL"/>
        </w:rPr>
        <w:t>My lords</w:t>
      </w:r>
      <w:r w:rsidRPr="0053623B">
        <w:rPr>
          <w:rFonts w:ascii="Calibri" w:eastAsia="Times New Roman" w:hAnsi="Calibri" w:cs="Times New Roman"/>
          <w:szCs w:val="18"/>
          <w:lang w:val="en-GB" w:bidi="he-IL"/>
        </w:rPr>
        <w:t>,</w:t>
      </w:r>
      <w:r w:rsidR="009129EF">
        <w:rPr>
          <w:rStyle w:val="FootnoteReference"/>
          <w:rFonts w:ascii="Calibri" w:eastAsia="Times New Roman" w:hAnsi="Calibri" w:cs="Times New Roman"/>
          <w:szCs w:val="18"/>
          <w:lang w:val="en-GB" w:bidi="he-IL"/>
        </w:rPr>
        <w:footnoteReference w:id="379"/>
      </w:r>
      <w:r w:rsidR="001864A6">
        <w:rPr>
          <w:rFonts w:ascii="Calibri" w:eastAsia="Times New Roman" w:hAnsi="Calibri" w:cs="Times New Roman"/>
          <w:szCs w:val="18"/>
          <w:lang w:val="en-GB" w:bidi="he-IL"/>
        </w:rPr>
        <w:t xml:space="preserve"> please, if I’ve found favor</w:t>
      </w:r>
      <w:r w:rsidRPr="0053623B">
        <w:rPr>
          <w:rFonts w:ascii="Calibri" w:eastAsia="Times New Roman" w:hAnsi="Calibri" w:cs="Times New Roman"/>
          <w:szCs w:val="18"/>
          <w:lang w:val="en-GB" w:bidi="he-IL"/>
        </w:rPr>
        <w:t xml:space="preserve"> in your eyes, don’t pass by your servant, please. </w:t>
      </w:r>
      <w:r>
        <w:rPr>
          <w:rFonts w:ascii="Calibri" w:eastAsia="Times New Roman" w:hAnsi="Calibri" w:cs="Times New Roman"/>
          <w:szCs w:val="18"/>
          <w:vertAlign w:val="superscript"/>
          <w:lang w:val="en-GB" w:bidi="he-IL"/>
        </w:rPr>
        <w:t>4</w:t>
      </w:r>
      <w:r w:rsidR="0050375A">
        <w:rPr>
          <w:rFonts w:ascii="Calibri" w:eastAsia="Times New Roman" w:hAnsi="Calibri" w:cs="Times New Roman"/>
          <w:szCs w:val="18"/>
          <w:lang w:val="en-GB" w:bidi="he-IL"/>
        </w:rPr>
        <w:t xml:space="preserve">May </w:t>
      </w:r>
      <w:r w:rsidRPr="0053623B">
        <w:rPr>
          <w:rFonts w:ascii="Calibri" w:eastAsia="Times New Roman" w:hAnsi="Calibri" w:cs="Times New Roman"/>
          <w:szCs w:val="18"/>
          <w:lang w:val="en-GB" w:bidi="he-IL"/>
        </w:rPr>
        <w:t>a little water</w:t>
      </w:r>
      <w:r w:rsidR="0050375A">
        <w:rPr>
          <w:rFonts w:ascii="Calibri" w:eastAsia="Times New Roman" w:hAnsi="Calibri" w:cs="Times New Roman"/>
          <w:szCs w:val="18"/>
          <w:lang w:val="en-GB" w:bidi="he-IL"/>
        </w:rPr>
        <w:t xml:space="preserve"> please be got</w:t>
      </w:r>
      <w:r w:rsidRPr="0053623B">
        <w:rPr>
          <w:rFonts w:ascii="Calibri" w:eastAsia="Times New Roman" w:hAnsi="Calibri" w:cs="Times New Roman"/>
          <w:szCs w:val="18"/>
          <w:lang w:val="en-GB" w:bidi="he-IL"/>
        </w:rPr>
        <w:t xml:space="preserve">? Bathe your feet. </w:t>
      </w:r>
      <w:r w:rsidRPr="005024EE">
        <w:rPr>
          <w:rFonts w:ascii="Calibri" w:eastAsia="Times New Roman" w:hAnsi="Calibri" w:cs="Times New Roman"/>
          <w:szCs w:val="18"/>
          <w:lang w:bidi="he-IL"/>
        </w:rPr>
        <w:t xml:space="preserve">Rest under the tree. </w:t>
      </w:r>
      <w:r>
        <w:rPr>
          <w:rFonts w:ascii="Calibri" w:eastAsia="Times New Roman" w:hAnsi="Calibri" w:cs="Times New Roman"/>
          <w:szCs w:val="18"/>
          <w:vertAlign w:val="superscript"/>
          <w:lang w:val="en-GB" w:bidi="he-IL"/>
        </w:rPr>
        <w:t>5</w:t>
      </w:r>
      <w:r w:rsidR="00B03019">
        <w:rPr>
          <w:rFonts w:ascii="Calibri" w:eastAsia="Times New Roman" w:hAnsi="Calibri" w:cs="Times New Roman"/>
          <w:szCs w:val="18"/>
          <w:lang w:val="en-GB" w:bidi="he-IL"/>
        </w:rPr>
        <w:t>I’</w:t>
      </w:r>
      <w:r w:rsidRPr="0053623B">
        <w:rPr>
          <w:rFonts w:ascii="Calibri" w:eastAsia="Times New Roman" w:hAnsi="Calibri" w:cs="Times New Roman"/>
          <w:szCs w:val="18"/>
          <w:lang w:val="en-GB" w:bidi="he-IL"/>
        </w:rPr>
        <w:t>ll get a bit of bread. Su</w:t>
      </w:r>
      <w:r w:rsidR="00973A5B">
        <w:rPr>
          <w:rFonts w:ascii="Calibri" w:eastAsia="Times New Roman" w:hAnsi="Calibri" w:cs="Times New Roman"/>
          <w:szCs w:val="18"/>
          <w:lang w:val="en-GB" w:bidi="he-IL"/>
        </w:rPr>
        <w:t xml:space="preserve">stain your heart, </w:t>
      </w:r>
      <w:r w:rsidRPr="0053623B">
        <w:rPr>
          <w:rFonts w:ascii="Calibri" w:eastAsia="Times New Roman" w:hAnsi="Calibri" w:cs="Times New Roman"/>
          <w:szCs w:val="18"/>
          <w:lang w:val="en-GB" w:bidi="he-IL"/>
        </w:rPr>
        <w:t>you can pass on</w:t>
      </w:r>
      <w:r w:rsidR="00973A5B">
        <w:rPr>
          <w:rFonts w:ascii="Calibri" w:eastAsia="Times New Roman" w:hAnsi="Calibri" w:cs="Times New Roman"/>
          <w:szCs w:val="18"/>
          <w:lang w:val="en-GB" w:bidi="he-IL"/>
        </w:rPr>
        <w:t xml:space="preserve"> after</w:t>
      </w:r>
      <w:r w:rsidR="000905F1">
        <w:rPr>
          <w:rFonts w:ascii="Calibri" w:eastAsia="Times New Roman" w:hAnsi="Calibri" w:cs="Times New Roman"/>
          <w:szCs w:val="18"/>
          <w:lang w:val="en-GB" w:bidi="he-IL"/>
        </w:rPr>
        <w:t>, because of the fact that</w:t>
      </w:r>
      <w:r w:rsidRPr="0053623B">
        <w:rPr>
          <w:rFonts w:ascii="Calibri" w:eastAsia="Times New Roman" w:hAnsi="Calibri" w:cs="Times New Roman"/>
          <w:szCs w:val="18"/>
          <w:lang w:val="en-GB" w:bidi="he-IL"/>
        </w:rPr>
        <w:t xml:space="preserve"> you’ve passed near your servant.</w:t>
      </w:r>
      <w:r w:rsidR="003D56BA">
        <w:rPr>
          <w:rFonts w:ascii="Calibri" w:eastAsia="Times New Roman" w:hAnsi="Calibri" w:cs="Times New Roman"/>
          <w:szCs w:val="18"/>
          <w:lang w:val="en-GB" w:bidi="he-IL"/>
        </w:rPr>
        <w:t>”</w:t>
      </w:r>
      <w:r w:rsidRPr="0053623B">
        <w:rPr>
          <w:rFonts w:ascii="Calibri" w:eastAsia="Times New Roman" w:hAnsi="Calibri" w:cs="Times New Roman"/>
          <w:szCs w:val="18"/>
          <w:lang w:val="en-GB" w:bidi="he-IL"/>
        </w:rPr>
        <w:t xml:space="preserve"> They said, </w:t>
      </w:r>
      <w:r w:rsidR="003D56BA">
        <w:rPr>
          <w:rFonts w:ascii="Calibri" w:eastAsia="Times New Roman" w:hAnsi="Calibri" w:cs="Times New Roman"/>
          <w:szCs w:val="18"/>
          <w:lang w:val="en-GB" w:bidi="he-IL"/>
        </w:rPr>
        <w:t>“</w:t>
      </w:r>
      <w:r w:rsidR="00706F8B">
        <w:rPr>
          <w:rFonts w:ascii="Calibri" w:eastAsia="Times New Roman" w:hAnsi="Calibri" w:cs="Times New Roman"/>
          <w:szCs w:val="18"/>
          <w:lang w:val="en-GB" w:bidi="he-IL"/>
        </w:rPr>
        <w:t>Yes, you may do as you’</w:t>
      </w:r>
      <w:r w:rsidRPr="0053623B">
        <w:rPr>
          <w:rFonts w:ascii="Calibri" w:eastAsia="Times New Roman" w:hAnsi="Calibri" w:cs="Times New Roman"/>
          <w:szCs w:val="18"/>
          <w:lang w:val="en-GB" w:bidi="he-IL"/>
        </w:rPr>
        <w:t>ve spoken.</w:t>
      </w:r>
      <w:r w:rsidR="003D56BA">
        <w:rPr>
          <w:rFonts w:ascii="Calibri" w:eastAsia="Times New Roman" w:hAnsi="Calibri" w:cs="Times New Roman"/>
          <w:szCs w:val="18"/>
          <w:lang w:val="en-GB" w:bidi="he-IL"/>
        </w:rPr>
        <w:t>”</w:t>
      </w:r>
      <w:r w:rsidRPr="0053623B">
        <w:rPr>
          <w:rFonts w:ascii="Calibri" w:eastAsia="Times New Roman" w:hAnsi="Calibri" w:cs="Times New Roman"/>
          <w:szCs w:val="18"/>
          <w:lang w:val="en-GB" w:bidi="he-IL"/>
        </w:rPr>
        <w:t xml:space="preserve"> </w:t>
      </w:r>
    </w:p>
    <w:p w14:paraId="4DB15588" w14:textId="4A08F737" w:rsidR="0053623B" w:rsidRPr="0053623B" w:rsidRDefault="0053623B" w:rsidP="0053623B">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lastRenderedPageBreak/>
        <w:t>6</w:t>
      </w:r>
      <w:r w:rsidRPr="0053623B">
        <w:rPr>
          <w:rFonts w:ascii="Calibri" w:eastAsia="Times New Roman" w:hAnsi="Calibri" w:cs="Times New Roman"/>
          <w:szCs w:val="18"/>
          <w:lang w:val="en-GB" w:bidi="he-IL"/>
        </w:rPr>
        <w:t xml:space="preserve">Abraham hurried to the tent to Sarah and said, </w:t>
      </w:r>
      <w:r w:rsidR="003D56BA">
        <w:rPr>
          <w:rFonts w:ascii="Calibri" w:eastAsia="Times New Roman" w:hAnsi="Calibri" w:cs="Times New Roman"/>
          <w:szCs w:val="18"/>
          <w:lang w:val="en-GB" w:bidi="he-IL"/>
        </w:rPr>
        <w:t>“</w:t>
      </w:r>
      <w:r w:rsidRPr="0053623B">
        <w:rPr>
          <w:rFonts w:ascii="Calibri" w:eastAsia="Times New Roman" w:hAnsi="Calibri" w:cs="Times New Roman"/>
          <w:szCs w:val="18"/>
          <w:lang w:val="en-GB" w:bidi="he-IL"/>
        </w:rPr>
        <w:t>Hurry, three measures</w:t>
      </w:r>
      <w:r w:rsidR="0030406B">
        <w:rPr>
          <w:rStyle w:val="FootnoteReference"/>
          <w:rFonts w:ascii="Calibri" w:eastAsia="Times New Roman" w:hAnsi="Calibri" w:cs="Times New Roman"/>
          <w:szCs w:val="18"/>
          <w:lang w:val="en-GB" w:bidi="he-IL"/>
        </w:rPr>
        <w:footnoteReference w:id="380"/>
      </w:r>
      <w:r w:rsidR="00EF3C75">
        <w:rPr>
          <w:rFonts w:ascii="Calibri" w:eastAsia="Times New Roman" w:hAnsi="Calibri" w:cs="Times New Roman"/>
          <w:szCs w:val="18"/>
          <w:lang w:val="en-GB" w:bidi="he-IL"/>
        </w:rPr>
        <w:t xml:space="preserve"> of fine flour</w:t>
      </w:r>
      <w:r w:rsidRPr="0053623B">
        <w:rPr>
          <w:rFonts w:ascii="Calibri" w:eastAsia="Times New Roman" w:hAnsi="Calibri" w:cs="Times New Roman"/>
          <w:szCs w:val="18"/>
          <w:lang w:val="en-GB" w:bidi="he-IL"/>
        </w:rPr>
        <w:t xml:space="preserve"> </w:t>
      </w:r>
      <w:r w:rsidR="00EF3C75">
        <w:rPr>
          <w:rFonts w:ascii="Calibri" w:eastAsia="Times New Roman" w:hAnsi="Calibri" w:cs="Times New Roman"/>
          <w:szCs w:val="18"/>
          <w:lang w:val="en-GB" w:bidi="he-IL"/>
        </w:rPr>
        <w:t>(</w:t>
      </w:r>
      <w:r w:rsidRPr="0053623B">
        <w:rPr>
          <w:rFonts w:ascii="Calibri" w:eastAsia="Times New Roman" w:hAnsi="Calibri" w:cs="Times New Roman"/>
          <w:szCs w:val="18"/>
          <w:lang w:val="en-GB" w:bidi="he-IL"/>
        </w:rPr>
        <w:t>meal</w:t>
      </w:r>
      <w:r w:rsidR="00EF3C75">
        <w:rPr>
          <w:rFonts w:ascii="Calibri" w:eastAsia="Times New Roman" w:hAnsi="Calibri" w:cs="Times New Roman"/>
          <w:szCs w:val="18"/>
          <w:lang w:val="en-GB" w:bidi="he-IL"/>
        </w:rPr>
        <w:t>)</w:t>
      </w:r>
      <w:r w:rsidR="000E2C91">
        <w:rPr>
          <w:rFonts w:ascii="Calibri" w:eastAsia="Times New Roman" w:hAnsi="Calibri" w:cs="Times New Roman"/>
          <w:szCs w:val="18"/>
          <w:lang w:val="en-GB" w:bidi="he-IL"/>
        </w:rPr>
        <w:t xml:space="preserve">, knead it, </w:t>
      </w:r>
      <w:proofErr w:type="gramStart"/>
      <w:r w:rsidR="000E2C91">
        <w:rPr>
          <w:rFonts w:ascii="Calibri" w:eastAsia="Times New Roman" w:hAnsi="Calibri" w:cs="Times New Roman"/>
          <w:szCs w:val="18"/>
          <w:lang w:val="en-GB" w:bidi="he-IL"/>
        </w:rPr>
        <w:t>make</w:t>
      </w:r>
      <w:proofErr w:type="gramEnd"/>
      <w:r w:rsidR="000E2C91">
        <w:rPr>
          <w:rFonts w:ascii="Calibri" w:eastAsia="Times New Roman" w:hAnsi="Calibri" w:cs="Times New Roman"/>
          <w:szCs w:val="18"/>
          <w:lang w:val="en-GB" w:bidi="he-IL"/>
        </w:rPr>
        <w:t xml:space="preserve"> loaves</w:t>
      </w:r>
      <w:r w:rsidRPr="0053623B">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Pr="0053623B">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7</w:t>
      </w:r>
      <w:r w:rsidR="00971746">
        <w:rPr>
          <w:rFonts w:ascii="Calibri" w:eastAsia="Times New Roman" w:hAnsi="Calibri" w:cs="Times New Roman"/>
          <w:szCs w:val="18"/>
          <w:lang w:val="en-GB" w:bidi="he-IL"/>
        </w:rPr>
        <w:t>Out to the herd Abraham ran</w:t>
      </w:r>
      <w:r w:rsidRPr="0053623B">
        <w:rPr>
          <w:rFonts w:ascii="Calibri" w:eastAsia="Times New Roman" w:hAnsi="Calibri" w:cs="Times New Roman"/>
          <w:szCs w:val="18"/>
          <w:lang w:val="en-GB" w:bidi="he-IL"/>
        </w:rPr>
        <w:t>, got a nic</w:t>
      </w:r>
      <w:r w:rsidR="00A2426A">
        <w:rPr>
          <w:rFonts w:ascii="Calibri" w:eastAsia="Times New Roman" w:hAnsi="Calibri" w:cs="Times New Roman"/>
          <w:szCs w:val="18"/>
          <w:lang w:val="en-GB" w:bidi="he-IL"/>
        </w:rPr>
        <w:t>e, tender calf, and gave it to the</w:t>
      </w:r>
      <w:r w:rsidRPr="0053623B">
        <w:rPr>
          <w:rFonts w:ascii="Calibri" w:eastAsia="Times New Roman" w:hAnsi="Calibri" w:cs="Times New Roman"/>
          <w:szCs w:val="18"/>
          <w:lang w:val="en-GB" w:bidi="he-IL"/>
        </w:rPr>
        <w:t xml:space="preserve"> boy,</w:t>
      </w:r>
      <w:r w:rsidR="00A2426A">
        <w:rPr>
          <w:rStyle w:val="FootnoteReference"/>
          <w:rFonts w:ascii="Calibri" w:eastAsia="Times New Roman" w:hAnsi="Calibri" w:cs="Times New Roman"/>
          <w:szCs w:val="18"/>
          <w:lang w:val="en-GB" w:bidi="he-IL"/>
        </w:rPr>
        <w:footnoteReference w:id="381"/>
      </w:r>
      <w:r w:rsidRPr="0053623B">
        <w:rPr>
          <w:rFonts w:ascii="Calibri" w:eastAsia="Times New Roman" w:hAnsi="Calibri" w:cs="Times New Roman"/>
          <w:szCs w:val="18"/>
          <w:lang w:val="en-GB" w:bidi="he-IL"/>
        </w:rPr>
        <w:t xml:space="preserve"> and he hurried to prepare it. </w:t>
      </w:r>
      <w:r>
        <w:rPr>
          <w:rFonts w:ascii="Calibri" w:eastAsia="Times New Roman" w:hAnsi="Calibri" w:cs="Times New Roman"/>
          <w:szCs w:val="18"/>
          <w:vertAlign w:val="superscript"/>
          <w:lang w:val="en-GB" w:bidi="he-IL"/>
        </w:rPr>
        <w:t>8</w:t>
      </w:r>
      <w:r w:rsidR="00CD79E1">
        <w:rPr>
          <w:rFonts w:ascii="Calibri" w:eastAsia="Times New Roman" w:hAnsi="Calibri" w:cs="Times New Roman"/>
          <w:szCs w:val="18"/>
          <w:lang w:val="en-GB" w:bidi="he-IL"/>
        </w:rPr>
        <w:t>He got yoghurt</w:t>
      </w:r>
      <w:r w:rsidRPr="0053623B">
        <w:rPr>
          <w:rFonts w:ascii="Calibri" w:eastAsia="Times New Roman" w:hAnsi="Calibri" w:cs="Times New Roman"/>
          <w:szCs w:val="18"/>
          <w:lang w:val="en-GB" w:bidi="he-IL"/>
        </w:rPr>
        <w:t xml:space="preserve"> and milk and the calf that he’d pre</w:t>
      </w:r>
      <w:r w:rsidR="0050375A">
        <w:rPr>
          <w:rFonts w:ascii="Calibri" w:eastAsia="Times New Roman" w:hAnsi="Calibri" w:cs="Times New Roman"/>
          <w:szCs w:val="18"/>
          <w:lang w:val="en-GB" w:bidi="he-IL"/>
        </w:rPr>
        <w:t>pared and set it before them, and while he</w:t>
      </w:r>
      <w:r w:rsidRPr="0053623B">
        <w:rPr>
          <w:rFonts w:ascii="Calibri" w:eastAsia="Times New Roman" w:hAnsi="Calibri" w:cs="Times New Roman"/>
          <w:szCs w:val="18"/>
          <w:lang w:val="en-GB" w:bidi="he-IL"/>
        </w:rPr>
        <w:t xml:space="preserve"> stood</w:t>
      </w:r>
      <w:r w:rsidR="0050375A">
        <w:rPr>
          <w:rFonts w:ascii="Calibri" w:eastAsia="Times New Roman" w:hAnsi="Calibri" w:cs="Times New Roman"/>
          <w:szCs w:val="18"/>
          <w:lang w:val="en-GB" w:bidi="he-IL"/>
        </w:rPr>
        <w:t xml:space="preserve"> near them under the tree,</w:t>
      </w:r>
      <w:r w:rsidRPr="0053623B">
        <w:rPr>
          <w:rFonts w:ascii="Calibri" w:eastAsia="Times New Roman" w:hAnsi="Calibri" w:cs="Times New Roman"/>
          <w:szCs w:val="18"/>
          <w:lang w:val="en-GB" w:bidi="he-IL"/>
        </w:rPr>
        <w:t xml:space="preserve"> they ate. </w:t>
      </w:r>
    </w:p>
    <w:p w14:paraId="272B2E74" w14:textId="6316A33B" w:rsidR="00A71B79" w:rsidRDefault="0053623B" w:rsidP="0053623B">
      <w:pPr>
        <w:rPr>
          <w:rFonts w:ascii="Calibri" w:eastAsia="Times New Roman" w:hAnsi="Calibri" w:cs="Times New Roman"/>
          <w:lang w:val="en-GB" w:bidi="he-IL"/>
        </w:rPr>
      </w:pPr>
      <w:r>
        <w:rPr>
          <w:rFonts w:ascii="Calibri" w:eastAsia="Times New Roman" w:hAnsi="Calibri" w:cs="Times New Roman"/>
          <w:vertAlign w:val="superscript"/>
          <w:lang w:val="en-GB" w:bidi="he-IL"/>
        </w:rPr>
        <w:t>9</w:t>
      </w:r>
      <w:r w:rsidRPr="0053623B">
        <w:rPr>
          <w:rFonts w:ascii="Calibri" w:eastAsia="Times New Roman" w:hAnsi="Calibri" w:cs="Times New Roman"/>
          <w:lang w:val="en-GB" w:bidi="he-IL"/>
        </w:rPr>
        <w:t xml:space="preserve">They said to him, </w:t>
      </w:r>
      <w:r w:rsidR="003D56BA">
        <w:rPr>
          <w:rFonts w:ascii="Calibri" w:eastAsia="Times New Roman" w:hAnsi="Calibri" w:cs="Times New Roman"/>
          <w:lang w:val="en-GB" w:bidi="he-IL"/>
        </w:rPr>
        <w:t>“</w:t>
      </w:r>
      <w:r w:rsidR="003D10D0">
        <w:rPr>
          <w:rFonts w:ascii="Calibri" w:eastAsia="Times New Roman" w:hAnsi="Calibri" w:cs="Times New Roman"/>
          <w:lang w:val="en-GB" w:bidi="he-IL"/>
        </w:rPr>
        <w:t>Where’</w:t>
      </w:r>
      <w:r w:rsidRPr="0053623B">
        <w:rPr>
          <w:rFonts w:ascii="Calibri" w:eastAsia="Times New Roman" w:hAnsi="Calibri" w:cs="Times New Roman"/>
          <w:lang w:val="en-GB" w:bidi="he-IL"/>
        </w:rPr>
        <w:t>s Sarah your wife?</w:t>
      </w:r>
      <w:r w:rsidR="003D56BA">
        <w:rPr>
          <w:rFonts w:ascii="Calibri" w:eastAsia="Times New Roman" w:hAnsi="Calibri" w:cs="Times New Roman"/>
          <w:lang w:val="en-GB" w:bidi="he-IL"/>
        </w:rPr>
        <w:t>”</w:t>
      </w:r>
      <w:r w:rsidRPr="0053623B">
        <w:rPr>
          <w:rFonts w:ascii="Calibri" w:eastAsia="Times New Roman" w:hAnsi="Calibri" w:cs="Times New Roman"/>
          <w:lang w:val="en-GB" w:bidi="he-IL"/>
        </w:rPr>
        <w:t xml:space="preserve"> He said, </w:t>
      </w:r>
      <w:r w:rsidR="003D56BA">
        <w:rPr>
          <w:rFonts w:ascii="Calibri" w:eastAsia="Times New Roman" w:hAnsi="Calibri" w:cs="Times New Roman"/>
          <w:lang w:val="en-GB" w:bidi="he-IL"/>
        </w:rPr>
        <w:t>“</w:t>
      </w:r>
      <w:r w:rsidRPr="0053623B">
        <w:rPr>
          <w:rFonts w:ascii="Calibri" w:eastAsia="Times New Roman" w:hAnsi="Calibri" w:cs="Times New Roman"/>
          <w:lang w:val="en-GB" w:bidi="he-IL"/>
        </w:rPr>
        <w:t>There, in the tent.</w:t>
      </w:r>
      <w:r w:rsidR="003D56BA">
        <w:rPr>
          <w:rFonts w:ascii="Calibri" w:eastAsia="Times New Roman" w:hAnsi="Calibri" w:cs="Times New Roman"/>
          <w:lang w:val="en-GB" w:bidi="he-IL"/>
        </w:rPr>
        <w:t>”</w:t>
      </w:r>
      <w:r w:rsidRPr="0053623B">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10</w:t>
      </w:r>
      <w:r w:rsidRPr="0053623B">
        <w:rPr>
          <w:rFonts w:ascii="Calibri" w:eastAsia="Times New Roman" w:hAnsi="Calibri" w:cs="Times New Roman"/>
          <w:lang w:val="en-GB" w:bidi="he-IL"/>
        </w:rPr>
        <w:t xml:space="preserve">He said, </w:t>
      </w:r>
      <w:r w:rsidR="003D56BA">
        <w:rPr>
          <w:rFonts w:ascii="Calibri" w:eastAsia="Times New Roman" w:hAnsi="Calibri" w:cs="Times New Roman"/>
          <w:lang w:val="en-GB" w:bidi="he-IL"/>
        </w:rPr>
        <w:t>“</w:t>
      </w:r>
      <w:r w:rsidRPr="0053623B">
        <w:rPr>
          <w:rFonts w:ascii="Calibri" w:eastAsia="Times New Roman" w:hAnsi="Calibri" w:cs="Times New Roman"/>
          <w:lang w:val="en-GB" w:bidi="he-IL"/>
        </w:rPr>
        <w:t xml:space="preserve">I </w:t>
      </w:r>
      <w:r w:rsidR="00B03019">
        <w:rPr>
          <w:rFonts w:ascii="Calibri" w:eastAsia="Times New Roman" w:hAnsi="Calibri" w:cs="Times New Roman"/>
          <w:lang w:val="en-GB" w:bidi="he-IL"/>
        </w:rPr>
        <w:t>will</w:t>
      </w:r>
      <w:r w:rsidRPr="0053623B">
        <w:rPr>
          <w:rFonts w:ascii="Calibri" w:eastAsia="Times New Roman" w:hAnsi="Calibri" w:cs="Times New Roman"/>
          <w:lang w:val="en-GB" w:bidi="he-IL"/>
        </w:rPr>
        <w:t xml:space="preserve"> definitely come back to you </w:t>
      </w:r>
      <w:r w:rsidR="00CC4DAD">
        <w:rPr>
          <w:rFonts w:ascii="Calibri" w:eastAsia="Times New Roman" w:hAnsi="Calibri" w:cs="Times New Roman"/>
          <w:lang w:val="en-GB" w:bidi="he-IL"/>
        </w:rPr>
        <w:t>at the time when there is life</w:t>
      </w:r>
      <w:r w:rsidR="00AE0CD4">
        <w:rPr>
          <w:rFonts w:ascii="Calibri" w:eastAsia="Times New Roman" w:hAnsi="Calibri" w:cs="Times New Roman"/>
          <w:lang w:val="en-GB" w:bidi="he-IL"/>
        </w:rPr>
        <w:t>,</w:t>
      </w:r>
      <w:r w:rsidR="00793576">
        <w:rPr>
          <w:rStyle w:val="FootnoteReference"/>
          <w:rFonts w:ascii="Calibri" w:eastAsia="Times New Roman" w:hAnsi="Calibri" w:cs="Times New Roman"/>
          <w:lang w:val="en-GB" w:bidi="he-IL"/>
        </w:rPr>
        <w:footnoteReference w:id="382"/>
      </w:r>
      <w:r w:rsidR="00AE0CD4">
        <w:rPr>
          <w:rFonts w:ascii="Calibri" w:eastAsia="Times New Roman" w:hAnsi="Calibri" w:cs="Times New Roman"/>
          <w:lang w:val="en-GB" w:bidi="he-IL"/>
        </w:rPr>
        <w:t xml:space="preserve"> and t</w:t>
      </w:r>
      <w:r w:rsidRPr="0053623B">
        <w:rPr>
          <w:rFonts w:ascii="Calibri" w:eastAsia="Times New Roman" w:hAnsi="Calibri" w:cs="Times New Roman"/>
          <w:lang w:val="en-GB" w:bidi="he-IL"/>
        </w:rPr>
        <w:t>here, Sarah your wife will have a son.</w:t>
      </w:r>
      <w:r w:rsidR="003D56BA">
        <w:rPr>
          <w:rFonts w:ascii="Calibri" w:eastAsia="Times New Roman" w:hAnsi="Calibri" w:cs="Times New Roman"/>
          <w:lang w:val="en-GB" w:bidi="he-IL"/>
        </w:rPr>
        <w:t>”</w:t>
      </w:r>
      <w:r w:rsidRPr="0053623B">
        <w:rPr>
          <w:rFonts w:ascii="Calibri" w:eastAsia="Times New Roman" w:hAnsi="Calibri" w:cs="Times New Roman"/>
          <w:lang w:val="en-GB" w:bidi="he-IL"/>
        </w:rPr>
        <w:t xml:space="preserve"> Sarah was liste</w:t>
      </w:r>
      <w:r w:rsidR="007262F8">
        <w:rPr>
          <w:rFonts w:ascii="Calibri" w:eastAsia="Times New Roman" w:hAnsi="Calibri" w:cs="Times New Roman"/>
          <w:lang w:val="en-GB" w:bidi="he-IL"/>
        </w:rPr>
        <w:t>ning at the tent entrance; it</w:t>
      </w:r>
      <w:r w:rsidRPr="0053623B">
        <w:rPr>
          <w:rFonts w:ascii="Calibri" w:eastAsia="Times New Roman" w:hAnsi="Calibri" w:cs="Times New Roman"/>
          <w:lang w:val="en-GB" w:bidi="he-IL"/>
        </w:rPr>
        <w:t xml:space="preserve"> was behind him. </w:t>
      </w:r>
      <w:r>
        <w:rPr>
          <w:rFonts w:ascii="Calibri" w:eastAsia="Times New Roman" w:hAnsi="Calibri" w:cs="Times New Roman"/>
          <w:vertAlign w:val="superscript"/>
          <w:lang w:val="en-GB" w:bidi="he-IL"/>
        </w:rPr>
        <w:t>11</w:t>
      </w:r>
      <w:r w:rsidRPr="0053623B">
        <w:rPr>
          <w:rFonts w:ascii="Calibri" w:eastAsia="Times New Roman" w:hAnsi="Calibri" w:cs="Times New Roman"/>
          <w:lang w:val="en-GB" w:bidi="he-IL"/>
        </w:rPr>
        <w:t xml:space="preserve">Now Abraham and Sarah were old, going on in years; the way woman menstruate had left off from happening for Sarah. </w:t>
      </w:r>
      <w:r>
        <w:rPr>
          <w:rFonts w:ascii="Calibri" w:eastAsia="Times New Roman" w:hAnsi="Calibri" w:cs="Times New Roman"/>
          <w:vertAlign w:val="superscript"/>
          <w:lang w:val="en-GB" w:bidi="he-IL"/>
        </w:rPr>
        <w:t>12</w:t>
      </w:r>
      <w:r w:rsidR="002A1E5C">
        <w:rPr>
          <w:rFonts w:ascii="Calibri" w:eastAsia="Times New Roman" w:hAnsi="Calibri" w:cs="Times New Roman"/>
          <w:lang w:val="en-GB" w:bidi="he-IL"/>
        </w:rPr>
        <w:t>So Sarah laughed inside</w:t>
      </w:r>
      <w:r w:rsidRPr="0053623B">
        <w:rPr>
          <w:rFonts w:ascii="Calibri" w:eastAsia="Times New Roman" w:hAnsi="Calibri" w:cs="Times New Roman"/>
          <w:lang w:val="en-GB" w:bidi="he-IL"/>
        </w:rPr>
        <w:t xml:space="preserve">, saying </w:t>
      </w:r>
      <w:r w:rsidR="003D56BA">
        <w:rPr>
          <w:rFonts w:ascii="Calibri" w:eastAsia="Times New Roman" w:hAnsi="Calibri" w:cs="Times New Roman"/>
          <w:lang w:val="en-GB" w:bidi="he-IL"/>
        </w:rPr>
        <w:t>“</w:t>
      </w:r>
      <w:r w:rsidR="002A1E5C">
        <w:rPr>
          <w:rFonts w:ascii="Calibri" w:eastAsia="Times New Roman" w:hAnsi="Calibri" w:cs="Times New Roman"/>
          <w:lang w:val="en-GB" w:bidi="he-IL"/>
        </w:rPr>
        <w:t xml:space="preserve">After I’m withered, </w:t>
      </w:r>
      <w:r w:rsidR="00262BBF">
        <w:rPr>
          <w:rFonts w:ascii="Calibri" w:eastAsia="Times New Roman" w:hAnsi="Calibri" w:cs="Times New Roman"/>
          <w:lang w:val="en-GB" w:bidi="he-IL"/>
        </w:rPr>
        <w:t xml:space="preserve">there </w:t>
      </w:r>
      <w:r w:rsidR="002A1E5C">
        <w:rPr>
          <w:rFonts w:ascii="Calibri" w:eastAsia="Times New Roman" w:hAnsi="Calibri" w:cs="Times New Roman"/>
          <w:lang w:val="en-GB" w:bidi="he-IL"/>
        </w:rPr>
        <w:t xml:space="preserve">will </w:t>
      </w:r>
      <w:r w:rsidR="00262BBF">
        <w:rPr>
          <w:rFonts w:ascii="Calibri" w:eastAsia="Times New Roman" w:hAnsi="Calibri" w:cs="Times New Roman"/>
          <w:lang w:val="en-GB" w:bidi="he-IL"/>
        </w:rPr>
        <w:t>have been</w:t>
      </w:r>
      <w:r w:rsidR="00262BBF">
        <w:rPr>
          <w:rStyle w:val="FootnoteReference"/>
          <w:rFonts w:ascii="Calibri" w:eastAsia="Times New Roman" w:hAnsi="Calibri" w:cs="Times New Roman"/>
          <w:lang w:val="en-GB" w:bidi="he-IL"/>
        </w:rPr>
        <w:footnoteReference w:id="383"/>
      </w:r>
      <w:r w:rsidR="009250EE">
        <w:rPr>
          <w:rFonts w:ascii="Calibri" w:eastAsia="Times New Roman" w:hAnsi="Calibri" w:cs="Times New Roman"/>
          <w:lang w:val="en-GB" w:bidi="he-IL"/>
        </w:rPr>
        <w:t xml:space="preserve"> lushness</w:t>
      </w:r>
      <w:r w:rsidR="009250EE">
        <w:rPr>
          <w:rStyle w:val="FootnoteReference"/>
          <w:rFonts w:ascii="Calibri" w:eastAsia="Times New Roman" w:hAnsi="Calibri" w:cs="Times New Roman"/>
          <w:lang w:val="en-GB" w:bidi="he-IL"/>
        </w:rPr>
        <w:footnoteReference w:id="384"/>
      </w:r>
      <w:r w:rsidRPr="0053623B">
        <w:rPr>
          <w:rFonts w:ascii="Calibri" w:eastAsia="Times New Roman" w:hAnsi="Calibri" w:cs="Times New Roman"/>
          <w:lang w:val="en-GB" w:bidi="he-IL"/>
        </w:rPr>
        <w:t xml:space="preserve"> for me, with my lord</w:t>
      </w:r>
      <w:r w:rsidR="002B1252">
        <w:rPr>
          <w:rStyle w:val="FootnoteReference"/>
          <w:rFonts w:ascii="Calibri" w:eastAsia="Times New Roman" w:hAnsi="Calibri" w:cs="Times New Roman"/>
          <w:lang w:val="en-GB" w:bidi="he-IL"/>
        </w:rPr>
        <w:footnoteReference w:id="385"/>
      </w:r>
      <w:r w:rsidR="002A1E5C">
        <w:rPr>
          <w:rFonts w:ascii="Calibri" w:eastAsia="Times New Roman" w:hAnsi="Calibri" w:cs="Times New Roman"/>
          <w:lang w:val="en-GB" w:bidi="he-IL"/>
        </w:rPr>
        <w:t xml:space="preserve"> old!</w:t>
      </w:r>
      <w:r w:rsidR="003D56BA">
        <w:rPr>
          <w:rFonts w:ascii="Calibri" w:eastAsia="Times New Roman" w:hAnsi="Calibri" w:cs="Times New Roman"/>
          <w:lang w:val="en-GB" w:bidi="he-IL"/>
        </w:rPr>
        <w:t>”</w:t>
      </w:r>
      <w:r w:rsidRPr="0053623B">
        <w:rPr>
          <w:rFonts w:ascii="Calibri" w:eastAsia="Times New Roman" w:hAnsi="Calibri" w:cs="Times New Roman"/>
          <w:lang w:val="en-GB" w:bidi="he-IL"/>
        </w:rPr>
        <w:t xml:space="preserve"> </w:t>
      </w:r>
    </w:p>
    <w:p w14:paraId="3EA1EF22" w14:textId="4652A03B" w:rsidR="0053623B" w:rsidRPr="0053623B" w:rsidRDefault="0053623B" w:rsidP="0053623B">
      <w:pPr>
        <w:rPr>
          <w:rFonts w:ascii="Calibri" w:eastAsia="Times New Roman" w:hAnsi="Calibri" w:cs="Times New Roman"/>
          <w:lang w:val="en-GB" w:bidi="he-IL"/>
        </w:rPr>
      </w:pPr>
      <w:r>
        <w:rPr>
          <w:rFonts w:ascii="Calibri" w:eastAsia="Times New Roman" w:hAnsi="Calibri" w:cs="Times New Roman"/>
          <w:vertAlign w:val="superscript"/>
          <w:lang w:val="en-GB" w:bidi="he-IL"/>
        </w:rPr>
        <w:t>13</w:t>
      </w:r>
      <w:r w:rsidRPr="0053623B">
        <w:rPr>
          <w:rFonts w:ascii="Calibri" w:eastAsia="Times New Roman" w:hAnsi="Calibri" w:cs="Times New Roman"/>
          <w:lang w:val="en-GB" w:bidi="he-IL"/>
        </w:rPr>
        <w:t xml:space="preserve">Yahweh said to Abraham, </w:t>
      </w:r>
      <w:r w:rsidR="003D56BA">
        <w:rPr>
          <w:rFonts w:ascii="Calibri" w:eastAsia="Times New Roman" w:hAnsi="Calibri" w:cs="Times New Roman"/>
          <w:lang w:val="en-GB" w:bidi="he-IL"/>
        </w:rPr>
        <w:t>“</w:t>
      </w:r>
      <w:r w:rsidR="002A1E5C">
        <w:rPr>
          <w:rFonts w:ascii="Calibri" w:eastAsia="Times New Roman" w:hAnsi="Calibri" w:cs="Times New Roman"/>
          <w:lang w:val="en-GB" w:bidi="he-IL"/>
        </w:rPr>
        <w:t>Why is it that</w:t>
      </w:r>
      <w:r w:rsidRPr="0053623B">
        <w:rPr>
          <w:rFonts w:ascii="Calibri" w:eastAsia="Times New Roman" w:hAnsi="Calibri" w:cs="Times New Roman"/>
          <w:lang w:val="en-GB" w:bidi="he-IL"/>
        </w:rPr>
        <w:t xml:space="preserve"> Sarah laugh</w:t>
      </w:r>
      <w:r w:rsidR="002A1E5C">
        <w:rPr>
          <w:rFonts w:ascii="Calibri" w:eastAsia="Times New Roman" w:hAnsi="Calibri" w:cs="Times New Roman"/>
          <w:lang w:val="en-GB" w:bidi="he-IL"/>
        </w:rPr>
        <w:t>ed</w:t>
      </w:r>
      <w:r w:rsidRPr="0053623B">
        <w:rPr>
          <w:rFonts w:ascii="Calibri" w:eastAsia="Times New Roman" w:hAnsi="Calibri" w:cs="Times New Roman"/>
          <w:lang w:val="en-GB" w:bidi="he-IL"/>
        </w:rPr>
        <w:t>, saying</w:t>
      </w:r>
      <w:r>
        <w:rPr>
          <w:rFonts w:ascii="Calibri" w:eastAsia="Times New Roman" w:hAnsi="Calibri" w:cs="Times New Roman"/>
          <w:lang w:val="en-GB" w:bidi="he-IL"/>
        </w:rPr>
        <w:t xml:space="preserve"> ‘</w:t>
      </w:r>
      <w:r w:rsidR="002A1E5C">
        <w:rPr>
          <w:rFonts w:ascii="Calibri" w:eastAsia="Times New Roman" w:hAnsi="Calibri" w:cs="Times New Roman"/>
          <w:lang w:val="en-GB" w:bidi="he-IL"/>
        </w:rPr>
        <w:t>Will I reall</w:t>
      </w:r>
      <w:r w:rsidR="00ED5BD3">
        <w:rPr>
          <w:rFonts w:ascii="Calibri" w:eastAsia="Times New Roman" w:hAnsi="Calibri" w:cs="Times New Roman"/>
          <w:lang w:val="en-GB" w:bidi="he-IL"/>
        </w:rPr>
        <w:t>y give birth, in that</w:t>
      </w:r>
      <w:r w:rsidR="00ED5BD3">
        <w:rPr>
          <w:rStyle w:val="FootnoteReference"/>
          <w:rFonts w:ascii="Calibri" w:eastAsia="Times New Roman" w:hAnsi="Calibri" w:cs="Times New Roman"/>
          <w:lang w:val="en-GB" w:bidi="he-IL"/>
        </w:rPr>
        <w:footnoteReference w:id="386"/>
      </w:r>
      <w:r w:rsidR="00AE0CD4">
        <w:rPr>
          <w:rFonts w:ascii="Calibri" w:eastAsia="Times New Roman" w:hAnsi="Calibri" w:cs="Times New Roman"/>
          <w:lang w:val="en-GB" w:bidi="he-IL"/>
        </w:rPr>
        <w:t xml:space="preserve"> I’</w:t>
      </w:r>
      <w:r w:rsidRPr="0053623B">
        <w:rPr>
          <w:rFonts w:ascii="Calibri" w:eastAsia="Times New Roman" w:hAnsi="Calibri" w:cs="Times New Roman"/>
          <w:lang w:val="en-GB" w:bidi="he-IL"/>
        </w:rPr>
        <w:t>m old?</w:t>
      </w:r>
      <w:r>
        <w:rPr>
          <w:rFonts w:ascii="Calibri" w:eastAsia="Times New Roman" w:hAnsi="Calibri" w:cs="Times New Roman"/>
          <w:lang w:val="en-GB" w:bidi="he-IL"/>
        </w:rPr>
        <w:t>’</w:t>
      </w:r>
      <w:r w:rsidRPr="0053623B">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14</w:t>
      </w:r>
      <w:r w:rsidRPr="0053623B">
        <w:rPr>
          <w:rFonts w:ascii="Calibri" w:eastAsia="Times New Roman" w:hAnsi="Calibri" w:cs="Times New Roman"/>
          <w:lang w:val="en-GB" w:bidi="he-IL"/>
        </w:rPr>
        <w:t xml:space="preserve">Is a thing too extraordinary for Yahweh? At this set time I </w:t>
      </w:r>
      <w:r w:rsidR="00B03019">
        <w:rPr>
          <w:rFonts w:ascii="Calibri" w:eastAsia="Times New Roman" w:hAnsi="Calibri" w:cs="Times New Roman"/>
          <w:lang w:val="en-GB" w:bidi="he-IL"/>
        </w:rPr>
        <w:t>will</w:t>
      </w:r>
      <w:r w:rsidRPr="0053623B">
        <w:rPr>
          <w:rFonts w:ascii="Calibri" w:eastAsia="Times New Roman" w:hAnsi="Calibri" w:cs="Times New Roman"/>
          <w:lang w:val="en-GB" w:bidi="he-IL"/>
        </w:rPr>
        <w:t xml:space="preserve"> come back to you</w:t>
      </w:r>
      <w:r w:rsidR="00E50F2B">
        <w:rPr>
          <w:rFonts w:ascii="Calibri" w:eastAsia="Times New Roman" w:hAnsi="Calibri" w:cs="Times New Roman"/>
          <w:lang w:val="en-GB" w:bidi="he-IL"/>
        </w:rPr>
        <w:t>,</w:t>
      </w:r>
      <w:r w:rsidR="00DB176B">
        <w:rPr>
          <w:rFonts w:ascii="Calibri" w:eastAsia="Times New Roman" w:hAnsi="Calibri" w:cs="Times New Roman"/>
          <w:lang w:val="en-GB" w:bidi="he-IL"/>
        </w:rPr>
        <w:t xml:space="preserve"> at </w:t>
      </w:r>
      <w:r w:rsidR="00DB176B" w:rsidRPr="00DB176B">
        <w:rPr>
          <w:rFonts w:ascii="Calibri" w:eastAsia="Times New Roman" w:hAnsi="Calibri" w:cs="Times New Roman"/>
          <w:lang w:val="en-GB" w:bidi="he-IL"/>
        </w:rPr>
        <w:t>the time when there is life</w:t>
      </w:r>
      <w:r w:rsidR="00E50F2B">
        <w:rPr>
          <w:rFonts w:ascii="Calibri" w:eastAsia="Times New Roman" w:hAnsi="Calibri" w:cs="Times New Roman"/>
          <w:lang w:val="en-GB" w:bidi="he-IL"/>
        </w:rPr>
        <w:t>,</w:t>
      </w:r>
      <w:r w:rsidRPr="0053623B">
        <w:rPr>
          <w:rFonts w:ascii="Calibri" w:eastAsia="Times New Roman" w:hAnsi="Calibri" w:cs="Times New Roman"/>
          <w:lang w:val="en-GB" w:bidi="he-IL"/>
        </w:rPr>
        <w:t xml:space="preserve"> and Sarah will have a son.</w:t>
      </w:r>
      <w:r w:rsidR="003D56BA">
        <w:rPr>
          <w:rFonts w:ascii="Calibri" w:eastAsia="Times New Roman" w:hAnsi="Calibri" w:cs="Times New Roman"/>
          <w:lang w:val="en-GB" w:bidi="he-IL"/>
        </w:rPr>
        <w:t>”</w:t>
      </w:r>
      <w:r w:rsidRPr="0053623B">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15</w:t>
      </w:r>
      <w:r w:rsidRPr="0053623B">
        <w:rPr>
          <w:rFonts w:ascii="Calibri" w:eastAsia="Times New Roman" w:hAnsi="Calibri" w:cs="Times New Roman"/>
          <w:lang w:val="en-GB" w:bidi="he-IL"/>
        </w:rPr>
        <w:t xml:space="preserve">Sarah lied, saying </w:t>
      </w:r>
      <w:r w:rsidR="003D56BA">
        <w:rPr>
          <w:rFonts w:ascii="Calibri" w:eastAsia="Times New Roman" w:hAnsi="Calibri" w:cs="Times New Roman"/>
          <w:lang w:val="en-GB" w:bidi="he-IL"/>
        </w:rPr>
        <w:t>“</w:t>
      </w:r>
      <w:r w:rsidRPr="0053623B">
        <w:rPr>
          <w:rFonts w:ascii="Calibri" w:eastAsia="Times New Roman" w:hAnsi="Calibri" w:cs="Times New Roman"/>
          <w:lang w:val="en-GB" w:bidi="he-IL"/>
        </w:rPr>
        <w:t>I didn’t laugh,</w:t>
      </w:r>
      <w:r w:rsidR="003D56BA">
        <w:rPr>
          <w:rFonts w:ascii="Calibri" w:eastAsia="Times New Roman" w:hAnsi="Calibri" w:cs="Times New Roman"/>
          <w:lang w:val="en-GB" w:bidi="he-IL"/>
        </w:rPr>
        <w:t>”</w:t>
      </w:r>
      <w:r w:rsidRPr="0053623B">
        <w:rPr>
          <w:rFonts w:ascii="Calibri" w:eastAsia="Times New Roman" w:hAnsi="Calibri" w:cs="Times New Roman"/>
          <w:lang w:val="en-GB" w:bidi="he-IL"/>
        </w:rPr>
        <w:t xml:space="preserve"> because she was afraid. He said, </w:t>
      </w:r>
      <w:r w:rsidR="003D56BA">
        <w:rPr>
          <w:rFonts w:ascii="Calibri" w:eastAsia="Times New Roman" w:hAnsi="Calibri" w:cs="Times New Roman"/>
          <w:lang w:val="en-GB" w:bidi="he-IL"/>
        </w:rPr>
        <w:t>“</w:t>
      </w:r>
      <w:r w:rsidRPr="0053623B">
        <w:rPr>
          <w:rFonts w:ascii="Calibri" w:eastAsia="Times New Roman" w:hAnsi="Calibri" w:cs="Times New Roman"/>
          <w:lang w:val="en-GB" w:bidi="he-IL"/>
        </w:rPr>
        <w:t xml:space="preserve">No, you </w:t>
      </w:r>
      <w:r w:rsidR="002A1E5C">
        <w:rPr>
          <w:rFonts w:ascii="Calibri" w:eastAsia="Times New Roman" w:hAnsi="Calibri" w:cs="Times New Roman"/>
          <w:lang w:val="en-GB" w:bidi="he-IL"/>
        </w:rPr>
        <w:t>did laugh</w:t>
      </w:r>
      <w:r w:rsidRPr="0053623B">
        <w:rPr>
          <w:rFonts w:ascii="Calibri" w:eastAsia="Times New Roman" w:hAnsi="Calibri" w:cs="Times New Roman"/>
          <w:lang w:val="en-GB" w:bidi="he-IL"/>
        </w:rPr>
        <w:t>.</w:t>
      </w:r>
      <w:r w:rsidR="003D56BA">
        <w:rPr>
          <w:rFonts w:ascii="Calibri" w:eastAsia="Times New Roman" w:hAnsi="Calibri" w:cs="Times New Roman"/>
          <w:lang w:val="en-GB" w:bidi="he-IL"/>
        </w:rPr>
        <w:t>”</w:t>
      </w:r>
      <w:r w:rsidRPr="0053623B">
        <w:rPr>
          <w:rFonts w:ascii="Calibri" w:eastAsia="Times New Roman" w:hAnsi="Calibri" w:cs="Times New Roman"/>
          <w:lang w:val="en-GB" w:bidi="he-IL"/>
        </w:rPr>
        <w:t xml:space="preserve"> </w:t>
      </w:r>
    </w:p>
    <w:p w14:paraId="655FC0C5" w14:textId="77777777" w:rsidR="00101B1A" w:rsidRDefault="0053623B" w:rsidP="0053623B">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16</w:t>
      </w:r>
      <w:r w:rsidRPr="0053623B">
        <w:rPr>
          <w:rFonts w:ascii="Calibri" w:eastAsia="Times New Roman" w:hAnsi="Calibri" w:cs="Times New Roman"/>
          <w:szCs w:val="18"/>
          <w:lang w:val="en-GB" w:bidi="he-IL"/>
        </w:rPr>
        <w:t>From there the men set off, and they looked down at Sedom, with Abraham goi</w:t>
      </w:r>
      <w:r w:rsidR="00CD3096">
        <w:rPr>
          <w:rFonts w:ascii="Calibri" w:eastAsia="Times New Roman" w:hAnsi="Calibri" w:cs="Times New Roman"/>
          <w:szCs w:val="18"/>
          <w:lang w:val="en-GB" w:bidi="he-IL"/>
        </w:rPr>
        <w:t xml:space="preserve">ng with them to send them off. </w:t>
      </w:r>
    </w:p>
    <w:p w14:paraId="2573221B" w14:textId="7077B5E8" w:rsidR="00CD3096" w:rsidRDefault="0053623B" w:rsidP="0053623B">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17</w:t>
      </w:r>
      <w:r w:rsidR="00CD3096">
        <w:rPr>
          <w:rFonts w:ascii="Calibri" w:eastAsia="Times New Roman" w:hAnsi="Calibri" w:cs="Times New Roman"/>
          <w:szCs w:val="18"/>
          <w:lang w:val="en-GB" w:bidi="he-IL"/>
        </w:rPr>
        <w:t xml:space="preserve">But </w:t>
      </w:r>
      <w:r w:rsidRPr="0053623B">
        <w:rPr>
          <w:rFonts w:ascii="Calibri" w:eastAsia="Times New Roman" w:hAnsi="Calibri" w:cs="Times New Roman"/>
          <w:szCs w:val="18"/>
          <w:lang w:val="en-GB" w:bidi="he-IL"/>
        </w:rPr>
        <w:t>Yahweh</w:t>
      </w:r>
      <w:r w:rsidR="00BC6655">
        <w:rPr>
          <w:rStyle w:val="FootnoteReference"/>
          <w:rFonts w:ascii="Calibri" w:eastAsia="Times New Roman" w:hAnsi="Calibri" w:cs="Times New Roman"/>
          <w:szCs w:val="18"/>
          <w:lang w:val="en-GB" w:bidi="he-IL"/>
        </w:rPr>
        <w:footnoteReference w:id="387"/>
      </w:r>
      <w:r w:rsidR="00790AAB">
        <w:rPr>
          <w:rFonts w:ascii="Calibri" w:eastAsia="Times New Roman" w:hAnsi="Calibri" w:cs="Times New Roman"/>
          <w:szCs w:val="18"/>
          <w:lang w:val="en-GB" w:bidi="he-IL"/>
        </w:rPr>
        <w:t>—</w:t>
      </w:r>
      <w:r w:rsidR="00CD5094">
        <w:rPr>
          <w:rFonts w:ascii="Calibri" w:eastAsia="Times New Roman" w:hAnsi="Calibri" w:cs="Times New Roman"/>
          <w:szCs w:val="18"/>
          <w:lang w:val="en-GB" w:bidi="he-IL"/>
        </w:rPr>
        <w:t xml:space="preserve">he </w:t>
      </w:r>
      <w:r w:rsidRPr="0053623B">
        <w:rPr>
          <w:rFonts w:ascii="Calibri" w:eastAsia="Times New Roman" w:hAnsi="Calibri" w:cs="Times New Roman"/>
          <w:szCs w:val="18"/>
          <w:lang w:val="en-GB" w:bidi="he-IL"/>
        </w:rPr>
        <w:t>said,</w:t>
      </w:r>
      <w:r>
        <w:rPr>
          <w:rFonts w:ascii="Calibri" w:eastAsia="Times New Roman" w:hAnsi="Calibri" w:cs="Times New Roman"/>
          <w:szCs w:val="18"/>
          <w:lang w:val="en-GB" w:bidi="he-IL"/>
        </w:rPr>
        <w:t xml:space="preserve"> </w:t>
      </w:r>
      <w:r w:rsidR="003D56BA">
        <w:rPr>
          <w:rFonts w:ascii="Calibri" w:eastAsia="Times New Roman" w:hAnsi="Calibri" w:cs="Times New Roman"/>
          <w:szCs w:val="18"/>
          <w:lang w:val="en-GB" w:bidi="he-IL"/>
        </w:rPr>
        <w:t>“</w:t>
      </w:r>
      <w:r w:rsidRPr="0053623B">
        <w:rPr>
          <w:rFonts w:ascii="Calibri" w:eastAsia="Times New Roman" w:hAnsi="Calibri" w:cs="Times New Roman"/>
          <w:szCs w:val="18"/>
          <w:lang w:val="en-GB" w:bidi="he-IL"/>
        </w:rPr>
        <w:t>Am I going to hide from Abraham what I’m</w:t>
      </w:r>
      <w:r>
        <w:rPr>
          <w:rFonts w:ascii="Calibri" w:eastAsia="Times New Roman" w:hAnsi="Calibri" w:cs="Times New Roman"/>
          <w:szCs w:val="18"/>
          <w:lang w:val="en-GB" w:bidi="he-IL"/>
        </w:rPr>
        <w:t xml:space="preserve"> </w:t>
      </w:r>
      <w:r w:rsidR="00CD3096">
        <w:rPr>
          <w:rFonts w:ascii="Calibri" w:eastAsia="Times New Roman" w:hAnsi="Calibri" w:cs="Times New Roman"/>
          <w:szCs w:val="18"/>
          <w:lang w:val="en-GB" w:bidi="he-IL"/>
        </w:rPr>
        <w:t>going to do</w:t>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18</w:t>
      </w:r>
      <w:r w:rsidRPr="0053623B">
        <w:rPr>
          <w:rFonts w:ascii="Calibri" w:eastAsia="Times New Roman" w:hAnsi="Calibri" w:cs="Times New Roman"/>
          <w:szCs w:val="18"/>
          <w:lang w:val="en-GB" w:bidi="he-IL"/>
        </w:rPr>
        <w:t>when Abraham is indeed to become a big, numerous nation, and all the nations on the earth are</w:t>
      </w:r>
      <w:r>
        <w:rPr>
          <w:rFonts w:ascii="Calibri" w:eastAsia="Times New Roman" w:hAnsi="Calibri" w:cs="Times New Roman"/>
          <w:szCs w:val="18"/>
          <w:lang w:val="en-GB" w:bidi="he-IL"/>
        </w:rPr>
        <w:t xml:space="preserve"> to </w:t>
      </w:r>
      <w:r w:rsidR="0091096F">
        <w:rPr>
          <w:rFonts w:ascii="Calibri" w:eastAsia="Times New Roman" w:hAnsi="Calibri" w:cs="Times New Roman"/>
          <w:szCs w:val="18"/>
          <w:lang w:val="en-GB" w:bidi="he-IL"/>
        </w:rPr>
        <w:t>gain blessin</w:t>
      </w:r>
      <w:r w:rsidR="0096306D">
        <w:rPr>
          <w:rFonts w:ascii="Calibri" w:eastAsia="Times New Roman" w:hAnsi="Calibri" w:cs="Times New Roman"/>
          <w:szCs w:val="18"/>
          <w:lang w:val="en-GB" w:bidi="he-IL"/>
        </w:rPr>
        <w:t>g</w:t>
      </w:r>
      <w:r w:rsidR="0091096F" w:rsidRPr="0091096F">
        <w:rPr>
          <w:rFonts w:ascii="Calibri" w:eastAsia="Times New Roman" w:hAnsi="Calibri" w:cs="Times New Roman"/>
          <w:szCs w:val="18"/>
          <w:vertAlign w:val="superscript"/>
          <w:lang w:val="en-GB" w:bidi="he-IL"/>
        </w:rPr>
        <w:footnoteReference w:id="388"/>
      </w:r>
      <w:r>
        <w:rPr>
          <w:rFonts w:ascii="Calibri" w:eastAsia="Times New Roman" w:hAnsi="Calibri" w:cs="Times New Roman"/>
          <w:szCs w:val="18"/>
          <w:lang w:val="en-GB" w:bidi="he-IL"/>
        </w:rPr>
        <w:t xml:space="preserve"> by him?</w:t>
      </w:r>
      <w:r w:rsidR="002B06BA">
        <w:rPr>
          <w:rFonts w:ascii="Calibri" w:eastAsia="Times New Roman" w:hAnsi="Calibri" w:cs="Times New Roman"/>
          <w:szCs w:val="18"/>
          <w:lang w:val="en-GB" w:bidi="he-IL"/>
        </w:rPr>
        <w:t>—</w:t>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19</w:t>
      </w:r>
      <w:r w:rsidR="002B06BA">
        <w:rPr>
          <w:rFonts w:ascii="Calibri" w:eastAsia="Times New Roman" w:hAnsi="Calibri" w:cs="Times New Roman"/>
          <w:szCs w:val="18"/>
          <w:lang w:val="en-GB" w:bidi="he-IL"/>
        </w:rPr>
        <w:t>b</w:t>
      </w:r>
      <w:r w:rsidRPr="0053623B">
        <w:rPr>
          <w:rFonts w:ascii="Calibri" w:eastAsia="Times New Roman" w:hAnsi="Calibri" w:cs="Times New Roman"/>
          <w:szCs w:val="18"/>
          <w:lang w:val="en-GB" w:bidi="he-IL"/>
        </w:rPr>
        <w:t>ecaus</w:t>
      </w:r>
      <w:r w:rsidR="00CD5094">
        <w:rPr>
          <w:rFonts w:ascii="Calibri" w:eastAsia="Times New Roman" w:hAnsi="Calibri" w:cs="Times New Roman"/>
          <w:szCs w:val="18"/>
          <w:lang w:val="en-GB" w:bidi="he-IL"/>
        </w:rPr>
        <w:t>e I’ve acknowledged him in order</w:t>
      </w:r>
      <w:r w:rsidRPr="0053623B">
        <w:rPr>
          <w:rFonts w:ascii="Calibri" w:eastAsia="Times New Roman" w:hAnsi="Calibri" w:cs="Times New Roman"/>
          <w:szCs w:val="18"/>
          <w:lang w:val="en-GB" w:bidi="he-IL"/>
        </w:rPr>
        <w:t xml:space="preserve"> that</w:t>
      </w:r>
      <w:r w:rsidR="00CD5094">
        <w:rPr>
          <w:rStyle w:val="FootnoteReference"/>
          <w:rFonts w:ascii="Calibri" w:eastAsia="Times New Roman" w:hAnsi="Calibri" w:cs="Times New Roman"/>
          <w:szCs w:val="18"/>
          <w:lang w:val="en-GB" w:bidi="he-IL"/>
        </w:rPr>
        <w:footnoteReference w:id="389"/>
      </w:r>
      <w:r w:rsidR="002D0EB2">
        <w:rPr>
          <w:rFonts w:ascii="Calibri" w:eastAsia="Times New Roman" w:hAnsi="Calibri" w:cs="Times New Roman"/>
          <w:szCs w:val="18"/>
          <w:lang w:val="en-GB" w:bidi="he-IL"/>
        </w:rPr>
        <w:t xml:space="preserve"> he may order</w:t>
      </w:r>
      <w:r w:rsidRPr="0053623B">
        <w:rPr>
          <w:rFonts w:ascii="Calibri" w:eastAsia="Times New Roman" w:hAnsi="Calibri" w:cs="Times New Roman"/>
          <w:szCs w:val="18"/>
          <w:lang w:val="en-GB" w:bidi="he-IL"/>
        </w:rPr>
        <w:t xml:space="preserve"> his children and his</w:t>
      </w:r>
      <w:r w:rsidR="00AE0CD4">
        <w:rPr>
          <w:rFonts w:ascii="Calibri" w:eastAsia="Times New Roman" w:hAnsi="Calibri" w:cs="Times New Roman"/>
          <w:szCs w:val="18"/>
          <w:lang w:val="en-GB" w:bidi="he-IL"/>
        </w:rPr>
        <w:t xml:space="preserve"> household after him and they will</w:t>
      </w:r>
      <w:r w:rsidRPr="0053623B">
        <w:rPr>
          <w:rFonts w:ascii="Calibri" w:eastAsia="Times New Roman" w:hAnsi="Calibri" w:cs="Times New Roman"/>
          <w:szCs w:val="18"/>
          <w:lang w:val="en-GB" w:bidi="he-IL"/>
        </w:rPr>
        <w:t xml:space="preserve"> ke</w:t>
      </w:r>
      <w:r w:rsidR="00BC6655">
        <w:rPr>
          <w:rFonts w:ascii="Calibri" w:eastAsia="Times New Roman" w:hAnsi="Calibri" w:cs="Times New Roman"/>
          <w:szCs w:val="18"/>
          <w:lang w:val="en-GB" w:bidi="he-IL"/>
        </w:rPr>
        <w:t>ep Yahweh’s way by practis</w:t>
      </w:r>
      <w:r w:rsidRPr="0053623B">
        <w:rPr>
          <w:rFonts w:ascii="Calibri" w:eastAsia="Times New Roman" w:hAnsi="Calibri" w:cs="Times New Roman"/>
          <w:szCs w:val="18"/>
          <w:lang w:val="en-GB" w:bidi="he-IL"/>
        </w:rPr>
        <w:t>ing faithfulness in the</w:t>
      </w:r>
      <w:r w:rsidR="00CD5094">
        <w:rPr>
          <w:rFonts w:ascii="Calibri" w:eastAsia="Times New Roman" w:hAnsi="Calibri" w:cs="Times New Roman"/>
          <w:szCs w:val="18"/>
          <w:lang w:val="en-GB" w:bidi="he-IL"/>
        </w:rPr>
        <w:t xml:space="preserve"> exercise of authority, in order</w:t>
      </w:r>
      <w:r w:rsidRPr="0053623B">
        <w:rPr>
          <w:rFonts w:ascii="Calibri" w:eastAsia="Times New Roman" w:hAnsi="Calibri" w:cs="Times New Roman"/>
          <w:szCs w:val="18"/>
          <w:lang w:val="en-GB" w:bidi="he-IL"/>
        </w:rPr>
        <w:t xml:space="preserve"> that Yahweh may bring about for Abraham what he’s spoken concerning him.</w:t>
      </w:r>
      <w:r w:rsidR="003D56BA">
        <w:rPr>
          <w:rFonts w:ascii="Calibri" w:eastAsia="Times New Roman" w:hAnsi="Calibri" w:cs="Times New Roman"/>
          <w:szCs w:val="18"/>
          <w:lang w:val="en-GB" w:bidi="he-IL"/>
        </w:rPr>
        <w:t>”</w:t>
      </w:r>
      <w:r w:rsidRPr="0053623B">
        <w:rPr>
          <w:rFonts w:ascii="Calibri" w:eastAsia="Times New Roman" w:hAnsi="Calibri" w:cs="Times New Roman"/>
          <w:szCs w:val="18"/>
          <w:lang w:val="en-GB" w:bidi="he-IL"/>
        </w:rPr>
        <w:t xml:space="preserve"> </w:t>
      </w:r>
    </w:p>
    <w:p w14:paraId="4CF025CC" w14:textId="71645B26" w:rsidR="0053623B" w:rsidRPr="0053623B" w:rsidRDefault="003A6165" w:rsidP="0053623B">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20</w:t>
      </w:r>
      <w:r w:rsidR="008E0096">
        <w:rPr>
          <w:rFonts w:ascii="Calibri" w:eastAsia="Times New Roman" w:hAnsi="Calibri" w:cs="Times New Roman"/>
          <w:szCs w:val="18"/>
          <w:lang w:val="en-GB" w:bidi="he-IL"/>
        </w:rPr>
        <w:t xml:space="preserve">So Yahweh said, </w:t>
      </w:r>
      <w:r w:rsidR="003D56BA">
        <w:rPr>
          <w:rFonts w:ascii="Calibri" w:eastAsia="Times New Roman" w:hAnsi="Calibri" w:cs="Times New Roman"/>
          <w:szCs w:val="18"/>
          <w:lang w:val="en-GB" w:bidi="he-IL"/>
        </w:rPr>
        <w:t>“</w:t>
      </w:r>
      <w:r w:rsidR="00686874">
        <w:rPr>
          <w:rFonts w:ascii="Calibri" w:eastAsia="Times New Roman" w:hAnsi="Calibri" w:cs="Times New Roman"/>
          <w:szCs w:val="18"/>
          <w:lang w:val="en-GB" w:bidi="he-IL"/>
        </w:rPr>
        <w:t>T</w:t>
      </w:r>
      <w:r w:rsidR="00B3164B">
        <w:rPr>
          <w:rFonts w:ascii="Calibri" w:eastAsia="Times New Roman" w:hAnsi="Calibri" w:cs="Times New Roman"/>
          <w:szCs w:val="18"/>
          <w:lang w:val="en-GB" w:bidi="he-IL"/>
        </w:rPr>
        <w:t>he outcry</w:t>
      </w:r>
      <w:r w:rsidR="00686874">
        <w:rPr>
          <w:rFonts w:ascii="Calibri" w:eastAsia="Times New Roman" w:hAnsi="Calibri" w:cs="Times New Roman"/>
          <w:szCs w:val="18"/>
          <w:lang w:val="en-GB" w:bidi="he-IL"/>
        </w:rPr>
        <w:t xml:space="preserve"> against </w:t>
      </w:r>
      <w:r w:rsidR="00787DCF">
        <w:rPr>
          <w:rFonts w:ascii="Calibri" w:eastAsia="Times New Roman" w:hAnsi="Calibri" w:cs="Times New Roman"/>
          <w:szCs w:val="18"/>
          <w:lang w:val="en-GB" w:bidi="he-IL"/>
        </w:rPr>
        <w:t>Sedom and Amor</w:t>
      </w:r>
      <w:r w:rsidR="00686874" w:rsidRPr="00686874">
        <w:rPr>
          <w:rFonts w:ascii="Calibri" w:eastAsia="Times New Roman" w:hAnsi="Calibri" w:cs="Times New Roman"/>
          <w:szCs w:val="18"/>
          <w:lang w:val="en-GB" w:bidi="he-IL"/>
        </w:rPr>
        <w:t>ah</w:t>
      </w:r>
      <w:r w:rsidR="00686874">
        <w:rPr>
          <w:rFonts w:ascii="Calibri" w:eastAsia="Times New Roman" w:hAnsi="Calibri" w:cs="Times New Roman"/>
          <w:szCs w:val="18"/>
          <w:lang w:val="en-GB" w:bidi="he-IL"/>
        </w:rPr>
        <w:t>,</w:t>
      </w:r>
      <w:r w:rsidR="005A75DF">
        <w:rPr>
          <w:rStyle w:val="FootnoteReference"/>
          <w:rFonts w:ascii="Calibri" w:eastAsia="Times New Roman" w:hAnsi="Calibri" w:cs="Times New Roman"/>
          <w:szCs w:val="18"/>
          <w:lang w:val="en-GB" w:bidi="he-IL"/>
        </w:rPr>
        <w:footnoteReference w:id="390"/>
      </w:r>
      <w:r w:rsidR="00B3164B">
        <w:rPr>
          <w:rFonts w:ascii="Calibri" w:eastAsia="Times New Roman" w:hAnsi="Calibri" w:cs="Times New Roman"/>
          <w:szCs w:val="18"/>
          <w:lang w:val="en-GB" w:bidi="he-IL"/>
        </w:rPr>
        <w:t xml:space="preserve"> </w:t>
      </w:r>
      <w:r w:rsidR="00686874">
        <w:rPr>
          <w:rFonts w:ascii="Calibri" w:eastAsia="Times New Roman" w:hAnsi="Calibri" w:cs="Times New Roman"/>
          <w:szCs w:val="18"/>
          <w:lang w:val="en-GB" w:bidi="he-IL"/>
        </w:rPr>
        <w:t xml:space="preserve">because it’s </w:t>
      </w:r>
      <w:r w:rsidR="00790AAB">
        <w:rPr>
          <w:rFonts w:ascii="Calibri" w:eastAsia="Times New Roman" w:hAnsi="Calibri" w:cs="Times New Roman"/>
          <w:szCs w:val="18"/>
          <w:lang w:val="en-GB" w:bidi="he-IL"/>
        </w:rPr>
        <w:t>big</w:t>
      </w:r>
      <w:r w:rsidR="00B3164B">
        <w:rPr>
          <w:rFonts w:ascii="Calibri" w:eastAsia="Times New Roman" w:hAnsi="Calibri" w:cs="Times New Roman"/>
          <w:szCs w:val="18"/>
          <w:lang w:val="en-GB" w:bidi="he-IL"/>
        </w:rPr>
        <w:t>, and t</w:t>
      </w:r>
      <w:r w:rsidR="0053623B" w:rsidRPr="0053623B">
        <w:rPr>
          <w:rFonts w:ascii="Calibri" w:eastAsia="Times New Roman" w:hAnsi="Calibri" w:cs="Times New Roman"/>
          <w:szCs w:val="18"/>
          <w:lang w:val="en-GB" w:bidi="he-IL"/>
        </w:rPr>
        <w:t xml:space="preserve">heir </w:t>
      </w:r>
      <w:r>
        <w:rPr>
          <w:rFonts w:ascii="Calibri" w:eastAsia="Times New Roman" w:hAnsi="Calibri" w:cs="Times New Roman"/>
          <w:szCs w:val="18"/>
          <w:lang w:val="en-GB" w:bidi="he-IL"/>
        </w:rPr>
        <w:t xml:space="preserve">wrongdoing, </w:t>
      </w:r>
      <w:r w:rsidR="00581FC7">
        <w:rPr>
          <w:rFonts w:ascii="Calibri" w:eastAsia="Times New Roman" w:hAnsi="Calibri" w:cs="Times New Roman"/>
          <w:szCs w:val="18"/>
          <w:lang w:val="en-GB" w:bidi="he-IL"/>
        </w:rPr>
        <w:t>because it’s very grave:</w:t>
      </w:r>
      <w:r w:rsidR="00103DCC" w:rsidRPr="00103DCC">
        <w:rPr>
          <w:rFonts w:ascii="Calibri" w:eastAsia="Times New Roman" w:hAnsi="Calibri" w:cs="Times New Roman"/>
          <w:szCs w:val="18"/>
          <w:vertAlign w:val="superscript"/>
          <w:lang w:val="en-GB" w:bidi="he-IL"/>
        </w:rPr>
        <w:footnoteReference w:id="391"/>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21</w:t>
      </w:r>
      <w:r w:rsidR="0053623B" w:rsidRPr="0053623B">
        <w:rPr>
          <w:rFonts w:ascii="Calibri" w:eastAsia="Times New Roman" w:hAnsi="Calibri" w:cs="Times New Roman"/>
          <w:szCs w:val="18"/>
          <w:lang w:val="en-GB" w:bidi="he-IL"/>
        </w:rPr>
        <w:t>I must go down and see</w:t>
      </w:r>
      <w:r w:rsidR="00984358">
        <w:rPr>
          <w:rFonts w:ascii="Calibri" w:eastAsia="Times New Roman" w:hAnsi="Calibri" w:cs="Times New Roman"/>
          <w:szCs w:val="18"/>
          <w:lang w:val="en-GB" w:bidi="he-IL"/>
        </w:rPr>
        <w:t xml:space="preserve"> whether they have brought about </w:t>
      </w:r>
      <w:r w:rsidR="00984358">
        <w:rPr>
          <w:rFonts w:ascii="Calibri" w:eastAsia="Times New Roman" w:hAnsi="Calibri" w:cs="Times New Roman"/>
          <w:szCs w:val="18"/>
          <w:lang w:val="en-GB" w:bidi="he-IL"/>
        </w:rPr>
        <w:lastRenderedPageBreak/>
        <w:t xml:space="preserve">complete </w:t>
      </w:r>
      <w:r w:rsidR="00C130DD">
        <w:rPr>
          <w:rFonts w:ascii="Calibri" w:eastAsia="Times New Roman" w:hAnsi="Calibri" w:cs="Times New Roman"/>
          <w:szCs w:val="18"/>
          <w:lang w:val="en-GB" w:bidi="he-IL"/>
        </w:rPr>
        <w:t>ruin</w:t>
      </w:r>
      <w:r w:rsidR="00984358">
        <w:rPr>
          <w:rFonts w:ascii="Calibri" w:eastAsia="Times New Roman" w:hAnsi="Calibri" w:cs="Times New Roman"/>
          <w:szCs w:val="18"/>
          <w:lang w:val="en-GB" w:bidi="he-IL"/>
        </w:rPr>
        <w:t>,</w:t>
      </w:r>
      <w:r w:rsidR="009E0F64">
        <w:rPr>
          <w:rStyle w:val="FootnoteReference"/>
          <w:rFonts w:ascii="Calibri" w:eastAsia="Times New Roman" w:hAnsi="Calibri" w:cs="Times New Roman"/>
          <w:szCs w:val="18"/>
          <w:lang w:val="en-GB" w:bidi="he-IL"/>
        </w:rPr>
        <w:footnoteReference w:id="392"/>
      </w:r>
      <w:r w:rsidR="0053623B" w:rsidRPr="0053623B">
        <w:rPr>
          <w:rFonts w:ascii="Calibri" w:eastAsia="Times New Roman" w:hAnsi="Calibri" w:cs="Times New Roman"/>
          <w:szCs w:val="18"/>
          <w:lang w:val="en-GB" w:bidi="he-IL"/>
        </w:rPr>
        <w:t xml:space="preserve"> in keeping with the outcry</w:t>
      </w:r>
      <w:r w:rsidR="00686874">
        <w:rPr>
          <w:rFonts w:ascii="Calibri" w:eastAsia="Times New Roman" w:hAnsi="Calibri" w:cs="Times New Roman"/>
          <w:szCs w:val="18"/>
          <w:lang w:val="en-GB" w:bidi="he-IL"/>
        </w:rPr>
        <w:t xml:space="preserve"> against it</w:t>
      </w:r>
      <w:r w:rsidR="00673FC6" w:rsidRPr="00673FC6">
        <w:rPr>
          <w:rFonts w:ascii="Calibri" w:eastAsia="Times New Roman" w:hAnsi="Calibri" w:cs="Times New Roman"/>
          <w:szCs w:val="18"/>
          <w:vertAlign w:val="superscript"/>
          <w:lang w:val="en-GB" w:bidi="he-IL"/>
        </w:rPr>
        <w:footnoteReference w:id="393"/>
      </w:r>
      <w:r w:rsidR="00BC6655">
        <w:rPr>
          <w:rFonts w:ascii="Calibri" w:eastAsia="Times New Roman" w:hAnsi="Calibri" w:cs="Times New Roman"/>
          <w:szCs w:val="18"/>
          <w:lang w:val="en-GB" w:bidi="he-IL"/>
        </w:rPr>
        <w:t xml:space="preserve"> </w:t>
      </w:r>
      <w:r w:rsidR="0053623B" w:rsidRPr="0053623B">
        <w:rPr>
          <w:rFonts w:ascii="Calibri" w:eastAsia="Times New Roman" w:hAnsi="Calibri" w:cs="Times New Roman"/>
          <w:szCs w:val="18"/>
          <w:lang w:val="en-GB" w:bidi="he-IL"/>
        </w:rPr>
        <w:t>that has come to me</w:t>
      </w:r>
      <w:r w:rsidR="008E0096">
        <w:rPr>
          <w:rFonts w:ascii="Calibri" w:eastAsia="Times New Roman" w:hAnsi="Calibri" w:cs="Times New Roman"/>
          <w:szCs w:val="18"/>
          <w:lang w:val="en-GB" w:bidi="he-IL"/>
        </w:rPr>
        <w:t>. If not, I must acknowledge it</w:t>
      </w:r>
      <w:r w:rsidR="0053623B" w:rsidRPr="0053623B">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 xml:space="preserve"> </w:t>
      </w:r>
    </w:p>
    <w:p w14:paraId="33E6E198" w14:textId="77777777" w:rsidR="001D7F80" w:rsidRDefault="003A6165" w:rsidP="0053623B">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22</w:t>
      </w:r>
      <w:r w:rsidR="0053623B" w:rsidRPr="0053623B">
        <w:rPr>
          <w:rFonts w:ascii="Calibri" w:eastAsia="Times New Roman" w:hAnsi="Calibri" w:cs="Times New Roman"/>
          <w:szCs w:val="18"/>
          <w:lang w:val="en-GB" w:bidi="he-IL"/>
        </w:rPr>
        <w:t>The men turned their face from there and went to Sedom, while Abraham was s</w:t>
      </w:r>
      <w:r>
        <w:rPr>
          <w:rFonts w:ascii="Calibri" w:eastAsia="Times New Roman" w:hAnsi="Calibri" w:cs="Times New Roman"/>
          <w:szCs w:val="18"/>
          <w:lang w:val="en-GB" w:bidi="he-IL"/>
        </w:rPr>
        <w:t>till standing before Yahweh.</w:t>
      </w:r>
      <w:r w:rsidR="00DD2430">
        <w:rPr>
          <w:rStyle w:val="FootnoteReference"/>
          <w:rFonts w:ascii="Calibri" w:eastAsia="Times New Roman" w:hAnsi="Calibri" w:cs="Times New Roman"/>
          <w:szCs w:val="18"/>
          <w:lang w:val="en-GB" w:bidi="he-IL"/>
        </w:rPr>
        <w:footnoteReference w:id="394"/>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23</w:t>
      </w:r>
      <w:r w:rsidR="00257B4C">
        <w:rPr>
          <w:rFonts w:ascii="Calibri" w:eastAsia="Times New Roman" w:hAnsi="Calibri" w:cs="Times New Roman"/>
          <w:szCs w:val="18"/>
          <w:lang w:val="en-GB" w:bidi="he-IL"/>
        </w:rPr>
        <w:t xml:space="preserve">Abraham came up and said, </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Will you really sweep away the faithf</w:t>
      </w:r>
      <w:r>
        <w:rPr>
          <w:rFonts w:ascii="Calibri" w:eastAsia="Times New Roman" w:hAnsi="Calibri" w:cs="Times New Roman"/>
          <w:szCs w:val="18"/>
          <w:lang w:val="en-GB" w:bidi="he-IL"/>
        </w:rPr>
        <w:t xml:space="preserve">ul </w:t>
      </w:r>
      <w:r w:rsidR="007A072B">
        <w:rPr>
          <w:rFonts w:ascii="Calibri" w:eastAsia="Times New Roman" w:hAnsi="Calibri" w:cs="Times New Roman"/>
          <w:szCs w:val="18"/>
          <w:lang w:val="en-GB" w:bidi="he-IL"/>
        </w:rPr>
        <w:t xml:space="preserve">person </w:t>
      </w:r>
      <w:r>
        <w:rPr>
          <w:rFonts w:ascii="Calibri" w:eastAsia="Times New Roman" w:hAnsi="Calibri" w:cs="Times New Roman"/>
          <w:szCs w:val="18"/>
          <w:lang w:val="en-GB" w:bidi="he-IL"/>
        </w:rPr>
        <w:t>with the faithless</w:t>
      </w:r>
      <w:r w:rsidR="007A072B">
        <w:rPr>
          <w:rFonts w:ascii="Calibri" w:eastAsia="Times New Roman" w:hAnsi="Calibri" w:cs="Times New Roman"/>
          <w:szCs w:val="18"/>
          <w:lang w:val="en-GB" w:bidi="he-IL"/>
        </w:rPr>
        <w:t xml:space="preserve"> person</w:t>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24</w:t>
      </w:r>
      <w:r w:rsidR="0053623B" w:rsidRPr="0053623B">
        <w:rPr>
          <w:rFonts w:ascii="Calibri" w:eastAsia="Times New Roman" w:hAnsi="Calibri" w:cs="Times New Roman"/>
          <w:szCs w:val="18"/>
          <w:lang w:val="en-GB" w:bidi="he-IL"/>
        </w:rPr>
        <w:t>Maybe there are fifty faithful people within the town. Will you really sweep it away and not bear with</w:t>
      </w:r>
      <w:r w:rsidR="005E7A24">
        <w:rPr>
          <w:rStyle w:val="FootnoteReference"/>
          <w:rFonts w:ascii="Calibri" w:eastAsia="Times New Roman" w:hAnsi="Calibri" w:cs="Times New Roman"/>
          <w:szCs w:val="18"/>
          <w:lang w:val="en-GB" w:bidi="he-IL"/>
        </w:rPr>
        <w:footnoteReference w:id="395"/>
      </w:r>
      <w:r w:rsidR="0053623B" w:rsidRPr="0053623B">
        <w:rPr>
          <w:rFonts w:ascii="Calibri" w:eastAsia="Times New Roman" w:hAnsi="Calibri" w:cs="Times New Roman"/>
          <w:szCs w:val="18"/>
          <w:lang w:val="en-GB" w:bidi="he-IL"/>
        </w:rPr>
        <w:t xml:space="preserve"> the place for the sake of the fift</w:t>
      </w:r>
      <w:r>
        <w:rPr>
          <w:rFonts w:ascii="Calibri" w:eastAsia="Times New Roman" w:hAnsi="Calibri" w:cs="Times New Roman"/>
          <w:szCs w:val="18"/>
          <w:lang w:val="en-GB" w:bidi="he-IL"/>
        </w:rPr>
        <w:t xml:space="preserve">y faithful people within it? </w:t>
      </w:r>
      <w:r>
        <w:rPr>
          <w:rFonts w:ascii="Calibri" w:eastAsia="Times New Roman" w:hAnsi="Calibri" w:cs="Times New Roman"/>
          <w:szCs w:val="18"/>
          <w:vertAlign w:val="superscript"/>
          <w:lang w:val="en-GB" w:bidi="he-IL"/>
        </w:rPr>
        <w:t>25</w:t>
      </w:r>
      <w:r w:rsidR="00811B3E">
        <w:rPr>
          <w:rFonts w:ascii="Calibri" w:eastAsia="Times New Roman" w:hAnsi="Calibri" w:cs="Times New Roman"/>
          <w:szCs w:val="18"/>
          <w:lang w:val="en-GB" w:bidi="he-IL"/>
        </w:rPr>
        <w:t>A desecration</w:t>
      </w:r>
      <w:r w:rsidR="0053623B" w:rsidRPr="0053623B">
        <w:rPr>
          <w:rFonts w:ascii="Calibri" w:eastAsia="Times New Roman" w:hAnsi="Calibri" w:cs="Times New Roman"/>
          <w:szCs w:val="18"/>
          <w:lang w:val="en-GB" w:bidi="he-IL"/>
        </w:rPr>
        <w:t xml:space="preserve"> for you</w:t>
      </w:r>
      <w:r w:rsidR="00811B3E">
        <w:rPr>
          <w:rFonts w:ascii="Calibri" w:eastAsia="Times New Roman" w:hAnsi="Calibri" w:cs="Times New Roman"/>
          <w:szCs w:val="18"/>
          <w:lang w:val="en-GB" w:bidi="he-IL"/>
        </w:rPr>
        <w:t>,</w:t>
      </w:r>
      <w:r w:rsidR="00811B3E">
        <w:rPr>
          <w:rStyle w:val="FootnoteReference"/>
          <w:rFonts w:ascii="Calibri" w:eastAsia="Times New Roman" w:hAnsi="Calibri" w:cs="Times New Roman"/>
          <w:szCs w:val="18"/>
          <w:lang w:val="en-GB" w:bidi="he-IL"/>
        </w:rPr>
        <w:footnoteReference w:id="396"/>
      </w:r>
      <w:r w:rsidR="0053623B" w:rsidRPr="0053623B">
        <w:rPr>
          <w:rFonts w:ascii="Calibri" w:eastAsia="Times New Roman" w:hAnsi="Calibri" w:cs="Times New Roman"/>
          <w:szCs w:val="18"/>
          <w:lang w:val="en-GB" w:bidi="he-IL"/>
        </w:rPr>
        <w:t xml:space="preserve"> to do a thing like this, putting to death the faithful with the faithless, so the faithful and the f</w:t>
      </w:r>
      <w:r w:rsidR="00811B3E">
        <w:rPr>
          <w:rFonts w:ascii="Calibri" w:eastAsia="Times New Roman" w:hAnsi="Calibri" w:cs="Times New Roman"/>
          <w:szCs w:val="18"/>
          <w:lang w:val="en-GB" w:bidi="he-IL"/>
        </w:rPr>
        <w:t xml:space="preserve">aithless are the same. </w:t>
      </w:r>
      <w:r w:rsidR="00811B3E" w:rsidRPr="00811B3E">
        <w:rPr>
          <w:rFonts w:ascii="Calibri" w:eastAsia="Times New Roman" w:hAnsi="Calibri" w:cs="Times New Roman"/>
          <w:szCs w:val="18"/>
          <w:lang w:val="en-GB" w:bidi="he-IL"/>
        </w:rPr>
        <w:t>A desecration</w:t>
      </w:r>
      <w:r w:rsidR="00811B3E">
        <w:rPr>
          <w:rFonts w:ascii="Calibri" w:eastAsia="Times New Roman" w:hAnsi="Calibri" w:cs="Times New Roman"/>
          <w:szCs w:val="18"/>
          <w:lang w:val="en-GB" w:bidi="he-IL"/>
        </w:rPr>
        <w:t xml:space="preserve"> for you!</w:t>
      </w:r>
      <w:r w:rsidR="0053623B" w:rsidRPr="0053623B">
        <w:rPr>
          <w:rFonts w:ascii="Calibri" w:eastAsia="Times New Roman" w:hAnsi="Calibri" w:cs="Times New Roman"/>
          <w:szCs w:val="18"/>
          <w:lang w:val="en-GB" w:bidi="he-IL"/>
        </w:rPr>
        <w:t xml:space="preserve"> Isn’t the one who exercises authority over the entir</w:t>
      </w:r>
      <w:r w:rsidR="00257B4C">
        <w:rPr>
          <w:rFonts w:ascii="Calibri" w:eastAsia="Times New Roman" w:hAnsi="Calibri" w:cs="Times New Roman"/>
          <w:szCs w:val="18"/>
          <w:lang w:val="en-GB" w:bidi="he-IL"/>
        </w:rPr>
        <w:t>e earth to exercise authority?</w:t>
      </w:r>
      <w:r w:rsidR="003D56BA">
        <w:rPr>
          <w:rFonts w:ascii="Calibri" w:eastAsia="Times New Roman" w:hAnsi="Calibri" w:cs="Times New Roman"/>
          <w:szCs w:val="18"/>
          <w:lang w:val="en-GB" w:bidi="he-IL"/>
        </w:rPr>
        <w:t>”</w:t>
      </w:r>
      <w:r w:rsidR="001D7F80">
        <w:rPr>
          <w:rStyle w:val="FootnoteReference"/>
          <w:rFonts w:ascii="Calibri" w:eastAsia="Times New Roman" w:hAnsi="Calibri" w:cs="Times New Roman"/>
          <w:szCs w:val="18"/>
          <w:lang w:val="en-GB" w:bidi="he-IL"/>
        </w:rPr>
        <w:footnoteReference w:id="397"/>
      </w:r>
      <w:r w:rsidR="001D7F80">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26</w:t>
      </w:r>
      <w:r w:rsidR="00ED0239">
        <w:rPr>
          <w:rFonts w:ascii="Calibri" w:eastAsia="Times New Roman" w:hAnsi="Calibri" w:cs="Times New Roman"/>
          <w:szCs w:val="18"/>
          <w:lang w:val="en-GB" w:bidi="he-IL"/>
        </w:rPr>
        <w:t xml:space="preserve">Yahweh said, </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If I find in Sedom fifty faithf</w:t>
      </w:r>
      <w:r w:rsidR="00B03019">
        <w:rPr>
          <w:rFonts w:ascii="Calibri" w:eastAsia="Times New Roman" w:hAnsi="Calibri" w:cs="Times New Roman"/>
          <w:szCs w:val="18"/>
          <w:lang w:val="en-GB" w:bidi="he-IL"/>
        </w:rPr>
        <w:t>ul people within the town, I wi</w:t>
      </w:r>
      <w:r w:rsidR="0053623B" w:rsidRPr="0053623B">
        <w:rPr>
          <w:rFonts w:ascii="Calibri" w:eastAsia="Times New Roman" w:hAnsi="Calibri" w:cs="Times New Roman"/>
          <w:szCs w:val="18"/>
          <w:lang w:val="en-GB" w:bidi="he-IL"/>
        </w:rPr>
        <w:t>ll bear with the entir</w:t>
      </w:r>
      <w:r w:rsidR="00ED0239">
        <w:rPr>
          <w:rFonts w:ascii="Calibri" w:eastAsia="Times New Roman" w:hAnsi="Calibri" w:cs="Times New Roman"/>
          <w:szCs w:val="18"/>
          <w:lang w:val="en-GB" w:bidi="he-IL"/>
        </w:rPr>
        <w:t>e place on account of them</w:t>
      </w:r>
      <w:r>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Pr>
          <w:rFonts w:ascii="Calibri" w:eastAsia="Times New Roman" w:hAnsi="Calibri" w:cs="Times New Roman"/>
          <w:szCs w:val="18"/>
          <w:lang w:val="en-GB" w:bidi="he-IL"/>
        </w:rPr>
        <w:t xml:space="preserve"> </w:t>
      </w:r>
    </w:p>
    <w:p w14:paraId="3B695FEE" w14:textId="77777777" w:rsidR="0053623B" w:rsidRPr="0053623B" w:rsidRDefault="003A6165" w:rsidP="0053623B">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27</w:t>
      </w:r>
      <w:r w:rsidR="001D7F80">
        <w:rPr>
          <w:rFonts w:ascii="Calibri" w:eastAsia="Times New Roman" w:hAnsi="Calibri" w:cs="Times New Roman"/>
          <w:szCs w:val="18"/>
          <w:lang w:val="en-GB" w:bidi="he-IL"/>
        </w:rPr>
        <w:t>Abraham averred:</w:t>
      </w:r>
      <w:r w:rsidR="00ED0239">
        <w:rPr>
          <w:rStyle w:val="FootnoteReference"/>
          <w:rFonts w:ascii="Calibri" w:eastAsia="Times New Roman" w:hAnsi="Calibri" w:cs="Times New Roman"/>
          <w:szCs w:val="18"/>
          <w:lang w:val="en-GB" w:bidi="he-IL"/>
        </w:rPr>
        <w:footnoteReference w:id="398"/>
      </w:r>
      <w:r w:rsidR="001D7F80">
        <w:rPr>
          <w:rFonts w:ascii="Calibri" w:eastAsia="Times New Roman" w:hAnsi="Calibri" w:cs="Times New Roman"/>
          <w:szCs w:val="18"/>
          <w:lang w:val="en-GB" w:bidi="he-IL"/>
        </w:rPr>
        <w:t xml:space="preserve"> </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 xml:space="preserve">There, please: I’ve resolved to speak to my </w:t>
      </w:r>
      <w:r>
        <w:rPr>
          <w:rFonts w:ascii="Calibri" w:eastAsia="Times New Roman" w:hAnsi="Calibri" w:cs="Times New Roman"/>
          <w:szCs w:val="18"/>
          <w:lang w:val="en-GB" w:bidi="he-IL"/>
        </w:rPr>
        <w:t>Lord, when I’m dirt and ash.</w:t>
      </w:r>
      <w:r w:rsidR="00DC5220">
        <w:rPr>
          <w:rStyle w:val="FootnoteReference"/>
          <w:rFonts w:ascii="Calibri" w:eastAsia="Times New Roman" w:hAnsi="Calibri" w:cs="Times New Roman"/>
          <w:szCs w:val="18"/>
          <w:lang w:val="en-GB" w:bidi="he-IL"/>
        </w:rPr>
        <w:footnoteReference w:id="399"/>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28</w:t>
      </w:r>
      <w:r w:rsidR="0053623B" w:rsidRPr="0053623B">
        <w:rPr>
          <w:rFonts w:ascii="Calibri" w:eastAsia="Times New Roman" w:hAnsi="Calibri" w:cs="Times New Roman"/>
          <w:szCs w:val="18"/>
          <w:lang w:val="en-GB" w:bidi="he-IL"/>
        </w:rPr>
        <w:t>Maybe the fifty faithful will be five short. Will you devastate the entire t</w:t>
      </w:r>
      <w:r w:rsidR="001D7F80">
        <w:rPr>
          <w:rFonts w:ascii="Calibri" w:eastAsia="Times New Roman" w:hAnsi="Calibri" w:cs="Times New Roman"/>
          <w:szCs w:val="18"/>
          <w:lang w:val="en-GB" w:bidi="he-IL"/>
        </w:rPr>
        <w:t>own because of five?</w:t>
      </w:r>
      <w:r w:rsidR="003D56BA">
        <w:rPr>
          <w:rFonts w:ascii="Calibri" w:eastAsia="Times New Roman" w:hAnsi="Calibri" w:cs="Times New Roman"/>
          <w:szCs w:val="18"/>
          <w:lang w:val="en-GB" w:bidi="he-IL"/>
        </w:rPr>
        <w:t>”</w:t>
      </w:r>
      <w:r w:rsidR="001D7F80">
        <w:rPr>
          <w:rFonts w:ascii="Calibri" w:eastAsia="Times New Roman" w:hAnsi="Calibri" w:cs="Times New Roman"/>
          <w:szCs w:val="18"/>
          <w:lang w:val="en-GB" w:bidi="he-IL"/>
        </w:rPr>
        <w:t xml:space="preserve"> He said, </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I won’t devastat</w:t>
      </w:r>
      <w:r w:rsidR="001D7F80">
        <w:rPr>
          <w:rFonts w:ascii="Calibri" w:eastAsia="Times New Roman" w:hAnsi="Calibri" w:cs="Times New Roman"/>
          <w:szCs w:val="18"/>
          <w:lang w:val="en-GB" w:bidi="he-IL"/>
        </w:rPr>
        <w:t>e it if I find there forty-five</w:t>
      </w:r>
      <w:r w:rsidR="0053623B" w:rsidRPr="0053623B">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 xml:space="preserve"> </w:t>
      </w:r>
    </w:p>
    <w:p w14:paraId="549213E3" w14:textId="3AD6562A" w:rsidR="0053623B" w:rsidRPr="0053623B" w:rsidRDefault="003A6165" w:rsidP="0053623B">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29</w:t>
      </w:r>
      <w:r w:rsidR="001D7F80">
        <w:rPr>
          <w:rFonts w:ascii="Calibri" w:eastAsia="Times New Roman" w:hAnsi="Calibri" w:cs="Times New Roman"/>
          <w:szCs w:val="18"/>
          <w:lang w:val="en-GB" w:bidi="he-IL"/>
        </w:rPr>
        <w:t xml:space="preserve">He spoke yet again to him: </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M</w:t>
      </w:r>
      <w:r w:rsidR="001D7F80">
        <w:rPr>
          <w:rFonts w:ascii="Calibri" w:eastAsia="Times New Roman" w:hAnsi="Calibri" w:cs="Times New Roman"/>
          <w:szCs w:val="18"/>
          <w:lang w:val="en-GB" w:bidi="he-IL"/>
        </w:rPr>
        <w:t>aybe forty will be found there?</w:t>
      </w:r>
      <w:r w:rsidR="003D56BA">
        <w:rPr>
          <w:rFonts w:ascii="Calibri" w:eastAsia="Times New Roman" w:hAnsi="Calibri" w:cs="Times New Roman"/>
          <w:szCs w:val="18"/>
          <w:lang w:val="en-GB" w:bidi="he-IL"/>
        </w:rPr>
        <w:t>”</w:t>
      </w:r>
      <w:r w:rsidR="001D7F80">
        <w:rPr>
          <w:rFonts w:ascii="Calibri" w:eastAsia="Times New Roman" w:hAnsi="Calibri" w:cs="Times New Roman"/>
          <w:szCs w:val="18"/>
          <w:lang w:val="en-GB" w:bidi="he-IL"/>
        </w:rPr>
        <w:t xml:space="preserve"> He said, </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I won’t ac</w:t>
      </w:r>
      <w:r w:rsidR="001D7F80">
        <w:rPr>
          <w:rFonts w:ascii="Calibri" w:eastAsia="Times New Roman" w:hAnsi="Calibri" w:cs="Times New Roman"/>
          <w:szCs w:val="18"/>
          <w:lang w:val="en-GB" w:bidi="he-IL"/>
        </w:rPr>
        <w:t>t, on account of the forty</w:t>
      </w:r>
      <w:r>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30</w:t>
      </w:r>
      <w:r w:rsidR="001D7F80">
        <w:rPr>
          <w:rFonts w:ascii="Calibri" w:eastAsia="Times New Roman" w:hAnsi="Calibri" w:cs="Times New Roman"/>
          <w:szCs w:val="18"/>
          <w:lang w:val="en-GB" w:bidi="he-IL"/>
        </w:rPr>
        <w:t xml:space="preserve">He said, </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 xml:space="preserve">May it please not enrage my Lord, and I </w:t>
      </w:r>
      <w:r w:rsidR="00B03019">
        <w:rPr>
          <w:rFonts w:ascii="Calibri" w:eastAsia="Times New Roman" w:hAnsi="Calibri" w:cs="Times New Roman"/>
          <w:szCs w:val="18"/>
          <w:lang w:val="en-GB" w:bidi="he-IL"/>
        </w:rPr>
        <w:t>will</w:t>
      </w:r>
      <w:r w:rsidR="0053623B" w:rsidRPr="0053623B">
        <w:rPr>
          <w:rFonts w:ascii="Calibri" w:eastAsia="Times New Roman" w:hAnsi="Calibri" w:cs="Times New Roman"/>
          <w:szCs w:val="18"/>
          <w:lang w:val="en-GB" w:bidi="he-IL"/>
        </w:rPr>
        <w:t xml:space="preserve"> speak. M</w:t>
      </w:r>
      <w:r w:rsidR="001D7F80">
        <w:rPr>
          <w:rFonts w:ascii="Calibri" w:eastAsia="Times New Roman" w:hAnsi="Calibri" w:cs="Times New Roman"/>
          <w:szCs w:val="18"/>
          <w:lang w:val="en-GB" w:bidi="he-IL"/>
        </w:rPr>
        <w:t>aybe thirty will be found there</w:t>
      </w:r>
      <w:r w:rsidR="0053623B" w:rsidRPr="0053623B">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1D7F80">
        <w:rPr>
          <w:rFonts w:ascii="Calibri" w:eastAsia="Times New Roman" w:hAnsi="Calibri" w:cs="Times New Roman"/>
          <w:szCs w:val="18"/>
          <w:lang w:val="en-GB" w:bidi="he-IL"/>
        </w:rPr>
        <w:t xml:space="preserve"> He said, </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 xml:space="preserve">I won’t </w:t>
      </w:r>
      <w:r w:rsidR="0032002D">
        <w:rPr>
          <w:rFonts w:ascii="Calibri" w:eastAsia="Times New Roman" w:hAnsi="Calibri" w:cs="Times New Roman"/>
          <w:szCs w:val="18"/>
          <w:lang w:val="en-GB" w:bidi="he-IL"/>
        </w:rPr>
        <w:t xml:space="preserve">act if I find </w:t>
      </w:r>
      <w:r w:rsidR="00F50930">
        <w:rPr>
          <w:rFonts w:ascii="Calibri" w:eastAsia="Times New Roman" w:hAnsi="Calibri" w:cs="Times New Roman"/>
          <w:szCs w:val="18"/>
          <w:lang w:val="en-GB" w:bidi="he-IL"/>
        </w:rPr>
        <w:t xml:space="preserve">there </w:t>
      </w:r>
      <w:r w:rsidR="001D7F80">
        <w:rPr>
          <w:rFonts w:ascii="Calibri" w:eastAsia="Times New Roman" w:hAnsi="Calibri" w:cs="Times New Roman"/>
          <w:szCs w:val="18"/>
          <w:lang w:val="en-GB" w:bidi="he-IL"/>
        </w:rPr>
        <w:t>thirty</w:t>
      </w:r>
      <w:r>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31</w:t>
      </w:r>
      <w:r w:rsidR="001D7F80">
        <w:rPr>
          <w:rFonts w:ascii="Calibri" w:eastAsia="Times New Roman" w:hAnsi="Calibri" w:cs="Times New Roman"/>
          <w:szCs w:val="18"/>
          <w:lang w:val="en-GB" w:bidi="he-IL"/>
        </w:rPr>
        <w:t xml:space="preserve">He said, </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There, please: I’ve resolved to speak with my Lord. M</w:t>
      </w:r>
      <w:r w:rsidR="001D7F80">
        <w:rPr>
          <w:rFonts w:ascii="Calibri" w:eastAsia="Times New Roman" w:hAnsi="Calibri" w:cs="Times New Roman"/>
          <w:szCs w:val="18"/>
          <w:lang w:val="en-GB" w:bidi="he-IL"/>
        </w:rPr>
        <w:t>aybe twenty will be found there</w:t>
      </w:r>
      <w:r w:rsidR="0053623B" w:rsidRPr="0053623B">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1D7F80">
        <w:rPr>
          <w:rFonts w:ascii="Calibri" w:eastAsia="Times New Roman" w:hAnsi="Calibri" w:cs="Times New Roman"/>
          <w:szCs w:val="18"/>
          <w:lang w:val="en-GB" w:bidi="he-IL"/>
        </w:rPr>
        <w:t xml:space="preserve"> He said, </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I won’t devastate i</w:t>
      </w:r>
      <w:r>
        <w:rPr>
          <w:rFonts w:ascii="Calibri" w:eastAsia="Times New Roman" w:hAnsi="Calibri" w:cs="Times New Roman"/>
          <w:szCs w:val="18"/>
          <w:lang w:val="en-GB" w:bidi="he-IL"/>
        </w:rPr>
        <w:t>t on account of the t</w:t>
      </w:r>
      <w:r w:rsidR="001D7F80">
        <w:rPr>
          <w:rFonts w:ascii="Calibri" w:eastAsia="Times New Roman" w:hAnsi="Calibri" w:cs="Times New Roman"/>
          <w:szCs w:val="18"/>
          <w:lang w:val="en-GB" w:bidi="he-IL"/>
        </w:rPr>
        <w:t>wenty</w:t>
      </w:r>
      <w:r>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32</w:t>
      </w:r>
      <w:r w:rsidR="001D7F80">
        <w:rPr>
          <w:rFonts w:ascii="Calibri" w:eastAsia="Times New Roman" w:hAnsi="Calibri" w:cs="Times New Roman"/>
          <w:szCs w:val="18"/>
          <w:lang w:val="en-GB" w:bidi="he-IL"/>
        </w:rPr>
        <w:t xml:space="preserve">He said, </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 xml:space="preserve">May it please not enrage my Lord, and I </w:t>
      </w:r>
      <w:r w:rsidR="00B03019">
        <w:rPr>
          <w:rFonts w:ascii="Calibri" w:eastAsia="Times New Roman" w:hAnsi="Calibri" w:cs="Times New Roman"/>
          <w:szCs w:val="18"/>
          <w:lang w:val="en-GB" w:bidi="he-IL"/>
        </w:rPr>
        <w:t>will</w:t>
      </w:r>
      <w:r w:rsidR="0053623B" w:rsidRPr="0053623B">
        <w:rPr>
          <w:rFonts w:ascii="Calibri" w:eastAsia="Times New Roman" w:hAnsi="Calibri" w:cs="Times New Roman"/>
          <w:szCs w:val="18"/>
          <w:lang w:val="en-GB" w:bidi="he-IL"/>
        </w:rPr>
        <w:t xml:space="preserve"> speak one last time</w:t>
      </w:r>
      <w:r w:rsidR="001D7F80">
        <w:rPr>
          <w:rFonts w:ascii="Calibri" w:eastAsia="Times New Roman" w:hAnsi="Calibri" w:cs="Times New Roman"/>
          <w:szCs w:val="18"/>
          <w:lang w:val="en-GB" w:bidi="he-IL"/>
        </w:rPr>
        <w:t>. Maybe ten will be found there</w:t>
      </w:r>
      <w:r w:rsidR="0053623B" w:rsidRPr="0053623B">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1D7F80">
        <w:rPr>
          <w:rFonts w:ascii="Calibri" w:eastAsia="Times New Roman" w:hAnsi="Calibri" w:cs="Times New Roman"/>
          <w:szCs w:val="18"/>
          <w:lang w:val="en-GB" w:bidi="he-IL"/>
        </w:rPr>
        <w:t xml:space="preserve"> He said, </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I won’t dev</w:t>
      </w:r>
      <w:r w:rsidR="001D7F80">
        <w:rPr>
          <w:rFonts w:ascii="Calibri" w:eastAsia="Times New Roman" w:hAnsi="Calibri" w:cs="Times New Roman"/>
          <w:szCs w:val="18"/>
          <w:lang w:val="en-GB" w:bidi="he-IL"/>
        </w:rPr>
        <w:t>astate it on account of the ten</w:t>
      </w:r>
      <w:r w:rsidR="0053623B" w:rsidRPr="0053623B">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 xml:space="preserve"> </w:t>
      </w:r>
    </w:p>
    <w:p w14:paraId="0311D0EC" w14:textId="77777777" w:rsidR="0053623B" w:rsidRPr="0053623B" w:rsidRDefault="003A6165" w:rsidP="0053623B">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33</w:t>
      </w:r>
      <w:r w:rsidR="0053623B" w:rsidRPr="0053623B">
        <w:rPr>
          <w:rFonts w:ascii="Calibri" w:eastAsia="Times New Roman" w:hAnsi="Calibri" w:cs="Times New Roman"/>
          <w:szCs w:val="18"/>
          <w:lang w:val="en-GB" w:bidi="he-IL"/>
        </w:rPr>
        <w:t>Yahweh went when he had finished speaking to Abraham, and Abraham went back to his place.</w:t>
      </w:r>
    </w:p>
    <w:p w14:paraId="5D889EF6" w14:textId="77777777" w:rsidR="0053623B" w:rsidRPr="0053623B" w:rsidRDefault="00BD69A6" w:rsidP="0053623B">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19:1</w:t>
      </w:r>
      <w:r>
        <w:rPr>
          <w:rFonts w:ascii="Calibri" w:eastAsia="Times New Roman" w:hAnsi="Calibri" w:cs="Times New Roman"/>
          <w:szCs w:val="18"/>
          <w:lang w:val="en-GB" w:bidi="he-IL"/>
        </w:rPr>
        <w:t>The</w:t>
      </w:r>
      <w:r w:rsidR="0053623B" w:rsidRPr="0053623B">
        <w:rPr>
          <w:rFonts w:ascii="Calibri" w:eastAsia="Times New Roman" w:hAnsi="Calibri" w:cs="Times New Roman"/>
          <w:szCs w:val="18"/>
          <w:lang w:val="en-GB" w:bidi="he-IL"/>
        </w:rPr>
        <w:t xml:space="preserve"> two envoys came to Sedom in the evening, and Lot was sitting at the gateway of Sedom. Lot saw them, and got up to meet them. He bowed</w:t>
      </w:r>
      <w:r w:rsidR="003A6165">
        <w:rPr>
          <w:rFonts w:ascii="Calibri" w:eastAsia="Times New Roman" w:hAnsi="Calibri" w:cs="Times New Roman"/>
          <w:szCs w:val="18"/>
          <w:lang w:val="en-GB" w:bidi="he-IL"/>
        </w:rPr>
        <w:t xml:space="preserve"> low, his face to the ground. </w:t>
      </w:r>
      <w:r w:rsidR="003A6165">
        <w:rPr>
          <w:rFonts w:ascii="Calibri" w:eastAsia="Times New Roman" w:hAnsi="Calibri" w:cs="Times New Roman"/>
          <w:szCs w:val="18"/>
          <w:vertAlign w:val="superscript"/>
          <w:lang w:val="en-GB" w:bidi="he-IL"/>
        </w:rPr>
        <w:t>2</w:t>
      </w:r>
      <w:r w:rsidR="001F35A0">
        <w:rPr>
          <w:rFonts w:ascii="Calibri" w:eastAsia="Times New Roman" w:hAnsi="Calibri" w:cs="Times New Roman"/>
          <w:szCs w:val="18"/>
          <w:lang w:val="en-GB" w:bidi="he-IL"/>
        </w:rPr>
        <w:t xml:space="preserve">He said, </w:t>
      </w:r>
      <w:r w:rsidR="003D56BA">
        <w:rPr>
          <w:rFonts w:ascii="Calibri" w:eastAsia="Times New Roman" w:hAnsi="Calibri" w:cs="Times New Roman"/>
          <w:szCs w:val="18"/>
          <w:lang w:val="en-GB" w:bidi="he-IL"/>
        </w:rPr>
        <w:t>“</w:t>
      </w:r>
      <w:r w:rsidR="00E90ED6">
        <w:rPr>
          <w:rFonts w:ascii="Calibri" w:eastAsia="Times New Roman" w:hAnsi="Calibri" w:cs="Times New Roman"/>
          <w:szCs w:val="18"/>
          <w:lang w:val="en-GB" w:bidi="he-IL"/>
        </w:rPr>
        <w:t>Here, my lord</w:t>
      </w:r>
      <w:r w:rsidR="0053623B" w:rsidRPr="0053623B">
        <w:rPr>
          <w:rFonts w:ascii="Calibri" w:eastAsia="Times New Roman" w:hAnsi="Calibri" w:cs="Times New Roman"/>
          <w:szCs w:val="18"/>
          <w:lang w:val="en-GB" w:bidi="he-IL"/>
        </w:rPr>
        <w:t>s, please do turn aside to your servant’s house so you can stay the night and bathe your feet. Then you can</w:t>
      </w:r>
      <w:r w:rsidR="001F35A0">
        <w:rPr>
          <w:rFonts w:ascii="Calibri" w:eastAsia="Times New Roman" w:hAnsi="Calibri" w:cs="Times New Roman"/>
          <w:szCs w:val="18"/>
          <w:lang w:val="en-GB" w:bidi="he-IL"/>
        </w:rPr>
        <w:t xml:space="preserve"> start early and go on your way</w:t>
      </w:r>
      <w:r w:rsidR="0053623B" w:rsidRPr="0053623B">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1F35A0">
        <w:rPr>
          <w:rFonts w:ascii="Calibri" w:eastAsia="Times New Roman" w:hAnsi="Calibri" w:cs="Times New Roman"/>
          <w:szCs w:val="18"/>
          <w:lang w:val="en-GB" w:bidi="he-IL"/>
        </w:rPr>
        <w:t xml:space="preserve"> They said, </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No, because we can s</w:t>
      </w:r>
      <w:r w:rsidR="001F35A0">
        <w:rPr>
          <w:rFonts w:ascii="Calibri" w:eastAsia="Times New Roman" w:hAnsi="Calibri" w:cs="Times New Roman"/>
          <w:szCs w:val="18"/>
          <w:lang w:val="en-GB" w:bidi="he-IL"/>
        </w:rPr>
        <w:t>tay the night in the square</w:t>
      </w:r>
      <w:r w:rsidR="003A6165">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3A6165">
        <w:rPr>
          <w:rFonts w:ascii="Calibri" w:eastAsia="Times New Roman" w:hAnsi="Calibri" w:cs="Times New Roman"/>
          <w:szCs w:val="18"/>
          <w:lang w:val="en-GB" w:bidi="he-IL"/>
        </w:rPr>
        <w:t xml:space="preserve"> </w:t>
      </w:r>
      <w:r w:rsidR="003A6165">
        <w:rPr>
          <w:rFonts w:ascii="Calibri" w:eastAsia="Times New Roman" w:hAnsi="Calibri" w:cs="Times New Roman"/>
          <w:szCs w:val="18"/>
          <w:vertAlign w:val="superscript"/>
          <w:lang w:val="en-GB" w:bidi="he-IL"/>
        </w:rPr>
        <w:t>3</w:t>
      </w:r>
      <w:r w:rsidR="0053623B" w:rsidRPr="0053623B">
        <w:rPr>
          <w:rFonts w:ascii="Calibri" w:eastAsia="Times New Roman" w:hAnsi="Calibri" w:cs="Times New Roman"/>
          <w:szCs w:val="18"/>
          <w:lang w:val="en-GB" w:bidi="he-IL"/>
        </w:rPr>
        <w:t xml:space="preserve">But he pressed them hard, so they turned aside to him and came into his house. He made a banquet for them and baked flat bread, and they ate. </w:t>
      </w:r>
    </w:p>
    <w:p w14:paraId="5D472A2B" w14:textId="1F2D0E44" w:rsidR="0053623B" w:rsidRPr="0053623B" w:rsidRDefault="003A6165" w:rsidP="0053623B">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lastRenderedPageBreak/>
        <w:t>4</w:t>
      </w:r>
      <w:r w:rsidR="0053623B" w:rsidRPr="0053623B">
        <w:rPr>
          <w:rFonts w:ascii="Calibri" w:eastAsia="Times New Roman" w:hAnsi="Calibri" w:cs="Times New Roman"/>
          <w:szCs w:val="18"/>
          <w:lang w:val="en-GB" w:bidi="he-IL"/>
        </w:rPr>
        <w:t xml:space="preserve">Before they </w:t>
      </w:r>
      <w:r w:rsidR="0033166A">
        <w:rPr>
          <w:rFonts w:ascii="Calibri" w:eastAsia="Times New Roman" w:hAnsi="Calibri" w:cs="Times New Roman"/>
          <w:szCs w:val="18"/>
          <w:lang w:val="en-GB" w:bidi="he-IL"/>
        </w:rPr>
        <w:t xml:space="preserve">could go to bed, the </w:t>
      </w:r>
      <w:r w:rsidR="0053623B" w:rsidRPr="0053623B">
        <w:rPr>
          <w:rFonts w:ascii="Calibri" w:eastAsia="Times New Roman" w:hAnsi="Calibri" w:cs="Times New Roman"/>
          <w:szCs w:val="18"/>
          <w:lang w:val="en-GB" w:bidi="he-IL"/>
        </w:rPr>
        <w:t>town</w:t>
      </w:r>
      <w:r w:rsidR="0033166A">
        <w:rPr>
          <w:rFonts w:ascii="Calibri" w:eastAsia="Times New Roman" w:hAnsi="Calibri" w:cs="Times New Roman"/>
          <w:szCs w:val="18"/>
          <w:lang w:val="en-GB" w:bidi="he-IL"/>
        </w:rPr>
        <w:t xml:space="preserve">speople, the </w:t>
      </w:r>
      <w:r w:rsidR="0053623B" w:rsidRPr="0053623B">
        <w:rPr>
          <w:rFonts w:ascii="Calibri" w:eastAsia="Times New Roman" w:hAnsi="Calibri" w:cs="Times New Roman"/>
          <w:szCs w:val="18"/>
          <w:lang w:val="en-GB" w:bidi="he-IL"/>
        </w:rPr>
        <w:t>Sedom</w:t>
      </w:r>
      <w:r w:rsidR="0033166A">
        <w:rPr>
          <w:rFonts w:ascii="Calibri" w:eastAsia="Times New Roman" w:hAnsi="Calibri" w:cs="Times New Roman"/>
          <w:szCs w:val="18"/>
          <w:lang w:val="en-GB" w:bidi="he-IL"/>
        </w:rPr>
        <w:t>ites</w:t>
      </w:r>
      <w:r w:rsidR="0053623B" w:rsidRPr="0053623B">
        <w:rPr>
          <w:rFonts w:ascii="Calibri" w:eastAsia="Times New Roman" w:hAnsi="Calibri" w:cs="Times New Roman"/>
          <w:szCs w:val="18"/>
          <w:lang w:val="en-GB" w:bidi="he-IL"/>
        </w:rPr>
        <w:t>, surrounded the house, from young right to old, the en</w:t>
      </w:r>
      <w:r>
        <w:rPr>
          <w:rFonts w:ascii="Calibri" w:eastAsia="Times New Roman" w:hAnsi="Calibri" w:cs="Times New Roman"/>
          <w:szCs w:val="18"/>
          <w:lang w:val="en-GB" w:bidi="he-IL"/>
        </w:rPr>
        <w:t xml:space="preserve">tire people, from every part. </w:t>
      </w:r>
      <w:r>
        <w:rPr>
          <w:rFonts w:ascii="Calibri" w:eastAsia="Times New Roman" w:hAnsi="Calibri" w:cs="Times New Roman"/>
          <w:szCs w:val="18"/>
          <w:vertAlign w:val="superscript"/>
          <w:lang w:val="en-GB" w:bidi="he-IL"/>
        </w:rPr>
        <w:t>5</w:t>
      </w:r>
      <w:r w:rsidR="0053623B" w:rsidRPr="0053623B">
        <w:rPr>
          <w:rFonts w:ascii="Calibri" w:eastAsia="Times New Roman" w:hAnsi="Calibri" w:cs="Times New Roman"/>
          <w:szCs w:val="18"/>
          <w:lang w:val="en-GB" w:bidi="he-IL"/>
        </w:rPr>
        <w:t xml:space="preserve">They </w:t>
      </w:r>
      <w:r w:rsidR="001F35A0">
        <w:rPr>
          <w:rFonts w:ascii="Calibri" w:eastAsia="Times New Roman" w:hAnsi="Calibri" w:cs="Times New Roman"/>
          <w:szCs w:val="18"/>
          <w:lang w:val="en-GB" w:bidi="he-IL"/>
        </w:rPr>
        <w:t xml:space="preserve">called to Lot and said to him, </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 xml:space="preserve">Where are the </w:t>
      </w:r>
      <w:r w:rsidR="00F50930">
        <w:rPr>
          <w:rFonts w:ascii="Calibri" w:eastAsia="Times New Roman" w:hAnsi="Calibri" w:cs="Times New Roman"/>
          <w:szCs w:val="18"/>
          <w:lang w:val="en-GB" w:bidi="he-IL"/>
        </w:rPr>
        <w:t xml:space="preserve">men </w:t>
      </w:r>
      <w:r w:rsidR="0053623B" w:rsidRPr="0053623B">
        <w:rPr>
          <w:rFonts w:ascii="Calibri" w:eastAsia="Times New Roman" w:hAnsi="Calibri" w:cs="Times New Roman"/>
          <w:szCs w:val="18"/>
          <w:lang w:val="en-GB" w:bidi="he-IL"/>
        </w:rPr>
        <w:t>who came to you tonight? Bring them out so we</w:t>
      </w:r>
      <w:r w:rsidR="001F35A0">
        <w:rPr>
          <w:rFonts w:ascii="Calibri" w:eastAsia="Times New Roman" w:hAnsi="Calibri" w:cs="Times New Roman"/>
          <w:szCs w:val="18"/>
          <w:lang w:val="en-GB" w:bidi="he-IL"/>
        </w:rPr>
        <w:t xml:space="preserve"> can sleep with them</w:t>
      </w:r>
      <w:r>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1F35A0">
        <w:rPr>
          <w:rStyle w:val="FootnoteReference"/>
          <w:rFonts w:ascii="Calibri" w:eastAsia="Times New Roman" w:hAnsi="Calibri" w:cs="Times New Roman"/>
          <w:szCs w:val="18"/>
          <w:lang w:val="en-GB" w:bidi="he-IL"/>
        </w:rPr>
        <w:footnoteReference w:id="400"/>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6</w:t>
      </w:r>
      <w:r w:rsidR="0053623B" w:rsidRPr="0053623B">
        <w:rPr>
          <w:rFonts w:ascii="Calibri" w:eastAsia="Times New Roman" w:hAnsi="Calibri" w:cs="Times New Roman"/>
          <w:szCs w:val="18"/>
          <w:lang w:val="en-GB" w:bidi="he-IL"/>
        </w:rPr>
        <w:t>Lot went out to them at the entrance</w:t>
      </w:r>
      <w:r w:rsidR="008C5045">
        <w:rPr>
          <w:rFonts w:ascii="Calibri" w:eastAsia="Times New Roman" w:hAnsi="Calibri" w:cs="Times New Roman"/>
          <w:szCs w:val="18"/>
          <w:lang w:val="en-GB" w:bidi="he-IL"/>
        </w:rPr>
        <w:t>, though he</w:t>
      </w:r>
      <w:r w:rsidR="0053623B" w:rsidRPr="0053623B">
        <w:rPr>
          <w:rFonts w:ascii="Calibri" w:eastAsia="Times New Roman" w:hAnsi="Calibri" w:cs="Times New Roman"/>
          <w:szCs w:val="18"/>
          <w:lang w:val="en-GB" w:bidi="he-IL"/>
        </w:rPr>
        <w:t xml:space="preserve"> shut the door behind him. </w:t>
      </w:r>
      <w:r>
        <w:rPr>
          <w:rFonts w:ascii="Calibri" w:eastAsia="Times New Roman" w:hAnsi="Calibri" w:cs="Times New Roman"/>
          <w:szCs w:val="18"/>
          <w:vertAlign w:val="superscript"/>
          <w:lang w:val="en-GB" w:bidi="he-IL"/>
        </w:rPr>
        <w:t>7</w:t>
      </w:r>
      <w:r w:rsidR="00083CED">
        <w:rPr>
          <w:rFonts w:ascii="Calibri" w:eastAsia="Times New Roman" w:hAnsi="Calibri" w:cs="Times New Roman"/>
          <w:szCs w:val="18"/>
          <w:lang w:val="en-GB" w:bidi="he-IL"/>
        </w:rPr>
        <w:t xml:space="preserve">He said, </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My brothers,</w:t>
      </w:r>
      <w:r w:rsidR="008D2898">
        <w:rPr>
          <w:rFonts w:ascii="Calibri" w:eastAsia="Times New Roman" w:hAnsi="Calibri" w:cs="Times New Roman"/>
          <w:szCs w:val="18"/>
          <w:lang w:val="en-GB" w:bidi="he-IL"/>
        </w:rPr>
        <w:t xml:space="preserve"> don’t act</w:t>
      </w:r>
      <w:r w:rsidR="00177C07">
        <w:rPr>
          <w:rFonts w:ascii="Calibri" w:eastAsia="Times New Roman" w:hAnsi="Calibri" w:cs="Times New Roman"/>
          <w:szCs w:val="18"/>
          <w:lang w:val="en-GB" w:bidi="he-IL"/>
        </w:rPr>
        <w:t xml:space="preserve"> badly</w:t>
      </w:r>
      <w:r>
        <w:rPr>
          <w:rFonts w:ascii="Calibri" w:eastAsia="Times New Roman" w:hAnsi="Calibri" w:cs="Times New Roman"/>
          <w:szCs w:val="18"/>
          <w:lang w:val="en-GB" w:bidi="he-IL"/>
        </w:rPr>
        <w:t xml:space="preserve">, please. </w:t>
      </w:r>
      <w:r>
        <w:rPr>
          <w:rFonts w:ascii="Calibri" w:eastAsia="Times New Roman" w:hAnsi="Calibri" w:cs="Times New Roman"/>
          <w:szCs w:val="18"/>
          <w:vertAlign w:val="superscript"/>
          <w:lang w:val="en-GB" w:bidi="he-IL"/>
        </w:rPr>
        <w:t>8</w:t>
      </w:r>
      <w:r w:rsidR="0053623B" w:rsidRPr="0053623B">
        <w:rPr>
          <w:rFonts w:ascii="Calibri" w:eastAsia="Times New Roman" w:hAnsi="Calibri" w:cs="Times New Roman"/>
          <w:szCs w:val="18"/>
          <w:lang w:val="en-GB" w:bidi="he-IL"/>
        </w:rPr>
        <w:t>So, please: I have t</w:t>
      </w:r>
      <w:r w:rsidR="00083CED">
        <w:rPr>
          <w:rFonts w:ascii="Calibri" w:eastAsia="Times New Roman" w:hAnsi="Calibri" w:cs="Times New Roman"/>
          <w:szCs w:val="18"/>
          <w:lang w:val="en-GB" w:bidi="he-IL"/>
        </w:rPr>
        <w:t>wo daughters who haven’t slept</w:t>
      </w:r>
      <w:r w:rsidR="0053623B" w:rsidRPr="0053623B">
        <w:rPr>
          <w:rFonts w:ascii="Calibri" w:eastAsia="Times New Roman" w:hAnsi="Calibri" w:cs="Times New Roman"/>
          <w:szCs w:val="18"/>
          <w:lang w:val="en-GB" w:bidi="he-IL"/>
        </w:rPr>
        <w:t xml:space="preserve"> with a man. Let me bring them out to you and you can do to them whatever is good in your eyes. Only don’t do anything to these men, because </w:t>
      </w:r>
      <w:r w:rsidR="000905F1">
        <w:rPr>
          <w:rFonts w:ascii="Calibri" w:eastAsia="Times New Roman" w:hAnsi="Calibri" w:cs="Times New Roman"/>
          <w:szCs w:val="18"/>
          <w:lang w:val="en-GB" w:bidi="he-IL"/>
        </w:rPr>
        <w:t>of the fact that</w:t>
      </w:r>
      <w:r w:rsidR="0053623B" w:rsidRPr="0053623B">
        <w:rPr>
          <w:rFonts w:ascii="Calibri" w:eastAsia="Times New Roman" w:hAnsi="Calibri" w:cs="Times New Roman"/>
          <w:szCs w:val="18"/>
          <w:lang w:val="en-GB" w:bidi="he-IL"/>
        </w:rPr>
        <w:t xml:space="preserve"> they’ve come un</w:t>
      </w:r>
      <w:r w:rsidR="00083CED">
        <w:rPr>
          <w:rFonts w:ascii="Calibri" w:eastAsia="Times New Roman" w:hAnsi="Calibri" w:cs="Times New Roman"/>
          <w:szCs w:val="18"/>
          <w:lang w:val="en-GB" w:bidi="he-IL"/>
        </w:rPr>
        <w:t>der the shelter of my roof-beam</w:t>
      </w:r>
      <w:r w:rsidR="0053623B" w:rsidRPr="0053623B">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 xml:space="preserve"> </w:t>
      </w:r>
    </w:p>
    <w:p w14:paraId="0E29AC8F" w14:textId="740E6615" w:rsidR="0053623B" w:rsidRPr="0053623B" w:rsidRDefault="003A6165" w:rsidP="0053623B">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9</w:t>
      </w:r>
      <w:r w:rsidR="0053623B" w:rsidRPr="0053623B">
        <w:rPr>
          <w:rFonts w:ascii="Calibri" w:eastAsia="Times New Roman" w:hAnsi="Calibri" w:cs="Times New Roman"/>
          <w:szCs w:val="18"/>
          <w:lang w:val="en-GB" w:bidi="he-IL"/>
        </w:rPr>
        <w:t>But t</w:t>
      </w:r>
      <w:r w:rsidR="00B94B49">
        <w:rPr>
          <w:rFonts w:ascii="Calibri" w:eastAsia="Times New Roman" w:hAnsi="Calibri" w:cs="Times New Roman"/>
          <w:szCs w:val="18"/>
          <w:lang w:val="en-GB" w:bidi="he-IL"/>
        </w:rPr>
        <w:t xml:space="preserve">hey said, </w:t>
      </w:r>
      <w:r w:rsidR="003D56BA">
        <w:rPr>
          <w:rFonts w:ascii="Calibri" w:eastAsia="Times New Roman" w:hAnsi="Calibri" w:cs="Times New Roman"/>
          <w:szCs w:val="18"/>
          <w:lang w:val="en-GB" w:bidi="he-IL"/>
        </w:rPr>
        <w:t>“</w:t>
      </w:r>
      <w:r w:rsidR="009A2301">
        <w:rPr>
          <w:rFonts w:ascii="Calibri" w:eastAsia="Times New Roman" w:hAnsi="Calibri" w:cs="Times New Roman"/>
          <w:szCs w:val="18"/>
          <w:lang w:val="en-GB" w:bidi="he-IL"/>
        </w:rPr>
        <w:t>Come up</w:t>
      </w:r>
      <w:r w:rsidR="00F84CBD">
        <w:rPr>
          <w:rFonts w:ascii="Calibri" w:eastAsia="Times New Roman" w:hAnsi="Calibri" w:cs="Times New Roman"/>
          <w:szCs w:val="18"/>
          <w:lang w:val="en-GB" w:bidi="he-IL"/>
        </w:rPr>
        <w:t xml:space="preserve"> </w:t>
      </w:r>
      <w:r w:rsidR="00170FF5">
        <w:rPr>
          <w:rFonts w:ascii="Calibri" w:eastAsia="Times New Roman" w:hAnsi="Calibri" w:cs="Times New Roman"/>
          <w:szCs w:val="18"/>
          <w:lang w:val="en-GB" w:bidi="he-IL"/>
        </w:rPr>
        <w:t>here.</w:t>
      </w:r>
      <w:r w:rsidR="003D56BA">
        <w:rPr>
          <w:rFonts w:ascii="Calibri" w:eastAsia="Times New Roman" w:hAnsi="Calibri" w:cs="Times New Roman"/>
          <w:szCs w:val="18"/>
          <w:lang w:val="en-GB" w:bidi="he-IL"/>
        </w:rPr>
        <w:t>”</w:t>
      </w:r>
      <w:r w:rsidR="00F84CBD">
        <w:rPr>
          <w:rStyle w:val="FootnoteReference"/>
          <w:rFonts w:ascii="Calibri" w:eastAsia="Times New Roman" w:hAnsi="Calibri" w:cs="Times New Roman"/>
          <w:szCs w:val="18"/>
          <w:lang w:val="en-GB" w:bidi="he-IL"/>
        </w:rPr>
        <w:footnoteReference w:id="401"/>
      </w:r>
      <w:r w:rsidR="0053623B" w:rsidRPr="0053623B">
        <w:rPr>
          <w:rFonts w:ascii="Calibri" w:eastAsia="Times New Roman" w:hAnsi="Calibri" w:cs="Times New Roman"/>
          <w:szCs w:val="18"/>
          <w:lang w:val="en-GB" w:bidi="he-IL"/>
        </w:rPr>
        <w:t xml:space="preserve"> </w:t>
      </w:r>
      <w:r w:rsidR="00170FF5">
        <w:rPr>
          <w:rFonts w:ascii="Calibri" w:eastAsia="Times New Roman" w:hAnsi="Calibri" w:cs="Times New Roman"/>
          <w:szCs w:val="18"/>
          <w:lang w:val="en-GB" w:bidi="he-IL"/>
        </w:rPr>
        <w:t>They</w:t>
      </w:r>
      <w:r w:rsidR="00B94B49">
        <w:rPr>
          <w:rFonts w:ascii="Calibri" w:eastAsia="Times New Roman" w:hAnsi="Calibri" w:cs="Times New Roman"/>
          <w:szCs w:val="18"/>
          <w:lang w:val="en-GB" w:bidi="he-IL"/>
        </w:rPr>
        <w:t xml:space="preserve"> said, ‘</w:t>
      </w:r>
      <w:r w:rsidR="0053623B" w:rsidRPr="0053623B">
        <w:rPr>
          <w:rFonts w:ascii="Calibri" w:eastAsia="Times New Roman" w:hAnsi="Calibri" w:cs="Times New Roman"/>
          <w:szCs w:val="18"/>
          <w:lang w:val="en-GB" w:bidi="he-IL"/>
        </w:rPr>
        <w:t>The man came to reside</w:t>
      </w:r>
      <w:r w:rsidR="00B94B49">
        <w:rPr>
          <w:rFonts w:ascii="Calibri" w:eastAsia="Times New Roman" w:hAnsi="Calibri" w:cs="Times New Roman"/>
          <w:szCs w:val="18"/>
          <w:lang w:val="en-GB" w:bidi="he-IL"/>
        </w:rPr>
        <w:t xml:space="preserve"> as an alien</w:t>
      </w:r>
      <w:r w:rsidR="0053623B" w:rsidRPr="0053623B">
        <w:rPr>
          <w:rFonts w:ascii="Calibri" w:eastAsia="Times New Roman" w:hAnsi="Calibri" w:cs="Times New Roman"/>
          <w:szCs w:val="18"/>
          <w:lang w:val="en-GB" w:bidi="he-IL"/>
        </w:rPr>
        <w:t>, and he’s actually exercising authority.</w:t>
      </w:r>
      <w:r w:rsidR="0082017C">
        <w:rPr>
          <w:rStyle w:val="FootnoteReference"/>
          <w:rFonts w:ascii="Calibri" w:eastAsia="Times New Roman" w:hAnsi="Calibri" w:cs="Times New Roman"/>
          <w:szCs w:val="18"/>
          <w:lang w:val="en-GB" w:bidi="he-IL"/>
        </w:rPr>
        <w:footnoteReference w:id="402"/>
      </w:r>
      <w:r w:rsidR="008D2898">
        <w:rPr>
          <w:rFonts w:ascii="Calibri" w:eastAsia="Times New Roman" w:hAnsi="Calibri" w:cs="Times New Roman"/>
          <w:szCs w:val="18"/>
          <w:lang w:val="en-GB" w:bidi="he-IL"/>
        </w:rPr>
        <w:t xml:space="preserve"> Now we’ll act</w:t>
      </w:r>
      <w:r w:rsidR="0053623B" w:rsidRPr="0053623B">
        <w:rPr>
          <w:rFonts w:ascii="Calibri" w:eastAsia="Times New Roman" w:hAnsi="Calibri" w:cs="Times New Roman"/>
          <w:szCs w:val="18"/>
          <w:lang w:val="en-GB" w:bidi="he-IL"/>
        </w:rPr>
        <w:t xml:space="preserve"> badly with you, worse than with them.</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 xml:space="preserve"> They pressed hard against the man (against Lot) an</w:t>
      </w:r>
      <w:r>
        <w:rPr>
          <w:rFonts w:ascii="Calibri" w:eastAsia="Times New Roman" w:hAnsi="Calibri" w:cs="Times New Roman"/>
          <w:szCs w:val="18"/>
          <w:lang w:val="en-GB" w:bidi="he-IL"/>
        </w:rPr>
        <w:t xml:space="preserve">d came up to break the door. </w:t>
      </w:r>
      <w:r>
        <w:rPr>
          <w:rFonts w:ascii="Calibri" w:eastAsia="Times New Roman" w:hAnsi="Calibri" w:cs="Times New Roman"/>
          <w:szCs w:val="18"/>
          <w:vertAlign w:val="superscript"/>
          <w:lang w:val="en-GB" w:bidi="he-IL"/>
        </w:rPr>
        <w:t>10</w:t>
      </w:r>
      <w:r w:rsidR="0053623B" w:rsidRPr="0053623B">
        <w:rPr>
          <w:rFonts w:ascii="Calibri" w:eastAsia="Times New Roman" w:hAnsi="Calibri" w:cs="Times New Roman"/>
          <w:szCs w:val="18"/>
          <w:lang w:val="en-GB" w:bidi="he-IL"/>
        </w:rPr>
        <w:t>But the men put out their hand and got Lot to come to them, into the ho</w:t>
      </w:r>
      <w:r>
        <w:rPr>
          <w:rFonts w:ascii="Calibri" w:eastAsia="Times New Roman" w:hAnsi="Calibri" w:cs="Times New Roman"/>
          <w:szCs w:val="18"/>
          <w:lang w:val="en-GB" w:bidi="he-IL"/>
        </w:rPr>
        <w:t xml:space="preserve">use, and they shut the door. </w:t>
      </w:r>
      <w:r>
        <w:rPr>
          <w:rFonts w:ascii="Calibri" w:eastAsia="Times New Roman" w:hAnsi="Calibri" w:cs="Times New Roman"/>
          <w:szCs w:val="18"/>
          <w:vertAlign w:val="superscript"/>
          <w:lang w:val="en-GB" w:bidi="he-IL"/>
        </w:rPr>
        <w:t>11</w:t>
      </w:r>
      <w:r w:rsidR="00170FF5">
        <w:rPr>
          <w:rFonts w:ascii="Calibri" w:eastAsia="Times New Roman" w:hAnsi="Calibri" w:cs="Times New Roman"/>
          <w:szCs w:val="18"/>
          <w:lang w:val="en-GB" w:bidi="he-IL"/>
        </w:rPr>
        <w:t>As for the people</w:t>
      </w:r>
      <w:r w:rsidR="0053623B" w:rsidRPr="0053623B">
        <w:rPr>
          <w:rFonts w:ascii="Calibri" w:eastAsia="Times New Roman" w:hAnsi="Calibri" w:cs="Times New Roman"/>
          <w:szCs w:val="18"/>
          <w:lang w:val="en-GB" w:bidi="he-IL"/>
        </w:rPr>
        <w:t xml:space="preserve"> who were at the entrance of the house, they struck them down with a daze, from young right to old, so they became weary of trying to find the entrance. </w:t>
      </w:r>
    </w:p>
    <w:p w14:paraId="6FCDA3DE" w14:textId="77777777" w:rsidR="0053623B" w:rsidRPr="0053623B" w:rsidRDefault="003A6165" w:rsidP="0053623B">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12</w:t>
      </w:r>
      <w:r w:rsidR="005024EE">
        <w:rPr>
          <w:rFonts w:ascii="Calibri" w:eastAsia="Times New Roman" w:hAnsi="Calibri" w:cs="Times New Roman"/>
          <w:szCs w:val="18"/>
          <w:lang w:val="en-GB" w:bidi="he-IL"/>
        </w:rPr>
        <w:t xml:space="preserve">The men said to Lot, </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Who else do you h</w:t>
      </w:r>
      <w:r w:rsidR="008C5045">
        <w:rPr>
          <w:rFonts w:ascii="Calibri" w:eastAsia="Times New Roman" w:hAnsi="Calibri" w:cs="Times New Roman"/>
          <w:szCs w:val="18"/>
          <w:lang w:val="en-GB" w:bidi="he-IL"/>
        </w:rPr>
        <w:t>ave here—</w:t>
      </w:r>
      <w:r w:rsidR="00596B78">
        <w:rPr>
          <w:rFonts w:ascii="Calibri" w:eastAsia="Times New Roman" w:hAnsi="Calibri" w:cs="Times New Roman"/>
          <w:szCs w:val="18"/>
          <w:lang w:val="en-GB" w:bidi="he-IL"/>
        </w:rPr>
        <w:t>son</w:t>
      </w:r>
      <w:r w:rsidR="0053623B" w:rsidRPr="0053623B">
        <w:rPr>
          <w:rFonts w:ascii="Calibri" w:eastAsia="Times New Roman" w:hAnsi="Calibri" w:cs="Times New Roman"/>
          <w:szCs w:val="18"/>
          <w:lang w:val="en-GB" w:bidi="he-IL"/>
        </w:rPr>
        <w:t xml:space="preserve">-in-law, </w:t>
      </w:r>
      <w:r w:rsidR="00596B78">
        <w:rPr>
          <w:rFonts w:ascii="Calibri" w:eastAsia="Times New Roman" w:hAnsi="Calibri" w:cs="Times New Roman"/>
          <w:szCs w:val="18"/>
          <w:lang w:val="en-GB" w:bidi="he-IL"/>
        </w:rPr>
        <w:t xml:space="preserve">your </w:t>
      </w:r>
      <w:r w:rsidR="0053623B" w:rsidRPr="0053623B">
        <w:rPr>
          <w:rFonts w:ascii="Calibri" w:eastAsia="Times New Roman" w:hAnsi="Calibri" w:cs="Times New Roman"/>
          <w:szCs w:val="18"/>
          <w:lang w:val="en-GB" w:bidi="he-IL"/>
        </w:rPr>
        <w:t xml:space="preserve">sons, </w:t>
      </w:r>
      <w:proofErr w:type="gramStart"/>
      <w:r w:rsidR="00596B78">
        <w:rPr>
          <w:rFonts w:ascii="Calibri" w:eastAsia="Times New Roman" w:hAnsi="Calibri" w:cs="Times New Roman"/>
          <w:szCs w:val="18"/>
          <w:lang w:val="en-GB" w:bidi="he-IL"/>
        </w:rPr>
        <w:t>your</w:t>
      </w:r>
      <w:proofErr w:type="gramEnd"/>
      <w:r w:rsidR="00596B78">
        <w:rPr>
          <w:rFonts w:ascii="Calibri" w:eastAsia="Times New Roman" w:hAnsi="Calibri" w:cs="Times New Roman"/>
          <w:szCs w:val="18"/>
          <w:lang w:val="en-GB" w:bidi="he-IL"/>
        </w:rPr>
        <w:t xml:space="preserve"> </w:t>
      </w:r>
      <w:r w:rsidR="0053623B" w:rsidRPr="0053623B">
        <w:rPr>
          <w:rFonts w:ascii="Calibri" w:eastAsia="Times New Roman" w:hAnsi="Calibri" w:cs="Times New Roman"/>
          <w:szCs w:val="18"/>
          <w:lang w:val="en-GB" w:bidi="he-IL"/>
        </w:rPr>
        <w:t>daughters, anyone who belongs to you in the town?</w:t>
      </w:r>
      <w:r>
        <w:rPr>
          <w:rFonts w:ascii="Calibri" w:eastAsia="Times New Roman" w:hAnsi="Calibri" w:cs="Times New Roman"/>
          <w:szCs w:val="18"/>
          <w:lang w:val="en-GB" w:bidi="he-IL"/>
        </w:rPr>
        <w:t xml:space="preserve"> Take them out of the place. </w:t>
      </w:r>
      <w:r>
        <w:rPr>
          <w:rFonts w:ascii="Calibri" w:eastAsia="Times New Roman" w:hAnsi="Calibri" w:cs="Times New Roman"/>
          <w:szCs w:val="18"/>
          <w:vertAlign w:val="superscript"/>
          <w:lang w:val="en-GB" w:bidi="he-IL"/>
        </w:rPr>
        <w:t>13</w:t>
      </w:r>
      <w:r w:rsidR="0053623B" w:rsidRPr="0053623B">
        <w:rPr>
          <w:rFonts w:ascii="Calibri" w:eastAsia="Times New Roman" w:hAnsi="Calibri" w:cs="Times New Roman"/>
          <w:szCs w:val="18"/>
          <w:lang w:val="en-GB" w:bidi="he-IL"/>
        </w:rPr>
        <w:t>Because we’re going to devastate this place, because the outcry before Yahweh against them</w:t>
      </w:r>
      <w:r w:rsidR="00686874">
        <w:rPr>
          <w:rStyle w:val="FootnoteReference"/>
          <w:rFonts w:ascii="Calibri" w:eastAsia="Times New Roman" w:hAnsi="Calibri" w:cs="Times New Roman"/>
          <w:szCs w:val="18"/>
          <w:lang w:val="en-GB" w:bidi="he-IL"/>
        </w:rPr>
        <w:footnoteReference w:id="403"/>
      </w:r>
      <w:r w:rsidR="0053623B" w:rsidRPr="0053623B">
        <w:rPr>
          <w:rFonts w:ascii="Calibri" w:eastAsia="Times New Roman" w:hAnsi="Calibri" w:cs="Times New Roman"/>
          <w:szCs w:val="18"/>
          <w:lang w:val="en-GB" w:bidi="he-IL"/>
        </w:rPr>
        <w:t xml:space="preserve"> has become so big that Yahweh h</w:t>
      </w:r>
      <w:r w:rsidR="005024EE">
        <w:rPr>
          <w:rFonts w:ascii="Calibri" w:eastAsia="Times New Roman" w:hAnsi="Calibri" w:cs="Times New Roman"/>
          <w:szCs w:val="18"/>
          <w:lang w:val="en-GB" w:bidi="he-IL"/>
        </w:rPr>
        <w:t>as sent us to devastate it</w:t>
      </w:r>
      <w:r>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14</w:t>
      </w:r>
      <w:r w:rsidR="0053623B" w:rsidRPr="0053623B">
        <w:rPr>
          <w:rFonts w:ascii="Calibri" w:eastAsia="Times New Roman" w:hAnsi="Calibri" w:cs="Times New Roman"/>
          <w:szCs w:val="18"/>
          <w:lang w:val="en-GB" w:bidi="he-IL"/>
        </w:rPr>
        <w:t>So Lot went out and spo</w:t>
      </w:r>
      <w:r w:rsidR="00803B0B">
        <w:rPr>
          <w:rFonts w:ascii="Calibri" w:eastAsia="Times New Roman" w:hAnsi="Calibri" w:cs="Times New Roman"/>
          <w:szCs w:val="18"/>
          <w:lang w:val="en-GB" w:bidi="he-IL"/>
        </w:rPr>
        <w:t>ke to his sons-in-law, who had got</w:t>
      </w:r>
      <w:r w:rsidR="00803B0B" w:rsidRPr="00803B0B">
        <w:rPr>
          <w:rFonts w:ascii="Calibri" w:eastAsia="Times New Roman" w:hAnsi="Calibri" w:cs="Times New Roman"/>
          <w:szCs w:val="18"/>
          <w:vertAlign w:val="superscript"/>
          <w:lang w:val="en-GB" w:bidi="he-IL"/>
        </w:rPr>
        <w:footnoteReference w:id="404"/>
      </w:r>
      <w:r w:rsidR="005024EE">
        <w:rPr>
          <w:rFonts w:ascii="Calibri" w:eastAsia="Times New Roman" w:hAnsi="Calibri" w:cs="Times New Roman"/>
          <w:szCs w:val="18"/>
          <w:lang w:val="en-GB" w:bidi="he-IL"/>
        </w:rPr>
        <w:t xml:space="preserve"> his daughters, and said </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Set off, get out of this place, because Yahweh</w:t>
      </w:r>
      <w:r w:rsidR="005024EE">
        <w:rPr>
          <w:rFonts w:ascii="Calibri" w:eastAsia="Times New Roman" w:hAnsi="Calibri" w:cs="Times New Roman"/>
          <w:szCs w:val="18"/>
          <w:lang w:val="en-GB" w:bidi="he-IL"/>
        </w:rPr>
        <w:t xml:space="preserve"> is going to devastate the town</w:t>
      </w:r>
      <w:r w:rsidR="0053623B" w:rsidRPr="0053623B">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53623B" w:rsidRPr="0053623B">
        <w:rPr>
          <w:rFonts w:ascii="Calibri" w:eastAsia="Times New Roman" w:hAnsi="Calibri" w:cs="Times New Roman"/>
          <w:szCs w:val="18"/>
          <w:lang w:val="en-GB" w:bidi="he-IL"/>
        </w:rPr>
        <w:t xml:space="preserve"> But in the eyes of his sons-in-law h</w:t>
      </w:r>
      <w:r w:rsidR="00D914E2">
        <w:rPr>
          <w:rFonts w:ascii="Calibri" w:eastAsia="Times New Roman" w:hAnsi="Calibri" w:cs="Times New Roman"/>
          <w:szCs w:val="18"/>
          <w:lang w:val="en-GB" w:bidi="he-IL"/>
        </w:rPr>
        <w:t>e was like someone making people laugh</w:t>
      </w:r>
      <w:r w:rsidR="0053623B" w:rsidRPr="0053623B">
        <w:rPr>
          <w:rFonts w:ascii="Calibri" w:eastAsia="Times New Roman" w:hAnsi="Calibri" w:cs="Times New Roman"/>
          <w:szCs w:val="18"/>
          <w:lang w:val="en-GB" w:bidi="he-IL"/>
        </w:rPr>
        <w:t xml:space="preserve">. </w:t>
      </w:r>
    </w:p>
    <w:p w14:paraId="3F146526" w14:textId="08DBCEF8" w:rsidR="008C5045" w:rsidRDefault="003A6165" w:rsidP="0053623B">
      <w:pPr>
        <w:rPr>
          <w:rFonts w:ascii="Calibri" w:eastAsia="Times New Roman" w:hAnsi="Calibri" w:cs="Times New Roman"/>
          <w:lang w:val="en-GB" w:bidi="he-IL"/>
        </w:rPr>
      </w:pPr>
      <w:r>
        <w:rPr>
          <w:rFonts w:ascii="Calibri" w:eastAsia="Times New Roman" w:hAnsi="Calibri" w:cs="Times New Roman"/>
          <w:vertAlign w:val="superscript"/>
          <w:lang w:val="en-GB" w:bidi="he-IL"/>
        </w:rPr>
        <w:t>15</w:t>
      </w:r>
      <w:r w:rsidR="0053623B" w:rsidRPr="0053623B">
        <w:rPr>
          <w:rFonts w:ascii="Calibri" w:eastAsia="Times New Roman" w:hAnsi="Calibri" w:cs="Times New Roman"/>
          <w:lang w:val="en-GB" w:bidi="he-IL"/>
        </w:rPr>
        <w:t>As dawn came, the envoys p</w:t>
      </w:r>
      <w:r w:rsidR="005024EE">
        <w:rPr>
          <w:rFonts w:ascii="Calibri" w:eastAsia="Times New Roman" w:hAnsi="Calibri" w:cs="Times New Roman"/>
          <w:lang w:val="en-GB" w:bidi="he-IL"/>
        </w:rPr>
        <w:t xml:space="preserve">ressed Lot, saying </w:t>
      </w:r>
      <w:r w:rsidR="003D56BA">
        <w:rPr>
          <w:rFonts w:ascii="Calibri" w:eastAsia="Times New Roman" w:hAnsi="Calibri" w:cs="Times New Roman"/>
          <w:lang w:val="en-GB" w:bidi="he-IL"/>
        </w:rPr>
        <w:t>“</w:t>
      </w:r>
      <w:r w:rsidR="0053623B" w:rsidRPr="0053623B">
        <w:rPr>
          <w:rFonts w:ascii="Calibri" w:eastAsia="Times New Roman" w:hAnsi="Calibri" w:cs="Times New Roman"/>
          <w:lang w:val="en-GB" w:bidi="he-IL"/>
        </w:rPr>
        <w:t xml:space="preserve">Set off, </w:t>
      </w:r>
      <w:r w:rsidR="00170FF5">
        <w:rPr>
          <w:rFonts w:ascii="Calibri" w:eastAsia="Times New Roman" w:hAnsi="Calibri" w:cs="Times New Roman"/>
          <w:lang w:val="en-GB" w:bidi="he-IL"/>
        </w:rPr>
        <w:t>ge</w:t>
      </w:r>
      <w:r w:rsidR="004002A3">
        <w:rPr>
          <w:rFonts w:ascii="Calibri" w:eastAsia="Times New Roman" w:hAnsi="Calibri" w:cs="Times New Roman"/>
          <w:lang w:val="en-GB" w:bidi="he-IL"/>
        </w:rPr>
        <w:t>t</w:t>
      </w:r>
      <w:r w:rsidR="0053623B" w:rsidRPr="0053623B">
        <w:rPr>
          <w:rFonts w:ascii="Calibri" w:eastAsia="Times New Roman" w:hAnsi="Calibri" w:cs="Times New Roman"/>
          <w:lang w:val="en-GB" w:bidi="he-IL"/>
        </w:rPr>
        <w:t xml:space="preserve"> your wife and your two daughters who are to be found here, so you’re not swept away because of t</w:t>
      </w:r>
      <w:r w:rsidR="005024EE">
        <w:rPr>
          <w:rFonts w:ascii="Calibri" w:eastAsia="Times New Roman" w:hAnsi="Calibri" w:cs="Times New Roman"/>
          <w:lang w:val="en-GB" w:bidi="he-IL"/>
        </w:rPr>
        <w:t>he</w:t>
      </w:r>
      <w:r w:rsidR="0082017C">
        <w:rPr>
          <w:rFonts w:ascii="Calibri" w:eastAsia="Times New Roman" w:hAnsi="Calibri" w:cs="Times New Roman"/>
          <w:lang w:val="en-GB" w:bidi="he-IL"/>
        </w:rPr>
        <w:t xml:space="preserve"> town’s waywardness</w:t>
      </w:r>
      <w:r>
        <w:rPr>
          <w:rFonts w:ascii="Calibri" w:eastAsia="Times New Roman" w:hAnsi="Calibri" w:cs="Times New Roman"/>
          <w:lang w:val="en-GB" w:bidi="he-IL"/>
        </w:rPr>
        <w:t>.</w:t>
      </w:r>
      <w:r w:rsidR="003D56BA">
        <w:rPr>
          <w:rFonts w:ascii="Calibri" w:eastAsia="Times New Roman" w:hAnsi="Calibri" w:cs="Times New Roman"/>
          <w:lang w:val="en-GB" w:bidi="he-IL"/>
        </w:rPr>
        <w:t>”</w:t>
      </w:r>
      <w:r>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16</w:t>
      </w:r>
      <w:r w:rsidR="00170FF5">
        <w:rPr>
          <w:rFonts w:ascii="Calibri" w:eastAsia="Times New Roman" w:hAnsi="Calibri" w:cs="Times New Roman"/>
          <w:lang w:val="en-GB" w:bidi="he-IL"/>
        </w:rPr>
        <w:t>H</w:t>
      </w:r>
      <w:r w:rsidR="0053623B" w:rsidRPr="0053623B">
        <w:rPr>
          <w:rFonts w:ascii="Calibri" w:eastAsia="Times New Roman" w:hAnsi="Calibri" w:cs="Times New Roman"/>
          <w:lang w:val="en-GB" w:bidi="he-IL"/>
        </w:rPr>
        <w:t>e</w:t>
      </w:r>
      <w:r w:rsidR="00D914E2">
        <w:rPr>
          <w:rFonts w:ascii="Calibri" w:eastAsia="Times New Roman" w:hAnsi="Calibri" w:cs="Times New Roman"/>
          <w:lang w:val="en-GB" w:bidi="he-IL"/>
        </w:rPr>
        <w:t xml:space="preserve"> delayed, so the men took firm</w:t>
      </w:r>
      <w:r w:rsidR="0053623B" w:rsidRPr="0053623B">
        <w:rPr>
          <w:rFonts w:ascii="Calibri" w:eastAsia="Times New Roman" w:hAnsi="Calibri" w:cs="Times New Roman"/>
          <w:lang w:val="en-GB" w:bidi="he-IL"/>
        </w:rPr>
        <w:t xml:space="preserve"> hold of his hand, his wife’s hand, and his two daug</w:t>
      </w:r>
      <w:r w:rsidR="00B94A3C">
        <w:rPr>
          <w:rFonts w:ascii="Calibri" w:eastAsia="Times New Roman" w:hAnsi="Calibri" w:cs="Times New Roman"/>
          <w:lang w:val="en-GB" w:bidi="he-IL"/>
        </w:rPr>
        <w:t>hters’ hand, by Yahweh’s pity</w:t>
      </w:r>
      <w:r w:rsidR="00170FF5">
        <w:rPr>
          <w:rFonts w:ascii="Calibri" w:eastAsia="Times New Roman" w:hAnsi="Calibri" w:cs="Times New Roman"/>
          <w:lang w:val="en-GB" w:bidi="he-IL"/>
        </w:rPr>
        <w:t xml:space="preserve"> on him,</w:t>
      </w:r>
      <w:r w:rsidR="0053623B" w:rsidRPr="0053623B">
        <w:rPr>
          <w:rFonts w:ascii="Calibri" w:eastAsia="Times New Roman" w:hAnsi="Calibri" w:cs="Times New Roman"/>
          <w:lang w:val="en-GB" w:bidi="he-IL"/>
        </w:rPr>
        <w:t xml:space="preserve"> got him out</w:t>
      </w:r>
      <w:r w:rsidR="00DB3086">
        <w:rPr>
          <w:rFonts w:ascii="Calibri" w:eastAsia="Times New Roman" w:hAnsi="Calibri" w:cs="Times New Roman"/>
          <w:lang w:val="en-GB" w:bidi="he-IL"/>
        </w:rPr>
        <w:t>,</w:t>
      </w:r>
      <w:r w:rsidR="0053623B" w:rsidRPr="0053623B">
        <w:rPr>
          <w:rFonts w:ascii="Calibri" w:eastAsia="Times New Roman" w:hAnsi="Calibri" w:cs="Times New Roman"/>
          <w:lang w:val="en-GB" w:bidi="he-IL"/>
        </w:rPr>
        <w:t xml:space="preserve"> and se</w:t>
      </w:r>
      <w:r>
        <w:rPr>
          <w:rFonts w:ascii="Calibri" w:eastAsia="Times New Roman" w:hAnsi="Calibri" w:cs="Times New Roman"/>
          <w:lang w:val="en-GB" w:bidi="he-IL"/>
        </w:rPr>
        <w:t xml:space="preserve">t him down outside the town. </w:t>
      </w:r>
    </w:p>
    <w:p w14:paraId="0C79330E" w14:textId="32538A88" w:rsidR="0053623B" w:rsidRPr="0053623B" w:rsidRDefault="003A6165" w:rsidP="0053623B">
      <w:pPr>
        <w:rPr>
          <w:rFonts w:ascii="Calibri" w:eastAsia="Times New Roman" w:hAnsi="Calibri" w:cs="Times New Roman"/>
          <w:lang w:val="en-GB" w:bidi="he-IL"/>
        </w:rPr>
      </w:pPr>
      <w:r>
        <w:rPr>
          <w:rFonts w:ascii="Calibri" w:eastAsia="Times New Roman" w:hAnsi="Calibri" w:cs="Times New Roman"/>
          <w:vertAlign w:val="superscript"/>
          <w:lang w:val="en-GB" w:bidi="he-IL"/>
        </w:rPr>
        <w:t>17</w:t>
      </w:r>
      <w:r w:rsidR="0053623B" w:rsidRPr="0053623B">
        <w:rPr>
          <w:rFonts w:ascii="Calibri" w:eastAsia="Times New Roman" w:hAnsi="Calibri" w:cs="Times New Roman"/>
          <w:lang w:val="en-GB" w:bidi="he-IL"/>
        </w:rPr>
        <w:t>When they h</w:t>
      </w:r>
      <w:r w:rsidR="005024EE">
        <w:rPr>
          <w:rFonts w:ascii="Calibri" w:eastAsia="Times New Roman" w:hAnsi="Calibri" w:cs="Times New Roman"/>
          <w:lang w:val="en-GB" w:bidi="he-IL"/>
        </w:rPr>
        <w:t xml:space="preserve">ad got them outside, one said, </w:t>
      </w:r>
      <w:r w:rsidR="003D56BA">
        <w:rPr>
          <w:rFonts w:ascii="Calibri" w:eastAsia="Times New Roman" w:hAnsi="Calibri" w:cs="Times New Roman"/>
          <w:lang w:val="en-GB" w:bidi="he-IL"/>
        </w:rPr>
        <w:t>“</w:t>
      </w:r>
      <w:r w:rsidR="0053623B" w:rsidRPr="0053623B">
        <w:rPr>
          <w:rFonts w:ascii="Calibri" w:eastAsia="Times New Roman" w:hAnsi="Calibri" w:cs="Times New Roman"/>
          <w:lang w:val="en-GB" w:bidi="he-IL"/>
        </w:rPr>
        <w:t xml:space="preserve">Escape for your life, don’t gaze behind you, </w:t>
      </w:r>
      <w:r w:rsidR="00E32D39">
        <w:rPr>
          <w:rFonts w:ascii="Calibri" w:eastAsia="Times New Roman" w:hAnsi="Calibri" w:cs="Times New Roman"/>
          <w:lang w:val="en-GB" w:bidi="he-IL"/>
        </w:rPr>
        <w:t>don’t h</w:t>
      </w:r>
      <w:r w:rsidR="007B5674">
        <w:rPr>
          <w:rFonts w:ascii="Calibri" w:eastAsia="Times New Roman" w:hAnsi="Calibri" w:cs="Times New Roman"/>
          <w:lang w:val="en-GB" w:bidi="he-IL"/>
        </w:rPr>
        <w:t>alt anywhere in the area</w:t>
      </w:r>
      <w:r w:rsidR="00D805BB">
        <w:rPr>
          <w:rFonts w:ascii="Calibri" w:eastAsia="Times New Roman" w:hAnsi="Calibri" w:cs="Times New Roman"/>
          <w:lang w:val="en-GB" w:bidi="he-IL"/>
        </w:rPr>
        <w:t xml:space="preserve"> around</w:t>
      </w:r>
      <w:r w:rsidR="0053623B" w:rsidRPr="0053623B">
        <w:rPr>
          <w:rFonts w:ascii="Calibri" w:eastAsia="Times New Roman" w:hAnsi="Calibri" w:cs="Times New Roman"/>
          <w:lang w:val="en-GB" w:bidi="he-IL"/>
        </w:rPr>
        <w:t>. Escape to the highland, so you’re not swept awa</w:t>
      </w:r>
      <w:r w:rsidR="005024EE">
        <w:rPr>
          <w:rFonts w:ascii="Calibri" w:eastAsia="Times New Roman" w:hAnsi="Calibri" w:cs="Times New Roman"/>
          <w:lang w:val="en-GB" w:bidi="he-IL"/>
        </w:rPr>
        <w:t>y</w:t>
      </w:r>
      <w:r w:rsidR="0053623B" w:rsidRPr="0053623B">
        <w:rPr>
          <w:rFonts w:ascii="Calibri" w:eastAsia="Times New Roman" w:hAnsi="Calibri" w:cs="Times New Roman"/>
          <w:lang w:val="en-GB" w:bidi="he-IL"/>
        </w:rPr>
        <w:t>.</w:t>
      </w:r>
      <w:r w:rsidR="003D56BA">
        <w:rPr>
          <w:rFonts w:ascii="Calibri" w:eastAsia="Times New Roman" w:hAnsi="Calibri" w:cs="Times New Roman"/>
          <w:lang w:val="en-GB" w:bidi="he-IL"/>
        </w:rPr>
        <w:t>”</w:t>
      </w:r>
      <w:r w:rsidR="0053623B" w:rsidRPr="0053623B">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18</w:t>
      </w:r>
      <w:r w:rsidR="005024EE">
        <w:rPr>
          <w:rFonts w:ascii="Calibri" w:eastAsia="Times New Roman" w:hAnsi="Calibri" w:cs="Times New Roman"/>
          <w:lang w:val="en-GB" w:bidi="he-IL"/>
        </w:rPr>
        <w:t xml:space="preserve">Lot said to them, </w:t>
      </w:r>
      <w:r w:rsidR="003D56BA">
        <w:rPr>
          <w:rFonts w:ascii="Calibri" w:eastAsia="Times New Roman" w:hAnsi="Calibri" w:cs="Times New Roman"/>
          <w:lang w:val="en-GB" w:bidi="he-IL"/>
        </w:rPr>
        <w:t>“</w:t>
      </w:r>
      <w:r w:rsidR="0053623B" w:rsidRPr="0053623B">
        <w:rPr>
          <w:rFonts w:ascii="Calibri" w:eastAsia="Times New Roman" w:hAnsi="Calibri" w:cs="Times New Roman"/>
          <w:lang w:val="en-GB" w:bidi="he-IL"/>
        </w:rPr>
        <w:t>No, pleas</w:t>
      </w:r>
      <w:r w:rsidR="00E90ED6">
        <w:rPr>
          <w:rFonts w:ascii="Calibri" w:eastAsia="Times New Roman" w:hAnsi="Calibri" w:cs="Times New Roman"/>
          <w:lang w:val="en-GB" w:bidi="he-IL"/>
        </w:rPr>
        <w:t>e, my lords</w:t>
      </w:r>
      <w:r>
        <w:rPr>
          <w:rFonts w:ascii="Calibri" w:eastAsia="Times New Roman" w:hAnsi="Calibri" w:cs="Times New Roman"/>
          <w:lang w:val="en-GB" w:bidi="he-IL"/>
        </w:rPr>
        <w:t>!</w:t>
      </w:r>
      <w:r w:rsidR="00E90ED6">
        <w:rPr>
          <w:rStyle w:val="FootnoteReference"/>
          <w:rFonts w:ascii="Calibri" w:eastAsia="Times New Roman" w:hAnsi="Calibri" w:cs="Times New Roman"/>
          <w:lang w:val="en-GB" w:bidi="he-IL"/>
        </w:rPr>
        <w:footnoteReference w:id="405"/>
      </w:r>
      <w:r>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19</w:t>
      </w:r>
      <w:r w:rsidR="0053623B" w:rsidRPr="0053623B">
        <w:rPr>
          <w:rFonts w:ascii="Calibri" w:eastAsia="Times New Roman" w:hAnsi="Calibri" w:cs="Times New Roman"/>
          <w:lang w:val="en-GB" w:bidi="he-IL"/>
        </w:rPr>
        <w:t>There, please: your servant</w:t>
      </w:r>
      <w:r w:rsidR="001864A6">
        <w:rPr>
          <w:rFonts w:ascii="Calibri" w:eastAsia="Times New Roman" w:hAnsi="Calibri" w:cs="Times New Roman"/>
          <w:lang w:val="en-GB" w:bidi="he-IL"/>
        </w:rPr>
        <w:t xml:space="preserve"> has found favor</w:t>
      </w:r>
      <w:r w:rsidR="0082017C">
        <w:rPr>
          <w:rFonts w:ascii="Calibri" w:eastAsia="Times New Roman" w:hAnsi="Calibri" w:cs="Times New Roman"/>
          <w:lang w:val="en-GB" w:bidi="he-IL"/>
        </w:rPr>
        <w:t xml:space="preserve"> in your eyes and y</w:t>
      </w:r>
      <w:r w:rsidR="00790AAB">
        <w:rPr>
          <w:rFonts w:ascii="Calibri" w:eastAsia="Times New Roman" w:hAnsi="Calibri" w:cs="Times New Roman"/>
          <w:lang w:val="en-GB" w:bidi="he-IL"/>
        </w:rPr>
        <w:t>ou’ve acted in such big</w:t>
      </w:r>
      <w:r w:rsidR="0053623B" w:rsidRPr="0053623B">
        <w:rPr>
          <w:rFonts w:ascii="Calibri" w:eastAsia="Times New Roman" w:hAnsi="Calibri" w:cs="Times New Roman"/>
          <w:lang w:val="en-GB" w:bidi="he-IL"/>
        </w:rPr>
        <w:t xml:space="preserve"> commitment with me in preserving my life. But I – I can</w:t>
      </w:r>
      <w:r w:rsidR="00B94A3C">
        <w:rPr>
          <w:rFonts w:ascii="Calibri" w:eastAsia="Times New Roman" w:hAnsi="Calibri" w:cs="Times New Roman"/>
          <w:lang w:val="en-GB" w:bidi="he-IL"/>
        </w:rPr>
        <w:t>’t flee to the highland so</w:t>
      </w:r>
      <w:r w:rsidR="0053623B" w:rsidRPr="0053623B">
        <w:rPr>
          <w:rFonts w:ascii="Calibri" w:eastAsia="Times New Roman" w:hAnsi="Calibri" w:cs="Times New Roman"/>
          <w:lang w:val="en-GB" w:bidi="he-IL"/>
        </w:rPr>
        <w:t xml:space="preserve"> that the bad event doesn’t at</w:t>
      </w:r>
      <w:r>
        <w:rPr>
          <w:rFonts w:ascii="Calibri" w:eastAsia="Times New Roman" w:hAnsi="Calibri" w:cs="Times New Roman"/>
          <w:lang w:val="en-GB" w:bidi="he-IL"/>
        </w:rPr>
        <w:t xml:space="preserve">tach itself to me and I die. </w:t>
      </w:r>
      <w:r>
        <w:rPr>
          <w:rFonts w:ascii="Calibri" w:eastAsia="Times New Roman" w:hAnsi="Calibri" w:cs="Times New Roman"/>
          <w:vertAlign w:val="superscript"/>
          <w:lang w:val="en-GB" w:bidi="he-IL"/>
        </w:rPr>
        <w:t>20</w:t>
      </w:r>
      <w:r w:rsidR="0053623B" w:rsidRPr="0053623B">
        <w:rPr>
          <w:rFonts w:ascii="Calibri" w:eastAsia="Times New Roman" w:hAnsi="Calibri" w:cs="Times New Roman"/>
          <w:lang w:val="en-GB" w:bidi="he-IL"/>
        </w:rPr>
        <w:t>Here, please – this town’s near for fleeing to, and it’s small. I can flee there, it’s sma</w:t>
      </w:r>
      <w:r w:rsidR="005024EE">
        <w:rPr>
          <w:rFonts w:ascii="Calibri" w:eastAsia="Times New Roman" w:hAnsi="Calibri" w:cs="Times New Roman"/>
          <w:lang w:val="en-GB" w:bidi="he-IL"/>
        </w:rPr>
        <w:t xml:space="preserve">ll, </w:t>
      </w:r>
      <w:proofErr w:type="gramStart"/>
      <w:r w:rsidR="005024EE">
        <w:rPr>
          <w:rFonts w:ascii="Calibri" w:eastAsia="Times New Roman" w:hAnsi="Calibri" w:cs="Times New Roman"/>
          <w:lang w:val="en-GB" w:bidi="he-IL"/>
        </w:rPr>
        <w:t>so</w:t>
      </w:r>
      <w:proofErr w:type="gramEnd"/>
      <w:r w:rsidR="005024EE">
        <w:rPr>
          <w:rFonts w:ascii="Calibri" w:eastAsia="Times New Roman" w:hAnsi="Calibri" w:cs="Times New Roman"/>
          <w:lang w:val="en-GB" w:bidi="he-IL"/>
        </w:rPr>
        <w:t xml:space="preserve"> my life can be preserved</w:t>
      </w:r>
      <w:r w:rsidR="0053623B" w:rsidRPr="0053623B">
        <w:rPr>
          <w:rFonts w:ascii="Calibri" w:eastAsia="Times New Roman" w:hAnsi="Calibri" w:cs="Times New Roman"/>
          <w:lang w:val="en-GB" w:bidi="he-IL"/>
        </w:rPr>
        <w:t>.</w:t>
      </w:r>
      <w:r w:rsidR="003D56BA">
        <w:rPr>
          <w:rFonts w:ascii="Calibri" w:eastAsia="Times New Roman" w:hAnsi="Calibri" w:cs="Times New Roman"/>
          <w:lang w:val="en-GB" w:bidi="he-IL"/>
        </w:rPr>
        <w:t>”</w:t>
      </w:r>
      <w:r w:rsidR="0053623B" w:rsidRPr="0053623B">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21</w:t>
      </w:r>
      <w:r w:rsidR="005024EE">
        <w:rPr>
          <w:rFonts w:ascii="Calibri" w:eastAsia="Times New Roman" w:hAnsi="Calibri" w:cs="Times New Roman"/>
          <w:lang w:val="en-GB" w:bidi="he-IL"/>
        </w:rPr>
        <w:t xml:space="preserve">He said to him, </w:t>
      </w:r>
      <w:r w:rsidR="003D56BA">
        <w:rPr>
          <w:rFonts w:ascii="Calibri" w:eastAsia="Times New Roman" w:hAnsi="Calibri" w:cs="Times New Roman"/>
          <w:lang w:val="en-GB" w:bidi="he-IL"/>
        </w:rPr>
        <w:t>“</w:t>
      </w:r>
      <w:r w:rsidR="005024EE">
        <w:rPr>
          <w:rFonts w:ascii="Calibri" w:eastAsia="Times New Roman" w:hAnsi="Calibri" w:cs="Times New Roman"/>
          <w:lang w:val="en-GB" w:bidi="he-IL"/>
        </w:rPr>
        <w:t>Here, I</w:t>
      </w:r>
      <w:r w:rsidR="0082017C">
        <w:rPr>
          <w:rFonts w:ascii="Calibri" w:eastAsia="Times New Roman" w:hAnsi="Calibri" w:cs="Times New Roman"/>
          <w:lang w:bidi="he-IL"/>
        </w:rPr>
        <w:t>’</w:t>
      </w:r>
      <w:r w:rsidR="00E92840">
        <w:rPr>
          <w:rFonts w:ascii="Calibri" w:eastAsia="Times New Roman" w:hAnsi="Calibri" w:cs="Times New Roman"/>
          <w:lang w:bidi="he-IL"/>
        </w:rPr>
        <w:t>m</w:t>
      </w:r>
      <w:r w:rsidR="00D57890">
        <w:rPr>
          <w:rFonts w:ascii="Calibri" w:eastAsia="Times New Roman" w:hAnsi="Calibri" w:cs="Times New Roman"/>
          <w:lang w:bidi="he-IL"/>
        </w:rPr>
        <w:t xml:space="preserve"> </w:t>
      </w:r>
      <w:r w:rsidR="007303F4">
        <w:rPr>
          <w:rFonts w:ascii="Calibri" w:eastAsia="Times New Roman" w:hAnsi="Calibri" w:cs="Times New Roman"/>
          <w:lang w:bidi="he-IL"/>
        </w:rPr>
        <w:t>accept</w:t>
      </w:r>
      <w:r w:rsidR="00E92840">
        <w:rPr>
          <w:rFonts w:ascii="Calibri" w:eastAsia="Times New Roman" w:hAnsi="Calibri" w:cs="Times New Roman"/>
          <w:lang w:bidi="he-IL"/>
        </w:rPr>
        <w:t>ing</w:t>
      </w:r>
      <w:r w:rsidR="00D57890">
        <w:rPr>
          <w:rFonts w:ascii="Calibri" w:eastAsia="Times New Roman" w:hAnsi="Calibri" w:cs="Times New Roman"/>
          <w:lang w:val="en-GB" w:bidi="he-IL"/>
        </w:rPr>
        <w:t xml:space="preserve"> you</w:t>
      </w:r>
      <w:r w:rsidR="00D57890">
        <w:rPr>
          <w:rStyle w:val="FootnoteReference"/>
          <w:rFonts w:ascii="Calibri" w:eastAsia="Times New Roman" w:hAnsi="Calibri" w:cs="Times New Roman"/>
          <w:lang w:val="en-GB" w:bidi="he-IL"/>
        </w:rPr>
        <w:footnoteReference w:id="406"/>
      </w:r>
      <w:r w:rsidR="0053623B" w:rsidRPr="0053623B">
        <w:rPr>
          <w:rFonts w:ascii="Calibri" w:eastAsia="Times New Roman" w:hAnsi="Calibri" w:cs="Times New Roman"/>
          <w:lang w:val="en-GB" w:bidi="he-IL"/>
        </w:rPr>
        <w:t xml:space="preserve"> in this thing too, in not overthrowing</w:t>
      </w:r>
      <w:r>
        <w:rPr>
          <w:rFonts w:ascii="Calibri" w:eastAsia="Times New Roman" w:hAnsi="Calibri" w:cs="Times New Roman"/>
          <w:lang w:val="en-GB" w:bidi="he-IL"/>
        </w:rPr>
        <w:t xml:space="preserve"> the town that you spoke of. </w:t>
      </w:r>
      <w:r>
        <w:rPr>
          <w:rFonts w:ascii="Calibri" w:eastAsia="Times New Roman" w:hAnsi="Calibri" w:cs="Times New Roman"/>
          <w:vertAlign w:val="superscript"/>
          <w:lang w:val="en-GB" w:bidi="he-IL"/>
        </w:rPr>
        <w:t>22</w:t>
      </w:r>
      <w:r w:rsidR="0053623B" w:rsidRPr="0053623B">
        <w:rPr>
          <w:rFonts w:ascii="Calibri" w:eastAsia="Times New Roman" w:hAnsi="Calibri" w:cs="Times New Roman"/>
          <w:lang w:val="en-GB" w:bidi="he-IL"/>
        </w:rPr>
        <w:t xml:space="preserve">Hurry up and escape there, because I can’t </w:t>
      </w:r>
      <w:r w:rsidR="005024EE">
        <w:rPr>
          <w:rFonts w:ascii="Calibri" w:eastAsia="Times New Roman" w:hAnsi="Calibri" w:cs="Times New Roman"/>
          <w:lang w:val="en-GB" w:bidi="he-IL"/>
        </w:rPr>
        <w:t>do anything till you come there</w:t>
      </w:r>
      <w:r w:rsidR="0053623B" w:rsidRPr="0053623B">
        <w:rPr>
          <w:rFonts w:ascii="Calibri" w:eastAsia="Times New Roman" w:hAnsi="Calibri" w:cs="Times New Roman"/>
          <w:lang w:val="en-GB" w:bidi="he-IL"/>
        </w:rPr>
        <w:t>.</w:t>
      </w:r>
      <w:r w:rsidR="003D56BA">
        <w:rPr>
          <w:rFonts w:ascii="Calibri" w:eastAsia="Times New Roman" w:hAnsi="Calibri" w:cs="Times New Roman"/>
          <w:lang w:val="en-GB" w:bidi="he-IL"/>
        </w:rPr>
        <w:t>”</w:t>
      </w:r>
      <w:r w:rsidR="0053623B" w:rsidRPr="0053623B">
        <w:rPr>
          <w:rFonts w:ascii="Calibri" w:eastAsia="Times New Roman" w:hAnsi="Calibri" w:cs="Times New Roman"/>
          <w:lang w:val="en-GB" w:bidi="he-IL"/>
        </w:rPr>
        <w:t xml:space="preserve"> </w:t>
      </w:r>
      <w:r w:rsidR="006F7A37">
        <w:rPr>
          <w:rFonts w:ascii="Calibri" w:eastAsia="Times New Roman" w:hAnsi="Calibri" w:cs="Times New Roman"/>
          <w:lang w:val="en-GB" w:bidi="he-IL"/>
        </w:rPr>
        <w:t>(</w:t>
      </w:r>
      <w:r>
        <w:rPr>
          <w:rFonts w:ascii="Calibri" w:eastAsia="Times New Roman" w:hAnsi="Calibri" w:cs="Times New Roman"/>
          <w:lang w:val="en-GB" w:bidi="he-IL"/>
        </w:rPr>
        <w:t xml:space="preserve">That’s why </w:t>
      </w:r>
      <w:r w:rsidR="00D92885">
        <w:rPr>
          <w:rFonts w:ascii="Calibri" w:eastAsia="Times New Roman" w:hAnsi="Calibri" w:cs="Times New Roman"/>
          <w:lang w:val="en-GB" w:bidi="he-IL"/>
        </w:rPr>
        <w:t>people named</w:t>
      </w:r>
      <w:r w:rsidR="00D92885">
        <w:rPr>
          <w:rStyle w:val="FootnoteReference"/>
          <w:rFonts w:ascii="Calibri" w:eastAsia="Times New Roman" w:hAnsi="Calibri" w:cs="Times New Roman"/>
          <w:lang w:val="en-GB" w:bidi="he-IL"/>
        </w:rPr>
        <w:footnoteReference w:id="407"/>
      </w:r>
      <w:r w:rsidR="00D92885">
        <w:rPr>
          <w:rFonts w:ascii="Calibri" w:eastAsia="Times New Roman" w:hAnsi="Calibri" w:cs="Times New Roman"/>
          <w:lang w:val="en-GB" w:bidi="he-IL"/>
        </w:rPr>
        <w:t xml:space="preserve"> the town </w:t>
      </w:r>
      <w:r>
        <w:rPr>
          <w:rFonts w:ascii="Calibri" w:eastAsia="Times New Roman" w:hAnsi="Calibri" w:cs="Times New Roman"/>
          <w:lang w:val="en-GB" w:bidi="he-IL"/>
        </w:rPr>
        <w:t>Ṣo’ar</w:t>
      </w:r>
      <w:r w:rsidR="0053623B" w:rsidRPr="0053623B">
        <w:rPr>
          <w:rFonts w:ascii="Calibri" w:eastAsia="Times New Roman" w:hAnsi="Calibri" w:cs="Times New Roman"/>
          <w:lang w:val="en-GB" w:bidi="he-IL"/>
        </w:rPr>
        <w:t>.</w:t>
      </w:r>
      <w:r w:rsidR="006F7A37">
        <w:rPr>
          <w:rFonts w:ascii="Calibri" w:eastAsia="Times New Roman" w:hAnsi="Calibri" w:cs="Times New Roman"/>
          <w:lang w:val="en-GB" w:bidi="he-IL"/>
        </w:rPr>
        <w:t>)</w:t>
      </w:r>
      <w:r w:rsidR="0053623B" w:rsidRPr="0053623B">
        <w:rPr>
          <w:rFonts w:ascii="Calibri" w:eastAsia="Times New Roman" w:hAnsi="Calibri" w:cs="Times New Roman"/>
          <w:lang w:val="en-GB" w:bidi="he-IL"/>
        </w:rPr>
        <w:t xml:space="preserve"> </w:t>
      </w:r>
    </w:p>
    <w:p w14:paraId="20A8682B" w14:textId="25F75C32" w:rsidR="0053623B" w:rsidRPr="0053623B" w:rsidRDefault="003A6165" w:rsidP="0053623B">
      <w:pPr>
        <w:rPr>
          <w:rFonts w:ascii="Calibri" w:eastAsia="Times New Roman" w:hAnsi="Calibri" w:cs="Times New Roman"/>
          <w:lang w:val="en-GB" w:bidi="he-IL"/>
        </w:rPr>
      </w:pPr>
      <w:r>
        <w:rPr>
          <w:rFonts w:ascii="Calibri" w:eastAsia="Times New Roman" w:hAnsi="Calibri" w:cs="Times New Roman"/>
          <w:vertAlign w:val="superscript"/>
          <w:lang w:val="en-GB" w:bidi="he-IL"/>
        </w:rPr>
        <w:t>23</w:t>
      </w:r>
      <w:r w:rsidR="00EB1E80">
        <w:rPr>
          <w:rFonts w:ascii="Calibri" w:eastAsia="Times New Roman" w:hAnsi="Calibri" w:cs="Times New Roman"/>
          <w:lang w:val="en-GB" w:bidi="he-IL"/>
        </w:rPr>
        <w:t>As the sun came out</w:t>
      </w:r>
      <w:r w:rsidR="0053623B" w:rsidRPr="0053623B">
        <w:rPr>
          <w:rFonts w:ascii="Calibri" w:eastAsia="Times New Roman" w:hAnsi="Calibri" w:cs="Times New Roman"/>
          <w:lang w:val="en-GB" w:bidi="he-IL"/>
        </w:rPr>
        <w:t xml:space="preserve"> on the eart</w:t>
      </w:r>
      <w:r>
        <w:rPr>
          <w:rFonts w:ascii="Calibri" w:eastAsia="Times New Roman" w:hAnsi="Calibri" w:cs="Times New Roman"/>
          <w:lang w:val="en-GB" w:bidi="he-IL"/>
        </w:rPr>
        <w:t xml:space="preserve">h and Lot arrived at Ṣo’ar, </w:t>
      </w:r>
      <w:r>
        <w:rPr>
          <w:rFonts w:ascii="Calibri" w:eastAsia="Times New Roman" w:hAnsi="Calibri" w:cs="Times New Roman"/>
          <w:vertAlign w:val="superscript"/>
          <w:lang w:val="en-GB" w:bidi="he-IL"/>
        </w:rPr>
        <w:t>24</w:t>
      </w:r>
      <w:r w:rsidR="00787DCF">
        <w:rPr>
          <w:rFonts w:ascii="Calibri" w:eastAsia="Times New Roman" w:hAnsi="Calibri" w:cs="Times New Roman"/>
          <w:lang w:val="en-GB" w:bidi="he-IL"/>
        </w:rPr>
        <w:t>Yahweh rained on Sedom and Amor</w:t>
      </w:r>
      <w:r w:rsidR="0053623B" w:rsidRPr="0053623B">
        <w:rPr>
          <w:rFonts w:ascii="Calibri" w:eastAsia="Times New Roman" w:hAnsi="Calibri" w:cs="Times New Roman"/>
          <w:lang w:val="en-GB" w:bidi="he-IL"/>
        </w:rPr>
        <w:t>ah burning</w:t>
      </w:r>
      <w:r w:rsidR="0053623B" w:rsidRPr="005024EE">
        <w:rPr>
          <w:rFonts w:ascii="Calibri" w:eastAsia="Times New Roman" w:hAnsi="Calibri" w:cs="Times New Roman"/>
          <w:lang w:bidi="he-IL"/>
        </w:rPr>
        <w:t xml:space="preserve"> sulfur</w:t>
      </w:r>
      <w:r w:rsidR="0053623B" w:rsidRPr="0053623B">
        <w:rPr>
          <w:rFonts w:ascii="Calibri" w:eastAsia="Times New Roman" w:hAnsi="Calibri" w:cs="Times New Roman"/>
          <w:lang w:val="en-GB" w:bidi="he-IL"/>
        </w:rPr>
        <w:t xml:space="preserve"> fr</w:t>
      </w:r>
      <w:r>
        <w:rPr>
          <w:rFonts w:ascii="Calibri" w:eastAsia="Times New Roman" w:hAnsi="Calibri" w:cs="Times New Roman"/>
          <w:lang w:val="en-GB" w:bidi="he-IL"/>
        </w:rPr>
        <w:t xml:space="preserve">om Yahweh, from the heavens. </w:t>
      </w:r>
      <w:r>
        <w:rPr>
          <w:rFonts w:ascii="Calibri" w:eastAsia="Times New Roman" w:hAnsi="Calibri" w:cs="Times New Roman"/>
          <w:vertAlign w:val="superscript"/>
          <w:lang w:val="en-GB" w:bidi="he-IL"/>
        </w:rPr>
        <w:t>25</w:t>
      </w:r>
      <w:r w:rsidR="0053623B" w:rsidRPr="0053623B">
        <w:rPr>
          <w:rFonts w:ascii="Calibri" w:eastAsia="Times New Roman" w:hAnsi="Calibri" w:cs="Times New Roman"/>
          <w:lang w:val="en-GB" w:bidi="he-IL"/>
        </w:rPr>
        <w:t xml:space="preserve">He overthrew </w:t>
      </w:r>
      <w:r w:rsidR="00E32D39">
        <w:rPr>
          <w:rFonts w:ascii="Calibri" w:eastAsia="Times New Roman" w:hAnsi="Calibri" w:cs="Times New Roman"/>
          <w:lang w:val="en-GB" w:bidi="he-IL"/>
        </w:rPr>
        <w:t>these t</w:t>
      </w:r>
      <w:r w:rsidR="007B5674">
        <w:rPr>
          <w:rFonts w:ascii="Calibri" w:eastAsia="Times New Roman" w:hAnsi="Calibri" w:cs="Times New Roman"/>
          <w:lang w:val="en-GB" w:bidi="he-IL"/>
        </w:rPr>
        <w:t xml:space="preserve">owns and the entire area </w:t>
      </w:r>
      <w:r w:rsidR="00D805BB">
        <w:rPr>
          <w:rFonts w:ascii="Calibri" w:eastAsia="Times New Roman" w:hAnsi="Calibri" w:cs="Times New Roman"/>
          <w:lang w:val="en-GB" w:bidi="he-IL"/>
        </w:rPr>
        <w:t>around</w:t>
      </w:r>
      <w:r w:rsidR="0053623B" w:rsidRPr="0053623B">
        <w:rPr>
          <w:rFonts w:ascii="Calibri" w:eastAsia="Times New Roman" w:hAnsi="Calibri" w:cs="Times New Roman"/>
          <w:lang w:val="en-GB" w:bidi="he-IL"/>
        </w:rPr>
        <w:t xml:space="preserve"> and all the people living in the towns and what grew in the ground. </w:t>
      </w:r>
    </w:p>
    <w:p w14:paraId="77B1096B" w14:textId="77777777" w:rsidR="0053623B" w:rsidRPr="0053623B" w:rsidRDefault="003A6165" w:rsidP="0053623B">
      <w:pPr>
        <w:rPr>
          <w:rFonts w:ascii="Calibri" w:eastAsia="Times New Roman" w:hAnsi="Calibri" w:cs="Times New Roman"/>
          <w:lang w:val="en-GB" w:bidi="he-IL"/>
        </w:rPr>
      </w:pPr>
      <w:r>
        <w:rPr>
          <w:rFonts w:ascii="Calibri" w:eastAsia="Times New Roman" w:hAnsi="Calibri" w:cs="Times New Roman"/>
          <w:vertAlign w:val="superscript"/>
          <w:lang w:val="en-GB" w:bidi="he-IL"/>
        </w:rPr>
        <w:lastRenderedPageBreak/>
        <w:t>26</w:t>
      </w:r>
      <w:r w:rsidR="0053623B" w:rsidRPr="0053623B">
        <w:rPr>
          <w:rFonts w:ascii="Calibri" w:eastAsia="Times New Roman" w:hAnsi="Calibri" w:cs="Times New Roman"/>
          <w:lang w:val="en-GB" w:bidi="he-IL"/>
        </w:rPr>
        <w:t xml:space="preserve">But his wife gazed behind him and became a salt pilaster. </w:t>
      </w:r>
    </w:p>
    <w:p w14:paraId="5DC338DE" w14:textId="4902885C" w:rsidR="00FC5F88" w:rsidRDefault="003A6165" w:rsidP="0053623B">
      <w:pPr>
        <w:rPr>
          <w:rFonts w:ascii="Calibri" w:eastAsia="Times New Roman" w:hAnsi="Calibri" w:cs="Times New Roman"/>
          <w:lang w:val="en-GB" w:bidi="he-IL"/>
        </w:rPr>
      </w:pPr>
      <w:r>
        <w:rPr>
          <w:rFonts w:ascii="Calibri" w:eastAsia="Times New Roman" w:hAnsi="Calibri" w:cs="Times New Roman"/>
          <w:vertAlign w:val="superscript"/>
          <w:lang w:val="en-GB" w:bidi="he-IL"/>
        </w:rPr>
        <w:t>27</w:t>
      </w:r>
      <w:r w:rsidR="0053623B" w:rsidRPr="0053623B">
        <w:rPr>
          <w:rFonts w:ascii="Calibri" w:eastAsia="Times New Roman" w:hAnsi="Calibri" w:cs="Times New Roman"/>
          <w:lang w:val="en-GB" w:bidi="he-IL"/>
        </w:rPr>
        <w:t>Abraham started early in the morning for the place wher</w:t>
      </w:r>
      <w:r>
        <w:rPr>
          <w:rFonts w:ascii="Calibri" w:eastAsia="Times New Roman" w:hAnsi="Calibri" w:cs="Times New Roman"/>
          <w:lang w:val="en-GB" w:bidi="he-IL"/>
        </w:rPr>
        <w:t xml:space="preserve">e he had stood before Yahweh </w:t>
      </w:r>
      <w:r>
        <w:rPr>
          <w:rFonts w:ascii="Calibri" w:eastAsia="Times New Roman" w:hAnsi="Calibri" w:cs="Times New Roman"/>
          <w:vertAlign w:val="superscript"/>
          <w:lang w:val="en-GB" w:bidi="he-IL"/>
        </w:rPr>
        <w:t>28</w:t>
      </w:r>
      <w:r w:rsidR="0053623B" w:rsidRPr="0053623B">
        <w:rPr>
          <w:rFonts w:ascii="Calibri" w:eastAsia="Times New Roman" w:hAnsi="Calibri" w:cs="Times New Roman"/>
          <w:lang w:val="en-GB" w:bidi="he-IL"/>
        </w:rPr>
        <w:t>and looked o</w:t>
      </w:r>
      <w:r w:rsidR="00E32D39">
        <w:rPr>
          <w:rFonts w:ascii="Calibri" w:eastAsia="Times New Roman" w:hAnsi="Calibri" w:cs="Times New Roman"/>
          <w:lang w:val="en-GB" w:bidi="he-IL"/>
        </w:rPr>
        <w:t>ut over the face of Sedom and A</w:t>
      </w:r>
      <w:r w:rsidR="00787DCF">
        <w:rPr>
          <w:rFonts w:ascii="Calibri" w:eastAsia="Times New Roman" w:hAnsi="Calibri" w:cs="Times New Roman"/>
          <w:lang w:val="en-GB" w:bidi="he-IL"/>
        </w:rPr>
        <w:t>mor</w:t>
      </w:r>
      <w:r w:rsidR="0053623B" w:rsidRPr="0053623B">
        <w:rPr>
          <w:rFonts w:ascii="Calibri" w:eastAsia="Times New Roman" w:hAnsi="Calibri" w:cs="Times New Roman"/>
          <w:lang w:val="en-GB" w:bidi="he-IL"/>
        </w:rPr>
        <w:t xml:space="preserve">ah and over the </w:t>
      </w:r>
      <w:r w:rsidR="00DB3086">
        <w:rPr>
          <w:rFonts w:ascii="Calibri" w:eastAsia="Times New Roman" w:hAnsi="Calibri" w:cs="Times New Roman"/>
          <w:lang w:val="en-GB" w:bidi="he-IL"/>
        </w:rPr>
        <w:t xml:space="preserve">entire </w:t>
      </w:r>
      <w:r w:rsidR="0053623B" w:rsidRPr="0053623B">
        <w:rPr>
          <w:rFonts w:ascii="Calibri" w:eastAsia="Times New Roman" w:hAnsi="Calibri" w:cs="Times New Roman"/>
          <w:lang w:val="en-GB" w:bidi="he-IL"/>
        </w:rPr>
        <w:t>fac</w:t>
      </w:r>
      <w:r w:rsidR="00DB3086">
        <w:rPr>
          <w:rFonts w:ascii="Calibri" w:eastAsia="Times New Roman" w:hAnsi="Calibri" w:cs="Times New Roman"/>
          <w:lang w:val="en-GB" w:bidi="he-IL"/>
        </w:rPr>
        <w:t xml:space="preserve">e of the </w:t>
      </w:r>
      <w:r w:rsidR="006C2DA7">
        <w:rPr>
          <w:rFonts w:ascii="Calibri" w:eastAsia="Times New Roman" w:hAnsi="Calibri" w:cs="Times New Roman"/>
          <w:lang w:val="en-GB" w:bidi="he-IL"/>
        </w:rPr>
        <w:t>land</w:t>
      </w:r>
      <w:r w:rsidR="00DB3086">
        <w:rPr>
          <w:rFonts w:ascii="Calibri" w:eastAsia="Times New Roman" w:hAnsi="Calibri" w:cs="Times New Roman"/>
          <w:lang w:val="en-GB" w:bidi="he-IL"/>
        </w:rPr>
        <w:t xml:space="preserve"> in the area</w:t>
      </w:r>
      <w:r w:rsidR="0053623B" w:rsidRPr="0053623B">
        <w:rPr>
          <w:rFonts w:ascii="Calibri" w:eastAsia="Times New Roman" w:hAnsi="Calibri" w:cs="Times New Roman"/>
          <w:lang w:val="en-GB" w:bidi="he-IL"/>
        </w:rPr>
        <w:t xml:space="preserve">. He saw, </w:t>
      </w:r>
      <w:r w:rsidR="005A75DF">
        <w:rPr>
          <w:rFonts w:ascii="Calibri" w:eastAsia="Times New Roman" w:hAnsi="Calibri" w:cs="Times New Roman"/>
          <w:lang w:val="en-GB" w:bidi="he-IL"/>
        </w:rPr>
        <w:t>and there,</w:t>
      </w:r>
      <w:r w:rsidR="005A75DF" w:rsidRPr="00B512E8">
        <w:rPr>
          <w:rFonts w:ascii="Calibri" w:eastAsia="Times New Roman" w:hAnsi="Calibri" w:cs="Times New Roman"/>
          <w:lang w:bidi="he-IL"/>
        </w:rPr>
        <w:t xml:space="preserve"> vapor</w:t>
      </w:r>
      <w:r w:rsidR="00D805BB">
        <w:rPr>
          <w:rFonts w:ascii="Calibri" w:eastAsia="Times New Roman" w:hAnsi="Calibri" w:cs="Times New Roman"/>
          <w:lang w:val="en-GB" w:bidi="he-IL"/>
        </w:rPr>
        <w:t xml:space="preserve"> from the land</w:t>
      </w:r>
      <w:r w:rsidR="0053623B" w:rsidRPr="0053623B">
        <w:rPr>
          <w:rFonts w:ascii="Calibri" w:eastAsia="Times New Roman" w:hAnsi="Calibri" w:cs="Times New Roman"/>
          <w:lang w:val="en-GB" w:bidi="he-IL"/>
        </w:rPr>
        <w:t xml:space="preserve"> went up li</w:t>
      </w:r>
      <w:r w:rsidR="005A75DF">
        <w:rPr>
          <w:rFonts w:ascii="Calibri" w:eastAsia="Times New Roman" w:hAnsi="Calibri" w:cs="Times New Roman"/>
          <w:lang w:val="en-GB" w:bidi="he-IL"/>
        </w:rPr>
        <w:t>ke the</w:t>
      </w:r>
      <w:r w:rsidR="005A75DF" w:rsidRPr="00B512E8">
        <w:rPr>
          <w:rFonts w:ascii="Calibri" w:eastAsia="Times New Roman" w:hAnsi="Calibri" w:cs="Times New Roman"/>
          <w:lang w:bidi="he-IL"/>
        </w:rPr>
        <w:t xml:space="preserve"> vapor</w:t>
      </w:r>
      <w:r w:rsidR="00B512E8">
        <w:rPr>
          <w:rFonts w:ascii="Calibri" w:eastAsia="Times New Roman" w:hAnsi="Calibri" w:cs="Times New Roman"/>
          <w:lang w:val="en-GB" w:bidi="he-IL"/>
        </w:rPr>
        <w:t xml:space="preserve"> from a kiln</w:t>
      </w:r>
      <w:r>
        <w:rPr>
          <w:rFonts w:ascii="Calibri" w:eastAsia="Times New Roman" w:hAnsi="Calibri" w:cs="Times New Roman"/>
          <w:lang w:val="en-GB" w:bidi="he-IL"/>
        </w:rPr>
        <w:t xml:space="preserve">. </w:t>
      </w:r>
    </w:p>
    <w:p w14:paraId="2569852D" w14:textId="0AD621F8" w:rsidR="0053623B" w:rsidRPr="0053623B" w:rsidRDefault="003A6165" w:rsidP="0053623B">
      <w:pPr>
        <w:rPr>
          <w:rFonts w:ascii="Calibri" w:eastAsia="Times New Roman" w:hAnsi="Calibri" w:cs="Times New Roman"/>
          <w:lang w:val="en-GB" w:bidi="he-IL"/>
        </w:rPr>
      </w:pPr>
      <w:r>
        <w:rPr>
          <w:rFonts w:ascii="Calibri" w:eastAsia="Times New Roman" w:hAnsi="Calibri" w:cs="Times New Roman"/>
          <w:vertAlign w:val="superscript"/>
          <w:lang w:val="en-GB" w:bidi="he-IL"/>
        </w:rPr>
        <w:t>29</w:t>
      </w:r>
      <w:r w:rsidR="0053623B" w:rsidRPr="0053623B">
        <w:rPr>
          <w:rFonts w:ascii="Calibri" w:eastAsia="Times New Roman" w:hAnsi="Calibri" w:cs="Times New Roman"/>
          <w:lang w:val="en-GB" w:bidi="he-IL"/>
        </w:rPr>
        <w:t>So it was that when God d</w:t>
      </w:r>
      <w:r w:rsidR="00E32D39">
        <w:rPr>
          <w:rFonts w:ascii="Calibri" w:eastAsia="Times New Roman" w:hAnsi="Calibri" w:cs="Times New Roman"/>
          <w:lang w:val="en-GB" w:bidi="he-IL"/>
        </w:rPr>
        <w:t>evastated</w:t>
      </w:r>
      <w:r w:rsidR="00D805BB">
        <w:rPr>
          <w:rFonts w:ascii="Calibri" w:eastAsia="Times New Roman" w:hAnsi="Calibri" w:cs="Times New Roman"/>
          <w:lang w:val="en-GB" w:bidi="he-IL"/>
        </w:rPr>
        <w:t xml:space="preserve"> the t</w:t>
      </w:r>
      <w:r w:rsidR="00DB3086">
        <w:rPr>
          <w:rFonts w:ascii="Calibri" w:eastAsia="Times New Roman" w:hAnsi="Calibri" w:cs="Times New Roman"/>
          <w:lang w:val="en-GB" w:bidi="he-IL"/>
        </w:rPr>
        <w:t>owns of the area</w:t>
      </w:r>
      <w:r w:rsidR="00F50930">
        <w:rPr>
          <w:rFonts w:ascii="Calibri" w:eastAsia="Times New Roman" w:hAnsi="Calibri" w:cs="Times New Roman"/>
          <w:lang w:val="en-GB" w:bidi="he-IL"/>
        </w:rPr>
        <w:t>,</w:t>
      </w:r>
      <w:r w:rsidR="0053623B" w:rsidRPr="0053623B">
        <w:rPr>
          <w:rFonts w:ascii="Calibri" w:eastAsia="Times New Roman" w:hAnsi="Calibri" w:cs="Times New Roman"/>
          <w:lang w:val="en-GB" w:bidi="he-IL"/>
        </w:rPr>
        <w:t xml:space="preserve"> God was mindful of Abraham and sent Lot out from the middle of the overthrow, when he overthrew the towns in which Lot lived. </w:t>
      </w:r>
    </w:p>
    <w:p w14:paraId="5C26D1BC" w14:textId="364CC31C" w:rsidR="0053623B" w:rsidRPr="0053623B" w:rsidRDefault="003A6165" w:rsidP="0053623B">
      <w:pPr>
        <w:rPr>
          <w:rFonts w:ascii="Calibri" w:eastAsia="Times New Roman" w:hAnsi="Calibri" w:cs="Times New Roman"/>
          <w:lang w:val="en-GB" w:bidi="he-IL"/>
        </w:rPr>
      </w:pPr>
      <w:r>
        <w:rPr>
          <w:rFonts w:ascii="Calibri" w:eastAsia="Times New Roman" w:hAnsi="Calibri" w:cs="Times New Roman"/>
          <w:vertAlign w:val="superscript"/>
          <w:lang w:val="en-GB" w:bidi="he-IL"/>
        </w:rPr>
        <w:t>30</w:t>
      </w:r>
      <w:r>
        <w:rPr>
          <w:rFonts w:ascii="Calibri" w:eastAsia="Times New Roman" w:hAnsi="Calibri" w:cs="Times New Roman"/>
          <w:lang w:val="en-GB" w:bidi="he-IL"/>
        </w:rPr>
        <w:t>Lot went up from Ṣ</w:t>
      </w:r>
      <w:r w:rsidR="0053623B" w:rsidRPr="0053623B">
        <w:rPr>
          <w:rFonts w:ascii="Calibri" w:eastAsia="Times New Roman" w:hAnsi="Calibri" w:cs="Times New Roman"/>
          <w:lang w:val="en-GB" w:bidi="he-IL"/>
        </w:rPr>
        <w:t>o’ar and lived in the highland, his two daughters with him, because he was afr</w:t>
      </w:r>
      <w:r>
        <w:rPr>
          <w:rFonts w:ascii="Calibri" w:eastAsia="Times New Roman" w:hAnsi="Calibri" w:cs="Times New Roman"/>
          <w:lang w:val="en-GB" w:bidi="he-IL"/>
        </w:rPr>
        <w:t>aid to live in Ṣ</w:t>
      </w:r>
      <w:r w:rsidR="0053623B" w:rsidRPr="0053623B">
        <w:rPr>
          <w:rFonts w:ascii="Calibri" w:eastAsia="Times New Roman" w:hAnsi="Calibri" w:cs="Times New Roman"/>
          <w:lang w:val="en-GB" w:bidi="he-IL"/>
        </w:rPr>
        <w:t xml:space="preserve">o’ar. He lived in a </w:t>
      </w:r>
      <w:r w:rsidR="0009278C">
        <w:rPr>
          <w:rFonts w:ascii="Calibri" w:eastAsia="Times New Roman" w:hAnsi="Calibri" w:cs="Times New Roman"/>
          <w:lang w:val="en-GB" w:bidi="he-IL"/>
        </w:rPr>
        <w:t xml:space="preserve">certain </w:t>
      </w:r>
      <w:r w:rsidR="0053623B" w:rsidRPr="0053623B">
        <w:rPr>
          <w:rFonts w:ascii="Calibri" w:eastAsia="Times New Roman" w:hAnsi="Calibri" w:cs="Times New Roman"/>
          <w:lang w:val="en-GB" w:bidi="he-IL"/>
        </w:rPr>
        <w:t>cav</w:t>
      </w:r>
      <w:r>
        <w:rPr>
          <w:rFonts w:ascii="Calibri" w:eastAsia="Times New Roman" w:hAnsi="Calibri" w:cs="Times New Roman"/>
          <w:lang w:val="en-GB" w:bidi="he-IL"/>
        </w:rPr>
        <w:t>e,</w:t>
      </w:r>
      <w:r w:rsidR="0009278C">
        <w:rPr>
          <w:rStyle w:val="FootnoteReference"/>
          <w:rFonts w:ascii="Calibri" w:eastAsia="Times New Roman" w:hAnsi="Calibri" w:cs="Times New Roman"/>
          <w:lang w:val="en-GB" w:bidi="he-IL"/>
        </w:rPr>
        <w:footnoteReference w:id="408"/>
      </w:r>
      <w:r w:rsidR="0082017C">
        <w:rPr>
          <w:rFonts w:ascii="Calibri" w:eastAsia="Times New Roman" w:hAnsi="Calibri" w:cs="Times New Roman"/>
          <w:lang w:val="en-GB" w:bidi="he-IL"/>
        </w:rPr>
        <w:t xml:space="preserve"> he and </w:t>
      </w:r>
      <w:r>
        <w:rPr>
          <w:rFonts w:ascii="Calibri" w:eastAsia="Times New Roman" w:hAnsi="Calibri" w:cs="Times New Roman"/>
          <w:lang w:val="en-GB" w:bidi="he-IL"/>
        </w:rPr>
        <w:t xml:space="preserve">his two daughters. </w:t>
      </w:r>
      <w:r>
        <w:rPr>
          <w:rFonts w:ascii="Calibri" w:eastAsia="Times New Roman" w:hAnsi="Calibri" w:cs="Times New Roman"/>
          <w:vertAlign w:val="superscript"/>
          <w:lang w:val="en-GB" w:bidi="he-IL"/>
        </w:rPr>
        <w:t>31</w:t>
      </w:r>
      <w:r w:rsidR="00B158B0">
        <w:rPr>
          <w:rFonts w:ascii="Calibri" w:eastAsia="Times New Roman" w:hAnsi="Calibri" w:cs="Times New Roman"/>
          <w:lang w:val="en-GB" w:bidi="he-IL"/>
        </w:rPr>
        <w:t xml:space="preserve">The firstborn said to the younger </w:t>
      </w:r>
      <w:r w:rsidR="0053623B" w:rsidRPr="0053623B">
        <w:rPr>
          <w:rFonts w:ascii="Calibri" w:eastAsia="Times New Roman" w:hAnsi="Calibri" w:cs="Times New Roman"/>
          <w:lang w:val="en-GB" w:bidi="he-IL"/>
        </w:rPr>
        <w:t>one, ‘Our father is</w:t>
      </w:r>
      <w:r w:rsidR="00633202">
        <w:rPr>
          <w:rFonts w:ascii="Calibri" w:eastAsia="Times New Roman" w:hAnsi="Calibri" w:cs="Times New Roman"/>
          <w:lang w:val="en-GB" w:bidi="he-IL"/>
        </w:rPr>
        <w:t xml:space="preserve"> old and there’s no one in the world</w:t>
      </w:r>
      <w:r w:rsidR="005B700D">
        <w:rPr>
          <w:rStyle w:val="FootnoteReference"/>
          <w:rFonts w:ascii="Calibri" w:eastAsia="Times New Roman" w:hAnsi="Calibri" w:cs="Times New Roman"/>
          <w:lang w:val="en-GB" w:bidi="he-IL"/>
        </w:rPr>
        <w:footnoteReference w:id="409"/>
      </w:r>
      <w:r w:rsidR="008D05A8">
        <w:rPr>
          <w:rFonts w:ascii="Calibri" w:eastAsia="Times New Roman" w:hAnsi="Calibri" w:cs="Times New Roman"/>
          <w:lang w:val="en-GB" w:bidi="he-IL"/>
        </w:rPr>
        <w:t xml:space="preserve"> to be</w:t>
      </w:r>
      <w:r w:rsidR="0053623B" w:rsidRPr="0053623B">
        <w:rPr>
          <w:rFonts w:ascii="Calibri" w:eastAsia="Times New Roman" w:hAnsi="Calibri" w:cs="Times New Roman"/>
          <w:lang w:val="en-GB" w:bidi="he-IL"/>
        </w:rPr>
        <w:t xml:space="preserve"> with us</w:t>
      </w:r>
      <w:r w:rsidR="008D05A8">
        <w:rPr>
          <w:rStyle w:val="FootnoteReference"/>
          <w:rFonts w:ascii="Calibri" w:eastAsia="Times New Roman" w:hAnsi="Calibri" w:cs="Times New Roman"/>
          <w:lang w:val="en-GB" w:bidi="he-IL"/>
        </w:rPr>
        <w:footnoteReference w:id="410"/>
      </w:r>
      <w:r w:rsidR="0053623B" w:rsidRPr="0053623B">
        <w:rPr>
          <w:rFonts w:ascii="Calibri" w:eastAsia="Times New Roman" w:hAnsi="Calibri" w:cs="Times New Roman"/>
          <w:lang w:val="en-GB" w:bidi="he-IL"/>
        </w:rPr>
        <w:t xml:space="preserve"> in </w:t>
      </w:r>
      <w:r>
        <w:rPr>
          <w:rFonts w:ascii="Calibri" w:eastAsia="Times New Roman" w:hAnsi="Calibri" w:cs="Times New Roman"/>
          <w:lang w:val="en-GB" w:bidi="he-IL"/>
        </w:rPr>
        <w:t xml:space="preserve">the way of the entire world. </w:t>
      </w:r>
      <w:r>
        <w:rPr>
          <w:rFonts w:ascii="Calibri" w:eastAsia="Times New Roman" w:hAnsi="Calibri" w:cs="Times New Roman"/>
          <w:vertAlign w:val="superscript"/>
          <w:lang w:val="en-GB" w:bidi="he-IL"/>
        </w:rPr>
        <w:t>32</w:t>
      </w:r>
      <w:r w:rsidR="0053623B" w:rsidRPr="0053623B">
        <w:rPr>
          <w:rFonts w:ascii="Calibri" w:eastAsia="Times New Roman" w:hAnsi="Calibri" w:cs="Times New Roman"/>
          <w:lang w:val="en-GB" w:bidi="he-IL"/>
        </w:rPr>
        <w:t>Come on, let’s get our father to drink wine so we can sleep with him and get off</w:t>
      </w:r>
      <w:r w:rsidR="005B700D">
        <w:rPr>
          <w:rFonts w:ascii="Calibri" w:eastAsia="Times New Roman" w:hAnsi="Calibri" w:cs="Times New Roman"/>
          <w:lang w:val="en-GB" w:bidi="he-IL"/>
        </w:rPr>
        <w:t>spring alive through our father</w:t>
      </w:r>
      <w:r w:rsidR="0053623B" w:rsidRPr="0053623B">
        <w:rPr>
          <w:rFonts w:ascii="Calibri" w:eastAsia="Times New Roman" w:hAnsi="Calibri" w:cs="Times New Roman"/>
          <w:lang w:val="en-GB" w:bidi="he-IL"/>
        </w:rPr>
        <w:t>.</w:t>
      </w:r>
      <w:r w:rsidR="003D56BA">
        <w:rPr>
          <w:rFonts w:ascii="Calibri" w:eastAsia="Times New Roman" w:hAnsi="Calibri" w:cs="Times New Roman"/>
          <w:lang w:val="en-GB" w:bidi="he-IL"/>
        </w:rPr>
        <w:t>”</w:t>
      </w:r>
      <w:r w:rsidR="0053623B" w:rsidRPr="0053623B">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33</w:t>
      </w:r>
      <w:r w:rsidR="0053623B" w:rsidRPr="0053623B">
        <w:rPr>
          <w:rFonts w:ascii="Calibri" w:eastAsia="Times New Roman" w:hAnsi="Calibri" w:cs="Times New Roman"/>
          <w:lang w:val="en-GB" w:bidi="he-IL"/>
        </w:rPr>
        <w:t xml:space="preserve">So they got their father to drink wine that night, and the firstborn went in and slept with her father. He didn’t know when she </w:t>
      </w:r>
      <w:r>
        <w:rPr>
          <w:rFonts w:ascii="Calibri" w:eastAsia="Times New Roman" w:hAnsi="Calibri" w:cs="Times New Roman"/>
          <w:lang w:val="en-GB" w:bidi="he-IL"/>
        </w:rPr>
        <w:t xml:space="preserve">lay down or when she got up. </w:t>
      </w:r>
      <w:r>
        <w:rPr>
          <w:rFonts w:ascii="Calibri" w:eastAsia="Times New Roman" w:hAnsi="Calibri" w:cs="Times New Roman"/>
          <w:vertAlign w:val="superscript"/>
          <w:lang w:val="en-GB" w:bidi="he-IL"/>
        </w:rPr>
        <w:t>34</w:t>
      </w:r>
      <w:r w:rsidR="0053623B" w:rsidRPr="0053623B">
        <w:rPr>
          <w:rFonts w:ascii="Calibri" w:eastAsia="Times New Roman" w:hAnsi="Calibri" w:cs="Times New Roman"/>
          <w:lang w:val="en-GB" w:bidi="he-IL"/>
        </w:rPr>
        <w:t>Next day the fi</w:t>
      </w:r>
      <w:r w:rsidR="005024EE">
        <w:rPr>
          <w:rFonts w:ascii="Calibri" w:eastAsia="Times New Roman" w:hAnsi="Calibri" w:cs="Times New Roman"/>
          <w:lang w:val="en-GB" w:bidi="he-IL"/>
        </w:rPr>
        <w:t>rstborn said to the young</w:t>
      </w:r>
      <w:r w:rsidR="00B158B0">
        <w:rPr>
          <w:rFonts w:ascii="Calibri" w:eastAsia="Times New Roman" w:hAnsi="Calibri" w:cs="Times New Roman"/>
          <w:lang w:val="en-GB" w:bidi="he-IL"/>
        </w:rPr>
        <w:t>er</w:t>
      </w:r>
      <w:r w:rsidR="005024EE">
        <w:rPr>
          <w:rFonts w:ascii="Calibri" w:eastAsia="Times New Roman" w:hAnsi="Calibri" w:cs="Times New Roman"/>
          <w:lang w:val="en-GB" w:bidi="he-IL"/>
        </w:rPr>
        <w:t xml:space="preserve"> one, </w:t>
      </w:r>
      <w:r w:rsidR="003D56BA">
        <w:rPr>
          <w:rFonts w:ascii="Calibri" w:eastAsia="Times New Roman" w:hAnsi="Calibri" w:cs="Times New Roman"/>
          <w:lang w:val="en-GB" w:bidi="he-IL"/>
        </w:rPr>
        <w:t>“</w:t>
      </w:r>
      <w:r w:rsidR="0053623B" w:rsidRPr="0053623B">
        <w:rPr>
          <w:rFonts w:ascii="Calibri" w:eastAsia="Times New Roman" w:hAnsi="Calibri" w:cs="Times New Roman"/>
          <w:lang w:val="en-GB" w:bidi="he-IL"/>
        </w:rPr>
        <w:t>There, I slept with my father last night. Let’s get him to drink wine tonight as well, and you come and sleep with him, so we can get offsprin</w:t>
      </w:r>
      <w:r w:rsidR="005024EE">
        <w:rPr>
          <w:rFonts w:ascii="Calibri" w:eastAsia="Times New Roman" w:hAnsi="Calibri" w:cs="Times New Roman"/>
          <w:lang w:val="en-GB" w:bidi="he-IL"/>
        </w:rPr>
        <w:t>g alive through our father.</w:t>
      </w:r>
      <w:r w:rsidR="003D56BA">
        <w:rPr>
          <w:rFonts w:ascii="Calibri" w:eastAsia="Times New Roman" w:hAnsi="Calibri" w:cs="Times New Roman"/>
          <w:lang w:val="en-GB" w:bidi="he-IL"/>
        </w:rPr>
        <w:t>”</w:t>
      </w:r>
      <w:r>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35</w:t>
      </w:r>
      <w:r w:rsidR="0053623B" w:rsidRPr="0053623B">
        <w:rPr>
          <w:rFonts w:ascii="Calibri" w:eastAsia="Times New Roman" w:hAnsi="Calibri" w:cs="Times New Roman"/>
          <w:lang w:val="en-GB" w:bidi="he-IL"/>
        </w:rPr>
        <w:t>So they got their father to drink wine that night as well, and the young</w:t>
      </w:r>
      <w:r w:rsidR="00B158B0">
        <w:rPr>
          <w:rFonts w:ascii="Calibri" w:eastAsia="Times New Roman" w:hAnsi="Calibri" w:cs="Times New Roman"/>
          <w:lang w:val="en-GB" w:bidi="he-IL"/>
        </w:rPr>
        <w:t>er</w:t>
      </w:r>
      <w:r w:rsidR="0053623B" w:rsidRPr="0053623B">
        <w:rPr>
          <w:rFonts w:ascii="Calibri" w:eastAsia="Times New Roman" w:hAnsi="Calibri" w:cs="Times New Roman"/>
          <w:lang w:val="en-GB" w:bidi="he-IL"/>
        </w:rPr>
        <w:t xml:space="preserve"> one got up and slept with him. He didn’t know when she lay down or when she got up. </w:t>
      </w:r>
    </w:p>
    <w:p w14:paraId="5848F096" w14:textId="77777777" w:rsidR="0053623B" w:rsidRPr="0053623B" w:rsidRDefault="003A6165" w:rsidP="0053623B">
      <w:pPr>
        <w:rPr>
          <w:rFonts w:ascii="Calibri" w:eastAsia="Times New Roman" w:hAnsi="Calibri" w:cs="Times New Roman"/>
          <w:lang w:val="en-GB" w:bidi="he-IL"/>
        </w:rPr>
      </w:pPr>
      <w:r>
        <w:rPr>
          <w:rFonts w:ascii="Calibri" w:eastAsia="Times New Roman" w:hAnsi="Calibri" w:cs="Times New Roman"/>
          <w:vertAlign w:val="superscript"/>
          <w:lang w:val="en-GB" w:bidi="he-IL"/>
        </w:rPr>
        <w:t>36</w:t>
      </w:r>
      <w:r w:rsidR="0053623B" w:rsidRPr="0053623B">
        <w:rPr>
          <w:rFonts w:ascii="Calibri" w:eastAsia="Times New Roman" w:hAnsi="Calibri" w:cs="Times New Roman"/>
          <w:lang w:val="en-GB" w:bidi="he-IL"/>
        </w:rPr>
        <w:t>So Lot’s two daughters got pr</w:t>
      </w:r>
      <w:r>
        <w:rPr>
          <w:rFonts w:ascii="Calibri" w:eastAsia="Times New Roman" w:hAnsi="Calibri" w:cs="Times New Roman"/>
          <w:lang w:val="en-GB" w:bidi="he-IL"/>
        </w:rPr>
        <w:t xml:space="preserve">egnant through their father. </w:t>
      </w:r>
      <w:r>
        <w:rPr>
          <w:rFonts w:ascii="Calibri" w:eastAsia="Times New Roman" w:hAnsi="Calibri" w:cs="Times New Roman"/>
          <w:vertAlign w:val="superscript"/>
          <w:lang w:val="en-GB" w:bidi="he-IL"/>
        </w:rPr>
        <w:t>37</w:t>
      </w:r>
      <w:r w:rsidR="0053623B" w:rsidRPr="0053623B">
        <w:rPr>
          <w:rFonts w:ascii="Calibri" w:eastAsia="Times New Roman" w:hAnsi="Calibri" w:cs="Times New Roman"/>
          <w:lang w:val="en-GB" w:bidi="he-IL"/>
        </w:rPr>
        <w:t>The firstborn gave birth to a son and named him Mo’ab. He’s the ancestor of Mo’ab until toda</w:t>
      </w:r>
      <w:r>
        <w:rPr>
          <w:rFonts w:ascii="Calibri" w:eastAsia="Times New Roman" w:hAnsi="Calibri" w:cs="Times New Roman"/>
          <w:lang w:val="en-GB" w:bidi="he-IL"/>
        </w:rPr>
        <w:t xml:space="preserve">y. </w:t>
      </w:r>
      <w:r>
        <w:rPr>
          <w:rFonts w:ascii="Calibri" w:eastAsia="Times New Roman" w:hAnsi="Calibri" w:cs="Times New Roman"/>
          <w:vertAlign w:val="superscript"/>
          <w:lang w:val="en-GB" w:bidi="he-IL"/>
        </w:rPr>
        <w:t>38</w:t>
      </w:r>
      <w:r w:rsidR="0053623B" w:rsidRPr="0053623B">
        <w:rPr>
          <w:rFonts w:ascii="Calibri" w:eastAsia="Times New Roman" w:hAnsi="Calibri" w:cs="Times New Roman"/>
          <w:lang w:val="en-GB" w:bidi="he-IL"/>
        </w:rPr>
        <w:t xml:space="preserve">The younger one also gave birth to a son, and named him Ben-ammi. He’s the ancestor of the Ammonites until today. </w:t>
      </w:r>
    </w:p>
    <w:p w14:paraId="01429BCA" w14:textId="77777777" w:rsidR="0053623B" w:rsidRDefault="00141055" w:rsidP="0053623B">
      <w:pPr>
        <w:pStyle w:val="Heading2"/>
        <w:rPr>
          <w:lang w:bidi="he-IL"/>
        </w:rPr>
      </w:pPr>
      <w:r>
        <w:rPr>
          <w:lang w:bidi="he-IL"/>
        </w:rPr>
        <w:t>Interpretation</w:t>
      </w:r>
      <w:r w:rsidR="0053623B">
        <w:rPr>
          <w:lang w:bidi="he-IL"/>
        </w:rPr>
        <w:t xml:space="preserve"> </w:t>
      </w:r>
    </w:p>
    <w:p w14:paraId="735F3A12" w14:textId="273B16CE" w:rsidR="0053623B" w:rsidRDefault="00CC1DB1" w:rsidP="00672F96">
      <w:pPr>
        <w:rPr>
          <w:lang w:bidi="he-IL"/>
        </w:rPr>
      </w:pPr>
      <w:r>
        <w:rPr>
          <w:lang w:bidi="he-IL"/>
        </w:rPr>
        <w:t>Gen 18:1—1</w:t>
      </w:r>
      <w:r w:rsidR="00D335BE">
        <w:rPr>
          <w:lang w:bidi="he-IL"/>
        </w:rPr>
        <w:t>9:38 is a long and complex unit</w:t>
      </w:r>
      <w:r w:rsidR="007F4A50">
        <w:rPr>
          <w:lang w:bidi="he-IL"/>
        </w:rPr>
        <w:t xml:space="preserve"> relating a sequence of events taking</w:t>
      </w:r>
      <w:r w:rsidR="007F4A50" w:rsidRPr="007F4A50">
        <w:rPr>
          <w:lang w:bidi="he-IL"/>
        </w:rPr>
        <w:t xml:space="preserve"> place over almost twenty-four hours.</w:t>
      </w:r>
      <w:r w:rsidR="007F4A50" w:rsidRPr="007F4A50">
        <w:rPr>
          <w:vertAlign w:val="superscript"/>
          <w:lang w:bidi="he-IL"/>
        </w:rPr>
        <w:footnoteReference w:id="411"/>
      </w:r>
      <w:r w:rsidR="00727890">
        <w:rPr>
          <w:lang w:bidi="he-IL"/>
        </w:rPr>
        <w:t xml:space="preserve"> </w:t>
      </w:r>
      <w:r w:rsidR="007F4A50">
        <w:rPr>
          <w:lang w:bidi="he-IL"/>
        </w:rPr>
        <w:t>I</w:t>
      </w:r>
      <w:r w:rsidR="00D335BE">
        <w:rPr>
          <w:lang w:bidi="he-IL"/>
        </w:rPr>
        <w:t>n MT it</w:t>
      </w:r>
      <w:r w:rsidR="007F4A50">
        <w:rPr>
          <w:lang w:bidi="he-IL"/>
        </w:rPr>
        <w:t xml:space="preserve"> forms </w:t>
      </w:r>
      <w:r w:rsidR="008602D6">
        <w:rPr>
          <w:lang w:bidi="he-IL"/>
        </w:rPr>
        <w:t>one paragraph within the unit</w:t>
      </w:r>
      <w:r w:rsidR="007F4A50">
        <w:rPr>
          <w:lang w:bidi="he-IL"/>
        </w:rPr>
        <w:t xml:space="preserve"> running from 18:1—21:21; o</w:t>
      </w:r>
      <w:r w:rsidR="00672F96">
        <w:rPr>
          <w:lang w:bidi="he-IL"/>
        </w:rPr>
        <w:t xml:space="preserve">ne may guess that the medieval division into two chapters is </w:t>
      </w:r>
      <w:r w:rsidR="007F4A50">
        <w:rPr>
          <w:lang w:bidi="he-IL"/>
        </w:rPr>
        <w:t xml:space="preserve">made </w:t>
      </w:r>
      <w:r w:rsidR="00672F96">
        <w:rPr>
          <w:lang w:bidi="he-IL"/>
        </w:rPr>
        <w:t>for convenie</w:t>
      </w:r>
      <w:r w:rsidR="007F4A50">
        <w:rPr>
          <w:lang w:bidi="he-IL"/>
        </w:rPr>
        <w:t xml:space="preserve">nce. </w:t>
      </w:r>
      <w:r w:rsidR="00D335BE">
        <w:rPr>
          <w:lang w:bidi="he-IL"/>
        </w:rPr>
        <w:t>It</w:t>
      </w:r>
      <w:r w:rsidR="0031013A">
        <w:rPr>
          <w:lang w:bidi="he-IL"/>
        </w:rPr>
        <w:t xml:space="preserve"> outlines as follows:</w:t>
      </w:r>
    </w:p>
    <w:p w14:paraId="2743AC65" w14:textId="77777777" w:rsidR="00CC1DB1" w:rsidRDefault="00CC1DB1" w:rsidP="0053623B">
      <w:pPr>
        <w:pStyle w:val="ListParagraph"/>
        <w:ind w:left="720" w:firstLine="0"/>
        <w:rPr>
          <w:lang w:bidi="he-IL"/>
        </w:rPr>
      </w:pPr>
    </w:p>
    <w:p w14:paraId="6A395443" w14:textId="77777777" w:rsidR="0031013A" w:rsidRDefault="0031013A" w:rsidP="0053623B">
      <w:pPr>
        <w:pStyle w:val="ListParagraph"/>
        <w:ind w:left="720" w:firstLine="0"/>
        <w:rPr>
          <w:lang w:bidi="he-IL"/>
        </w:rPr>
      </w:pPr>
      <w:r>
        <w:rPr>
          <w:lang w:bidi="he-IL"/>
        </w:rPr>
        <w:t>18:1</w:t>
      </w:r>
      <w:r w:rsidR="00541241">
        <w:rPr>
          <w:lang w:bidi="he-IL"/>
        </w:rPr>
        <w:t>a</w:t>
      </w:r>
      <w:r>
        <w:rPr>
          <w:lang w:bidi="he-IL"/>
        </w:rPr>
        <w:tab/>
      </w:r>
      <w:r>
        <w:rPr>
          <w:lang w:bidi="he-IL"/>
        </w:rPr>
        <w:tab/>
        <w:t>Introduction</w:t>
      </w:r>
    </w:p>
    <w:p w14:paraId="346289AC" w14:textId="3A368B33" w:rsidR="00CC1DB1" w:rsidRDefault="00541241" w:rsidP="0082017C">
      <w:pPr>
        <w:pStyle w:val="ListParagraph"/>
        <w:ind w:left="3600" w:hanging="1440"/>
        <w:rPr>
          <w:lang w:bidi="he-IL"/>
        </w:rPr>
      </w:pPr>
      <w:r>
        <w:rPr>
          <w:lang w:bidi="he-IL"/>
        </w:rPr>
        <w:t>18:1b</w:t>
      </w:r>
      <w:r w:rsidR="00CC1DB1">
        <w:rPr>
          <w:lang w:bidi="he-IL"/>
        </w:rPr>
        <w:t xml:space="preserve">-15 </w:t>
      </w:r>
      <w:r w:rsidR="00792D30">
        <w:rPr>
          <w:lang w:bidi="he-IL"/>
        </w:rPr>
        <w:tab/>
      </w:r>
      <w:r>
        <w:rPr>
          <w:lang w:bidi="he-IL"/>
        </w:rPr>
        <w:t>Lunchtime: t</w:t>
      </w:r>
      <w:r w:rsidR="00CC1DB1">
        <w:rPr>
          <w:lang w:bidi="he-IL"/>
        </w:rPr>
        <w:t>hree human-like figures</w:t>
      </w:r>
      <w:r w:rsidR="003F5CA3">
        <w:rPr>
          <w:lang w:bidi="he-IL"/>
        </w:rPr>
        <w:t xml:space="preserve"> appear at Abraham’s encampment, he shows them hospitality, </w:t>
      </w:r>
      <w:r w:rsidR="00A71300">
        <w:rPr>
          <w:lang w:bidi="he-IL"/>
        </w:rPr>
        <w:t xml:space="preserve">and </w:t>
      </w:r>
      <w:r w:rsidR="003F5CA3">
        <w:rPr>
          <w:lang w:bidi="he-IL"/>
        </w:rPr>
        <w:t xml:space="preserve">they </w:t>
      </w:r>
      <w:r w:rsidR="00A71300">
        <w:rPr>
          <w:lang w:bidi="he-IL"/>
        </w:rPr>
        <w:t>promise that Sarah will have a son.</w:t>
      </w:r>
    </w:p>
    <w:p w14:paraId="43486493" w14:textId="77777777" w:rsidR="00A71300" w:rsidRDefault="003F5CA3" w:rsidP="0053623B">
      <w:pPr>
        <w:pStyle w:val="ListParagraph"/>
        <w:ind w:left="720" w:firstLine="0"/>
        <w:rPr>
          <w:lang w:bidi="he-IL"/>
        </w:rPr>
      </w:pPr>
      <w:r>
        <w:rPr>
          <w:lang w:bidi="he-IL"/>
        </w:rPr>
        <w:tab/>
      </w:r>
      <w:r>
        <w:rPr>
          <w:lang w:bidi="he-IL"/>
        </w:rPr>
        <w:tab/>
      </w:r>
      <w:r w:rsidR="00A71300">
        <w:rPr>
          <w:lang w:bidi="he-IL"/>
        </w:rPr>
        <w:t>18:16</w:t>
      </w:r>
      <w:r w:rsidR="00A71300">
        <w:rPr>
          <w:lang w:bidi="he-IL"/>
        </w:rPr>
        <w:tab/>
      </w:r>
      <w:r w:rsidR="00792D30">
        <w:rPr>
          <w:lang w:bidi="he-IL"/>
        </w:rPr>
        <w:tab/>
      </w:r>
      <w:proofErr w:type="gramStart"/>
      <w:r w:rsidR="00A71300">
        <w:rPr>
          <w:lang w:bidi="he-IL"/>
        </w:rPr>
        <w:t>The</w:t>
      </w:r>
      <w:proofErr w:type="gramEnd"/>
      <w:r w:rsidR="00A71300">
        <w:rPr>
          <w:lang w:bidi="he-IL"/>
        </w:rPr>
        <w:t xml:space="preserve"> </w:t>
      </w:r>
      <w:r w:rsidR="003D56BA">
        <w:rPr>
          <w:lang w:bidi="he-IL"/>
        </w:rPr>
        <w:t>“</w:t>
      </w:r>
      <w:r w:rsidR="00A71300">
        <w:rPr>
          <w:lang w:bidi="he-IL"/>
        </w:rPr>
        <w:t>men</w:t>
      </w:r>
      <w:r w:rsidR="003D56BA">
        <w:rPr>
          <w:lang w:bidi="he-IL"/>
        </w:rPr>
        <w:t>”</w:t>
      </w:r>
      <w:r w:rsidR="00A71300">
        <w:rPr>
          <w:lang w:bidi="he-IL"/>
        </w:rPr>
        <w:t xml:space="preserve"> start to set off for Sodom</w:t>
      </w:r>
    </w:p>
    <w:p w14:paraId="4B47341E" w14:textId="13529043" w:rsidR="00A71300" w:rsidRDefault="00792D30" w:rsidP="0053623B">
      <w:pPr>
        <w:pStyle w:val="ListParagraph"/>
        <w:ind w:left="720" w:firstLine="0"/>
        <w:rPr>
          <w:lang w:bidi="he-IL"/>
        </w:rPr>
      </w:pPr>
      <w:r>
        <w:rPr>
          <w:lang w:bidi="he-IL"/>
        </w:rPr>
        <w:tab/>
      </w:r>
      <w:r w:rsidR="00541241">
        <w:rPr>
          <w:lang w:bidi="he-IL"/>
        </w:rPr>
        <w:tab/>
      </w:r>
      <w:r w:rsidR="003F5CA3">
        <w:rPr>
          <w:lang w:bidi="he-IL"/>
        </w:rPr>
        <w:tab/>
      </w:r>
      <w:r w:rsidR="003F5CA3">
        <w:rPr>
          <w:lang w:bidi="he-IL"/>
        </w:rPr>
        <w:tab/>
      </w:r>
      <w:r w:rsidR="00A71300">
        <w:rPr>
          <w:lang w:bidi="he-IL"/>
        </w:rPr>
        <w:t xml:space="preserve">18:17-21 </w:t>
      </w:r>
      <w:r>
        <w:rPr>
          <w:lang w:bidi="he-IL"/>
        </w:rPr>
        <w:tab/>
      </w:r>
      <w:r w:rsidR="00A71300">
        <w:rPr>
          <w:lang w:bidi="he-IL"/>
        </w:rPr>
        <w:t xml:space="preserve">Yahweh reflects on the action they are about to </w:t>
      </w:r>
      <w:r w:rsidR="007E65A9">
        <w:rPr>
          <w:lang w:bidi="he-IL"/>
        </w:rPr>
        <w:tab/>
      </w:r>
      <w:r w:rsidR="00ED7C27">
        <w:rPr>
          <w:lang w:bidi="he-IL"/>
        </w:rPr>
        <w:tab/>
      </w:r>
      <w:r w:rsidR="00ED7C27">
        <w:rPr>
          <w:lang w:bidi="he-IL"/>
        </w:rPr>
        <w:tab/>
      </w:r>
      <w:r w:rsidR="00ED7C27">
        <w:rPr>
          <w:lang w:bidi="he-IL"/>
        </w:rPr>
        <w:tab/>
      </w:r>
      <w:r w:rsidR="00ED7C27">
        <w:rPr>
          <w:lang w:bidi="he-IL"/>
        </w:rPr>
        <w:tab/>
      </w:r>
      <w:r w:rsidR="00ED7C27">
        <w:rPr>
          <w:lang w:bidi="he-IL"/>
        </w:rPr>
        <w:tab/>
      </w:r>
      <w:r w:rsidR="00ED7C27">
        <w:rPr>
          <w:lang w:bidi="he-IL"/>
        </w:rPr>
        <w:tab/>
      </w:r>
      <w:r w:rsidR="00A71300">
        <w:rPr>
          <w:lang w:bidi="he-IL"/>
        </w:rPr>
        <w:t>undertake and tells</w:t>
      </w:r>
      <w:r w:rsidR="00541241">
        <w:rPr>
          <w:lang w:bidi="he-IL"/>
        </w:rPr>
        <w:t xml:space="preserve"> </w:t>
      </w:r>
      <w:r w:rsidR="00A71300">
        <w:rPr>
          <w:lang w:bidi="he-IL"/>
        </w:rPr>
        <w:t>Abraham about it</w:t>
      </w:r>
    </w:p>
    <w:p w14:paraId="05A73F24" w14:textId="77777777" w:rsidR="00A71300" w:rsidRDefault="003F5CA3" w:rsidP="0053623B">
      <w:pPr>
        <w:pStyle w:val="ListParagraph"/>
        <w:ind w:left="720" w:firstLine="0"/>
        <w:rPr>
          <w:lang w:bidi="he-IL"/>
        </w:rPr>
      </w:pPr>
      <w:r>
        <w:rPr>
          <w:lang w:bidi="he-IL"/>
        </w:rPr>
        <w:tab/>
      </w:r>
      <w:r>
        <w:rPr>
          <w:lang w:bidi="he-IL"/>
        </w:rPr>
        <w:tab/>
      </w:r>
      <w:r w:rsidR="00A71300">
        <w:rPr>
          <w:lang w:bidi="he-IL"/>
        </w:rPr>
        <w:t>18:22</w:t>
      </w:r>
      <w:r w:rsidR="00A71300">
        <w:rPr>
          <w:lang w:bidi="he-IL"/>
        </w:rPr>
        <w:tab/>
      </w:r>
      <w:r w:rsidR="00792D30">
        <w:rPr>
          <w:lang w:bidi="he-IL"/>
        </w:rPr>
        <w:tab/>
      </w:r>
      <w:proofErr w:type="gramStart"/>
      <w:r w:rsidR="00A71300">
        <w:rPr>
          <w:lang w:bidi="he-IL"/>
        </w:rPr>
        <w:t>The</w:t>
      </w:r>
      <w:proofErr w:type="gramEnd"/>
      <w:r w:rsidR="00A71300">
        <w:rPr>
          <w:lang w:bidi="he-IL"/>
        </w:rPr>
        <w:t xml:space="preserve"> </w:t>
      </w:r>
      <w:r w:rsidR="003D56BA">
        <w:rPr>
          <w:lang w:bidi="he-IL"/>
        </w:rPr>
        <w:t>“</w:t>
      </w:r>
      <w:r w:rsidR="00A71300">
        <w:rPr>
          <w:lang w:bidi="he-IL"/>
        </w:rPr>
        <w:t>men</w:t>
      </w:r>
      <w:r w:rsidR="003D56BA">
        <w:rPr>
          <w:lang w:bidi="he-IL"/>
        </w:rPr>
        <w:t>”</w:t>
      </w:r>
      <w:r w:rsidR="00A71300">
        <w:rPr>
          <w:lang w:bidi="he-IL"/>
        </w:rPr>
        <w:t xml:space="preserve"> (or two of them) go to Sodom</w:t>
      </w:r>
    </w:p>
    <w:p w14:paraId="7C2DEC31" w14:textId="7067B416" w:rsidR="00A71300" w:rsidRDefault="00792D30" w:rsidP="0053623B">
      <w:pPr>
        <w:pStyle w:val="ListParagraph"/>
        <w:ind w:left="720" w:firstLine="0"/>
        <w:rPr>
          <w:lang w:bidi="he-IL"/>
        </w:rPr>
      </w:pPr>
      <w:r>
        <w:rPr>
          <w:lang w:bidi="he-IL"/>
        </w:rPr>
        <w:tab/>
      </w:r>
      <w:r w:rsidR="00541241">
        <w:rPr>
          <w:lang w:bidi="he-IL"/>
        </w:rPr>
        <w:tab/>
      </w:r>
      <w:r w:rsidR="003F5CA3">
        <w:rPr>
          <w:lang w:bidi="he-IL"/>
        </w:rPr>
        <w:tab/>
      </w:r>
      <w:r w:rsidR="003F5CA3">
        <w:rPr>
          <w:lang w:bidi="he-IL"/>
        </w:rPr>
        <w:tab/>
      </w:r>
      <w:r w:rsidR="00ED7C27">
        <w:rPr>
          <w:lang w:bidi="he-IL"/>
        </w:rPr>
        <w:t>18:2</w:t>
      </w:r>
      <w:r w:rsidR="00A71300">
        <w:rPr>
          <w:lang w:bidi="he-IL"/>
        </w:rPr>
        <w:t>3-</w:t>
      </w:r>
      <w:r>
        <w:rPr>
          <w:lang w:bidi="he-IL"/>
        </w:rPr>
        <w:t>38</w:t>
      </w:r>
      <w:r>
        <w:rPr>
          <w:lang w:bidi="he-IL"/>
        </w:rPr>
        <w:tab/>
        <w:t>Abraham challenges Yahweh about the action</w:t>
      </w:r>
    </w:p>
    <w:p w14:paraId="08CB02C6" w14:textId="77777777" w:rsidR="00792D30" w:rsidRDefault="00792D30" w:rsidP="0053623B">
      <w:pPr>
        <w:pStyle w:val="ListParagraph"/>
        <w:ind w:left="720" w:firstLine="0"/>
        <w:rPr>
          <w:lang w:bidi="he-IL"/>
        </w:rPr>
      </w:pPr>
      <w:r>
        <w:rPr>
          <w:lang w:bidi="he-IL"/>
        </w:rPr>
        <w:tab/>
      </w:r>
      <w:r w:rsidR="00541241">
        <w:rPr>
          <w:lang w:bidi="he-IL"/>
        </w:rPr>
        <w:tab/>
      </w:r>
      <w:r w:rsidR="003F5CA3">
        <w:rPr>
          <w:lang w:bidi="he-IL"/>
        </w:rPr>
        <w:tab/>
      </w:r>
      <w:r w:rsidR="003F5CA3">
        <w:rPr>
          <w:lang w:bidi="he-IL"/>
        </w:rPr>
        <w:tab/>
      </w:r>
      <w:r w:rsidR="00D335BE">
        <w:rPr>
          <w:lang w:bidi="he-IL"/>
        </w:rPr>
        <w:t>18:39</w:t>
      </w:r>
      <w:r w:rsidR="00D335BE">
        <w:rPr>
          <w:lang w:bidi="he-IL"/>
        </w:rPr>
        <w:tab/>
      </w:r>
      <w:r w:rsidR="00D335BE">
        <w:rPr>
          <w:lang w:bidi="he-IL"/>
        </w:rPr>
        <w:tab/>
        <w:t>Yahweh withdraws from</w:t>
      </w:r>
      <w:r>
        <w:rPr>
          <w:lang w:bidi="he-IL"/>
        </w:rPr>
        <w:t xml:space="preserve"> Abraham</w:t>
      </w:r>
    </w:p>
    <w:p w14:paraId="6F3619DA" w14:textId="54812FA0" w:rsidR="00541241" w:rsidRDefault="00541241" w:rsidP="00ED7C27">
      <w:pPr>
        <w:pStyle w:val="ListParagraph"/>
        <w:ind w:left="3600" w:hanging="1440"/>
        <w:rPr>
          <w:lang w:bidi="he-IL"/>
        </w:rPr>
      </w:pPr>
      <w:r>
        <w:rPr>
          <w:lang w:bidi="he-IL"/>
        </w:rPr>
        <w:t>19:1-14</w:t>
      </w:r>
      <w:r w:rsidR="00792D30">
        <w:rPr>
          <w:lang w:bidi="he-IL"/>
        </w:rPr>
        <w:tab/>
      </w:r>
      <w:r>
        <w:rPr>
          <w:lang w:bidi="he-IL"/>
        </w:rPr>
        <w:t>Evening: t</w:t>
      </w:r>
      <w:r w:rsidR="00792D30">
        <w:rPr>
          <w:lang w:bidi="he-IL"/>
        </w:rPr>
        <w:t xml:space="preserve">he </w:t>
      </w:r>
      <w:r w:rsidR="00D335BE">
        <w:rPr>
          <w:lang w:bidi="he-IL"/>
        </w:rPr>
        <w:t>two</w:t>
      </w:r>
      <w:r w:rsidR="007F4A50">
        <w:rPr>
          <w:lang w:bidi="he-IL"/>
        </w:rPr>
        <w:t xml:space="preserve"> men</w:t>
      </w:r>
      <w:r w:rsidR="00D335BE">
        <w:rPr>
          <w:lang w:bidi="he-IL"/>
        </w:rPr>
        <w:t xml:space="preserve">, now </w:t>
      </w:r>
      <w:r w:rsidR="007F4A50">
        <w:rPr>
          <w:lang w:bidi="he-IL"/>
        </w:rPr>
        <w:t xml:space="preserve">termed </w:t>
      </w:r>
      <w:r w:rsidR="003D56BA">
        <w:rPr>
          <w:lang w:bidi="he-IL"/>
        </w:rPr>
        <w:t>“</w:t>
      </w:r>
      <w:r>
        <w:rPr>
          <w:lang w:bidi="he-IL"/>
        </w:rPr>
        <w:t>envoys</w:t>
      </w:r>
      <w:r w:rsidR="00D335BE">
        <w:rPr>
          <w:lang w:bidi="he-IL"/>
        </w:rPr>
        <w:t>,</w:t>
      </w:r>
      <w:r w:rsidR="003D56BA">
        <w:rPr>
          <w:lang w:bidi="he-IL"/>
        </w:rPr>
        <w:t>”</w:t>
      </w:r>
      <w:r>
        <w:rPr>
          <w:lang w:bidi="he-IL"/>
        </w:rPr>
        <w:t xml:space="preserve"> meet Lot in Sodom and urge</w:t>
      </w:r>
      <w:r w:rsidR="00792D30">
        <w:rPr>
          <w:lang w:bidi="he-IL"/>
        </w:rPr>
        <w:t xml:space="preserve"> him to leave before a </w:t>
      </w:r>
      <w:r>
        <w:rPr>
          <w:lang w:bidi="he-IL"/>
        </w:rPr>
        <w:t>catastrophe arrives</w:t>
      </w:r>
    </w:p>
    <w:p w14:paraId="098ABBAE" w14:textId="77777777" w:rsidR="00541241" w:rsidRDefault="003F5CA3" w:rsidP="0053623B">
      <w:pPr>
        <w:pStyle w:val="ListParagraph"/>
        <w:ind w:left="720" w:firstLine="0"/>
        <w:rPr>
          <w:lang w:bidi="he-IL"/>
        </w:rPr>
      </w:pPr>
      <w:r>
        <w:rPr>
          <w:lang w:bidi="he-IL"/>
        </w:rPr>
        <w:tab/>
      </w:r>
      <w:r>
        <w:rPr>
          <w:lang w:bidi="he-IL"/>
        </w:rPr>
        <w:tab/>
      </w:r>
      <w:r w:rsidR="00D335BE">
        <w:rPr>
          <w:lang w:bidi="he-IL"/>
        </w:rPr>
        <w:t>19:15-22</w:t>
      </w:r>
      <w:r w:rsidR="00D335BE">
        <w:rPr>
          <w:lang w:bidi="he-IL"/>
        </w:rPr>
        <w:tab/>
        <w:t>Dawn: they</w:t>
      </w:r>
      <w:r w:rsidR="00541241">
        <w:rPr>
          <w:lang w:bidi="he-IL"/>
        </w:rPr>
        <w:t xml:space="preserve"> hurry Lot out of Sodom</w:t>
      </w:r>
    </w:p>
    <w:p w14:paraId="2A4EC2E0" w14:textId="77777777" w:rsidR="00792D30" w:rsidRDefault="003F5CA3" w:rsidP="0053623B">
      <w:pPr>
        <w:pStyle w:val="ListParagraph"/>
        <w:ind w:left="720" w:firstLine="0"/>
        <w:rPr>
          <w:lang w:bidi="he-IL"/>
        </w:rPr>
      </w:pPr>
      <w:r>
        <w:rPr>
          <w:lang w:bidi="he-IL"/>
        </w:rPr>
        <w:tab/>
      </w:r>
      <w:r>
        <w:rPr>
          <w:lang w:bidi="he-IL"/>
        </w:rPr>
        <w:tab/>
      </w:r>
      <w:r w:rsidR="00541241">
        <w:rPr>
          <w:lang w:bidi="he-IL"/>
        </w:rPr>
        <w:t>19:23-26</w:t>
      </w:r>
      <w:r w:rsidR="00541241">
        <w:rPr>
          <w:lang w:bidi="he-IL"/>
        </w:rPr>
        <w:tab/>
        <w:t>Sunrise: Lot reaches Zo’ar and the catastrophe</w:t>
      </w:r>
      <w:r w:rsidR="00792D30">
        <w:rPr>
          <w:lang w:bidi="he-IL"/>
        </w:rPr>
        <w:t xml:space="preserve"> duly arrives</w:t>
      </w:r>
    </w:p>
    <w:p w14:paraId="2A96DBDA" w14:textId="77777777" w:rsidR="00792D30" w:rsidRDefault="003F5CA3" w:rsidP="0053623B">
      <w:pPr>
        <w:pStyle w:val="ListParagraph"/>
        <w:ind w:left="720" w:firstLine="0"/>
        <w:rPr>
          <w:lang w:bidi="he-IL"/>
        </w:rPr>
      </w:pPr>
      <w:r>
        <w:rPr>
          <w:lang w:bidi="he-IL"/>
        </w:rPr>
        <w:tab/>
      </w:r>
      <w:r>
        <w:rPr>
          <w:lang w:bidi="he-IL"/>
        </w:rPr>
        <w:tab/>
      </w:r>
      <w:r w:rsidR="00792D30">
        <w:rPr>
          <w:lang w:bidi="he-IL"/>
        </w:rPr>
        <w:t>19:27-28</w:t>
      </w:r>
      <w:r w:rsidR="00792D30">
        <w:rPr>
          <w:lang w:bidi="he-IL"/>
        </w:rPr>
        <w:tab/>
      </w:r>
      <w:proofErr w:type="gramStart"/>
      <w:r w:rsidR="007F4A50">
        <w:rPr>
          <w:lang w:bidi="he-IL"/>
        </w:rPr>
        <w:t>T</w:t>
      </w:r>
      <w:r w:rsidR="00541241">
        <w:rPr>
          <w:lang w:bidi="he-IL"/>
        </w:rPr>
        <w:t>hat</w:t>
      </w:r>
      <w:proofErr w:type="gramEnd"/>
      <w:r w:rsidR="00541241">
        <w:rPr>
          <w:lang w:bidi="he-IL"/>
        </w:rPr>
        <w:t xml:space="preserve"> </w:t>
      </w:r>
      <w:r w:rsidR="00D335BE">
        <w:rPr>
          <w:lang w:bidi="he-IL"/>
        </w:rPr>
        <w:t xml:space="preserve">same </w:t>
      </w:r>
      <w:r w:rsidR="00541241">
        <w:rPr>
          <w:lang w:bidi="he-IL"/>
        </w:rPr>
        <w:t xml:space="preserve">morning: </w:t>
      </w:r>
      <w:r w:rsidR="00792D30">
        <w:rPr>
          <w:lang w:bidi="he-IL"/>
        </w:rPr>
        <w:t xml:space="preserve">Abraham looks </w:t>
      </w:r>
      <w:r w:rsidR="00D335BE">
        <w:rPr>
          <w:lang w:bidi="he-IL"/>
        </w:rPr>
        <w:t xml:space="preserve">out </w:t>
      </w:r>
      <w:r w:rsidR="00792D30">
        <w:rPr>
          <w:lang w:bidi="he-IL"/>
        </w:rPr>
        <w:t>at what has happened</w:t>
      </w:r>
    </w:p>
    <w:p w14:paraId="787CF0D1" w14:textId="77777777" w:rsidR="00792D30" w:rsidRDefault="00541241" w:rsidP="0053623B">
      <w:pPr>
        <w:pStyle w:val="ListParagraph"/>
        <w:ind w:left="720" w:firstLine="0"/>
        <w:rPr>
          <w:lang w:bidi="he-IL"/>
        </w:rPr>
      </w:pPr>
      <w:r>
        <w:rPr>
          <w:lang w:bidi="he-IL"/>
        </w:rPr>
        <w:t>19:29</w:t>
      </w:r>
      <w:r>
        <w:rPr>
          <w:lang w:bidi="he-IL"/>
        </w:rPr>
        <w:tab/>
      </w:r>
      <w:r>
        <w:rPr>
          <w:lang w:bidi="he-IL"/>
        </w:rPr>
        <w:tab/>
      </w:r>
      <w:proofErr w:type="gramStart"/>
      <w:r>
        <w:rPr>
          <w:lang w:bidi="he-IL"/>
        </w:rPr>
        <w:t>C</w:t>
      </w:r>
      <w:r w:rsidR="00792D30">
        <w:rPr>
          <w:lang w:bidi="he-IL"/>
        </w:rPr>
        <w:t>losing</w:t>
      </w:r>
      <w:proofErr w:type="gramEnd"/>
      <w:r w:rsidR="00792D30">
        <w:rPr>
          <w:lang w:bidi="he-IL"/>
        </w:rPr>
        <w:t xml:space="preserve"> summary</w:t>
      </w:r>
    </w:p>
    <w:p w14:paraId="6C2F6BB9" w14:textId="77777777" w:rsidR="00792D30" w:rsidRDefault="00541241" w:rsidP="0053623B">
      <w:pPr>
        <w:pStyle w:val="ListParagraph"/>
        <w:ind w:left="720" w:firstLine="0"/>
        <w:rPr>
          <w:lang w:bidi="he-IL"/>
        </w:rPr>
      </w:pPr>
      <w:r>
        <w:rPr>
          <w:lang w:bidi="he-IL"/>
        </w:rPr>
        <w:lastRenderedPageBreak/>
        <w:t>19:30-38</w:t>
      </w:r>
      <w:r>
        <w:rPr>
          <w:lang w:bidi="he-IL"/>
        </w:rPr>
        <w:tab/>
        <w:t>C</w:t>
      </w:r>
      <w:r w:rsidR="00792D30">
        <w:rPr>
          <w:lang w:bidi="he-IL"/>
        </w:rPr>
        <w:t>oda about Lot</w:t>
      </w:r>
      <w:r>
        <w:rPr>
          <w:lang w:bidi="he-IL"/>
        </w:rPr>
        <w:t xml:space="preserve"> and hi</w:t>
      </w:r>
      <w:r w:rsidR="00792D30">
        <w:rPr>
          <w:lang w:bidi="he-IL"/>
        </w:rPr>
        <w:t>s daughters</w:t>
      </w:r>
    </w:p>
    <w:p w14:paraId="72448453" w14:textId="77777777" w:rsidR="003F5CA3" w:rsidRDefault="003F5CA3" w:rsidP="0053623B">
      <w:pPr>
        <w:pStyle w:val="ListParagraph"/>
        <w:ind w:left="720" w:firstLine="0"/>
        <w:rPr>
          <w:lang w:bidi="he-IL"/>
        </w:rPr>
      </w:pPr>
    </w:p>
    <w:p w14:paraId="4995688D" w14:textId="77777777" w:rsidR="003F5CA3" w:rsidRDefault="007F4A50" w:rsidP="003F5CA3">
      <w:pPr>
        <w:rPr>
          <w:lang w:bidi="he-IL"/>
        </w:rPr>
      </w:pPr>
      <w:r>
        <w:rPr>
          <w:lang w:bidi="he-IL"/>
        </w:rPr>
        <w:t>While the unit thus tells a complete story taking place over a day, it is not entirely self-contained</w:t>
      </w:r>
      <w:r w:rsidR="00D335BE">
        <w:rPr>
          <w:lang w:bidi="he-IL"/>
        </w:rPr>
        <w:t>:</w:t>
      </w:r>
    </w:p>
    <w:p w14:paraId="03D8C191" w14:textId="77777777" w:rsidR="003F5CA3" w:rsidRDefault="003F5CA3" w:rsidP="003F5CA3">
      <w:pPr>
        <w:rPr>
          <w:lang w:bidi="he-IL"/>
        </w:rPr>
      </w:pPr>
    </w:p>
    <w:p w14:paraId="2D869113" w14:textId="77777777" w:rsidR="003F5CA3" w:rsidRDefault="003F5CA3" w:rsidP="003F5CA3">
      <w:pPr>
        <w:pStyle w:val="ListParagraph"/>
        <w:numPr>
          <w:ilvl w:val="0"/>
          <w:numId w:val="40"/>
        </w:numPr>
        <w:rPr>
          <w:lang w:bidi="he-IL"/>
        </w:rPr>
      </w:pPr>
      <w:r>
        <w:rPr>
          <w:lang w:bidi="he-IL"/>
        </w:rPr>
        <w:t>It fills out the trailer in 13:10-13.</w:t>
      </w:r>
    </w:p>
    <w:p w14:paraId="1E783EA0" w14:textId="1AABF881" w:rsidR="007E10B5" w:rsidRDefault="003F5CA3" w:rsidP="003F5CA3">
      <w:pPr>
        <w:pStyle w:val="ListParagraph"/>
        <w:numPr>
          <w:ilvl w:val="0"/>
          <w:numId w:val="40"/>
        </w:numPr>
        <w:rPr>
          <w:lang w:bidi="he-IL"/>
        </w:rPr>
      </w:pPr>
      <w:r>
        <w:rPr>
          <w:lang w:bidi="he-IL"/>
        </w:rPr>
        <w:t xml:space="preserve">Its opening refers to Abraham simply as </w:t>
      </w:r>
      <w:r w:rsidR="003D56BA">
        <w:rPr>
          <w:lang w:bidi="he-IL"/>
        </w:rPr>
        <w:t>“</w:t>
      </w:r>
      <w:r>
        <w:rPr>
          <w:lang w:bidi="he-IL"/>
        </w:rPr>
        <w:t>him</w:t>
      </w:r>
      <w:r w:rsidR="003D56BA">
        <w:rPr>
          <w:lang w:bidi="he-IL"/>
        </w:rPr>
        <w:t>”</w:t>
      </w:r>
      <w:r>
        <w:rPr>
          <w:lang w:bidi="he-IL"/>
        </w:rPr>
        <w:t xml:space="preserve"> (18:1)</w:t>
      </w:r>
      <w:r w:rsidR="005A6498">
        <w:rPr>
          <w:lang w:bidi="he-IL"/>
        </w:rPr>
        <w:t xml:space="preserve"> and</w:t>
      </w:r>
      <w:r w:rsidR="00ED7C27">
        <w:rPr>
          <w:lang w:bidi="he-IL"/>
        </w:rPr>
        <w:t xml:space="preserve"> 18:1-15 suggests seeing it as</w:t>
      </w:r>
      <w:r w:rsidR="00052D0D">
        <w:rPr>
          <w:lang w:bidi="he-IL"/>
        </w:rPr>
        <w:t xml:space="preserve"> ano</w:t>
      </w:r>
      <w:r w:rsidR="00D335BE">
        <w:rPr>
          <w:lang w:bidi="he-IL"/>
        </w:rPr>
        <w:t xml:space="preserve">ther version of the </w:t>
      </w:r>
      <w:r w:rsidR="00ED7C27">
        <w:rPr>
          <w:lang w:bidi="he-IL"/>
        </w:rPr>
        <w:t xml:space="preserve">giving of a </w:t>
      </w:r>
      <w:r w:rsidR="00D335BE">
        <w:rPr>
          <w:lang w:bidi="he-IL"/>
        </w:rPr>
        <w:t>promise about Sarah having</w:t>
      </w:r>
      <w:r w:rsidR="00052D0D">
        <w:rPr>
          <w:lang w:bidi="he-IL"/>
        </w:rPr>
        <w:t xml:space="preserve"> a baby which was one of the themes in Gen 17</w:t>
      </w:r>
      <w:r w:rsidR="005A6498">
        <w:rPr>
          <w:lang w:bidi="he-IL"/>
        </w:rPr>
        <w:t xml:space="preserve"> (</w:t>
      </w:r>
      <w:r w:rsidR="007E10B5">
        <w:rPr>
          <w:lang w:bidi="he-IL"/>
        </w:rPr>
        <w:t>here is no suggestion in Gen 18 that God has already giv</w:t>
      </w:r>
      <w:r w:rsidR="00D335BE">
        <w:rPr>
          <w:lang w:bidi="he-IL"/>
        </w:rPr>
        <w:t>en the promise and that this is a repetition</w:t>
      </w:r>
      <w:r w:rsidR="005A6498">
        <w:rPr>
          <w:lang w:bidi="he-IL"/>
        </w:rPr>
        <w:t>)</w:t>
      </w:r>
      <w:r w:rsidR="007E10B5">
        <w:rPr>
          <w:lang w:bidi="he-IL"/>
        </w:rPr>
        <w:t>.</w:t>
      </w:r>
    </w:p>
    <w:p w14:paraId="060746DC" w14:textId="77777777" w:rsidR="003F5CA3" w:rsidRDefault="005A6498" w:rsidP="003F5CA3">
      <w:pPr>
        <w:pStyle w:val="ListParagraph"/>
        <w:numPr>
          <w:ilvl w:val="0"/>
          <w:numId w:val="40"/>
        </w:numPr>
        <w:rPr>
          <w:lang w:bidi="he-IL"/>
        </w:rPr>
      </w:pPr>
      <w:r>
        <w:rPr>
          <w:lang w:bidi="he-IL"/>
        </w:rPr>
        <w:t>Whereas</w:t>
      </w:r>
      <w:r w:rsidR="00D335BE">
        <w:rPr>
          <w:lang w:bidi="he-IL"/>
        </w:rPr>
        <w:t xml:space="preserve"> t</w:t>
      </w:r>
      <w:r w:rsidR="00B45E23">
        <w:rPr>
          <w:lang w:bidi="he-IL"/>
        </w:rPr>
        <w:t>he announcement to Hagar</w:t>
      </w:r>
      <w:r w:rsidR="007E10B5">
        <w:rPr>
          <w:lang w:bidi="he-IL"/>
        </w:rPr>
        <w:t xml:space="preserve"> </w:t>
      </w:r>
      <w:r w:rsidR="00B45E23">
        <w:rPr>
          <w:lang w:bidi="he-IL"/>
        </w:rPr>
        <w:t xml:space="preserve">about her son </w:t>
      </w:r>
      <w:r>
        <w:rPr>
          <w:lang w:bidi="he-IL"/>
        </w:rPr>
        <w:t xml:space="preserve">(Gen 16) </w:t>
      </w:r>
      <w:r w:rsidR="00B45E23">
        <w:rPr>
          <w:lang w:bidi="he-IL"/>
        </w:rPr>
        <w:t>leads into the acc</w:t>
      </w:r>
      <w:r>
        <w:rPr>
          <w:lang w:bidi="he-IL"/>
        </w:rPr>
        <w:t>ount of his being born, the</w:t>
      </w:r>
      <w:r w:rsidR="00B45E23">
        <w:rPr>
          <w:lang w:bidi="he-IL"/>
        </w:rPr>
        <w:t xml:space="preserve"> fulfillment does not follow here—it has to wait until Gen 21.</w:t>
      </w:r>
    </w:p>
    <w:p w14:paraId="60362B61" w14:textId="77777777" w:rsidR="00AC71B8" w:rsidRDefault="00D335BE" w:rsidP="003F5CA3">
      <w:pPr>
        <w:pStyle w:val="ListParagraph"/>
        <w:numPr>
          <w:ilvl w:val="0"/>
          <w:numId w:val="40"/>
        </w:numPr>
        <w:rPr>
          <w:lang w:bidi="he-IL"/>
        </w:rPr>
      </w:pPr>
      <w:r>
        <w:rPr>
          <w:lang w:bidi="he-IL"/>
        </w:rPr>
        <w:t>T</w:t>
      </w:r>
      <w:r w:rsidR="00AC71B8">
        <w:rPr>
          <w:lang w:bidi="he-IL"/>
        </w:rPr>
        <w:t>he exchange about Sarah</w:t>
      </w:r>
      <w:r w:rsidR="00D36DFE">
        <w:rPr>
          <w:lang w:bidi="he-IL"/>
        </w:rPr>
        <w:t>’s laughter (18:13-15) e</w:t>
      </w:r>
      <w:r w:rsidR="00AC71B8">
        <w:rPr>
          <w:lang w:bidi="he-IL"/>
        </w:rPr>
        <w:t>n</w:t>
      </w:r>
      <w:r w:rsidR="00D36DFE">
        <w:rPr>
          <w:lang w:bidi="he-IL"/>
        </w:rPr>
        <w:t>d</w:t>
      </w:r>
      <w:r w:rsidR="00AC71B8">
        <w:rPr>
          <w:lang w:bidi="he-IL"/>
        </w:rPr>
        <w:t>s in a dramatic way, but also not</w:t>
      </w:r>
      <w:r>
        <w:rPr>
          <w:lang w:bidi="he-IL"/>
        </w:rPr>
        <w:t xml:space="preserve"> in a way that suggests closure—which will also come in Gen 21.</w:t>
      </w:r>
    </w:p>
    <w:p w14:paraId="192B10B1" w14:textId="77777777" w:rsidR="00B45E23" w:rsidRDefault="00B45E23" w:rsidP="00B45E23">
      <w:pPr>
        <w:rPr>
          <w:lang w:bidi="he-IL"/>
        </w:rPr>
      </w:pPr>
    </w:p>
    <w:p w14:paraId="0A19D0C8" w14:textId="31A82FF8" w:rsidR="00AE04D6" w:rsidRDefault="00AE04D6" w:rsidP="00BF7892">
      <w:pPr>
        <w:rPr>
          <w:lang w:bidi="he-IL"/>
        </w:rPr>
      </w:pPr>
      <w:r>
        <w:rPr>
          <w:lang w:bidi="he-IL"/>
        </w:rPr>
        <w:t>In Gen 8—9 Yahweh promised never again to bring a deluge. Gen 18—19 implies that he may well bring other smaller-scale catastrophes. The story thus raises the question, “How can we speak of divine judgment in the world?”</w:t>
      </w:r>
      <w:r>
        <w:rPr>
          <w:rStyle w:val="FootnoteReference"/>
          <w:lang w:bidi="he-IL"/>
        </w:rPr>
        <w:footnoteReference w:id="412"/>
      </w:r>
      <w:r>
        <w:rPr>
          <w:lang w:bidi="he-IL"/>
        </w:rPr>
        <w:t xml:space="preserve"> One answer the Scriptures suggest is, by valuing the reassurance that the victims of persecution and oppression in the world will meet their judgment (e.g., 2 Peter 2:6-8). </w:t>
      </w:r>
      <w:r w:rsidR="005A6498">
        <w:rPr>
          <w:lang w:bidi="he-IL"/>
        </w:rPr>
        <w:t>While t</w:t>
      </w:r>
      <w:r w:rsidR="00884948">
        <w:rPr>
          <w:lang w:bidi="he-IL"/>
        </w:rPr>
        <w:t>he chapters</w:t>
      </w:r>
      <w:r w:rsidR="00ED7C27">
        <w:rPr>
          <w:lang w:bidi="he-IL"/>
        </w:rPr>
        <w:t xml:space="preserve"> </w:t>
      </w:r>
      <w:r w:rsidR="00BF7892">
        <w:rPr>
          <w:lang w:bidi="he-IL"/>
        </w:rPr>
        <w:t>incidentally provide some explanation for the apparently</w:t>
      </w:r>
      <w:r w:rsidR="005A6498">
        <w:rPr>
          <w:lang w:bidi="he-IL"/>
        </w:rPr>
        <w:t xml:space="preserve"> devastated s</w:t>
      </w:r>
      <w:r>
        <w:rPr>
          <w:lang w:bidi="he-IL"/>
        </w:rPr>
        <w:t>tate of Sodom and give</w:t>
      </w:r>
      <w:r w:rsidR="00ED7C27">
        <w:rPr>
          <w:lang w:bidi="he-IL"/>
        </w:rPr>
        <w:t xml:space="preserve"> an account of the origins of the Ammo</w:t>
      </w:r>
      <w:r w:rsidR="00884948">
        <w:rPr>
          <w:lang w:bidi="he-IL"/>
        </w:rPr>
        <w:t>nites and Moabites, they</w:t>
      </w:r>
      <w:r w:rsidR="00ED7C27">
        <w:rPr>
          <w:lang w:bidi="he-IL"/>
        </w:rPr>
        <w:t xml:space="preserve"> </w:t>
      </w:r>
      <w:r w:rsidR="005A6498">
        <w:rPr>
          <w:lang w:bidi="he-IL"/>
        </w:rPr>
        <w:t>also</w:t>
      </w:r>
      <w:r w:rsidR="00BF7892">
        <w:rPr>
          <w:lang w:bidi="he-IL"/>
        </w:rPr>
        <w:t xml:space="preserve"> offer a warning to Israel about what happens to an Israelite town if it behaves like Sodom and Gomorrah (cf. Isa 1:9-10; Ezek 16</w:t>
      </w:r>
      <w:r w:rsidR="00884948">
        <w:rPr>
          <w:lang w:bidi="he-IL"/>
        </w:rPr>
        <w:t xml:space="preserve">; Amos 4:11). </w:t>
      </w:r>
      <w:r>
        <w:rPr>
          <w:lang w:bidi="he-IL"/>
        </w:rPr>
        <w:t>T</w:t>
      </w:r>
      <w:r w:rsidR="00884948" w:rsidRPr="00D50670">
        <w:rPr>
          <w:lang w:bidi="he-IL"/>
        </w:rPr>
        <w:t xml:space="preserve">he people of God </w:t>
      </w:r>
      <w:r>
        <w:rPr>
          <w:lang w:bidi="he-IL"/>
        </w:rPr>
        <w:t xml:space="preserve">has </w:t>
      </w:r>
      <w:r w:rsidR="00884948" w:rsidRPr="00D50670">
        <w:rPr>
          <w:lang w:bidi="he-IL"/>
        </w:rPr>
        <w:t xml:space="preserve">to see itself as Sodom and </w:t>
      </w:r>
      <w:r>
        <w:rPr>
          <w:lang w:bidi="he-IL"/>
        </w:rPr>
        <w:t xml:space="preserve">as </w:t>
      </w:r>
      <w:r w:rsidR="00884948" w:rsidRPr="00D50670">
        <w:rPr>
          <w:lang w:bidi="he-IL"/>
        </w:rPr>
        <w:t>thus</w:t>
      </w:r>
      <w:r w:rsidR="00884948">
        <w:rPr>
          <w:lang w:bidi="he-IL"/>
        </w:rPr>
        <w:t xml:space="preserve"> in danger of Sodom’s fate</w:t>
      </w:r>
      <w:r w:rsidR="00884948" w:rsidRPr="00D50670">
        <w:rPr>
          <w:lang w:bidi="he-IL"/>
        </w:rPr>
        <w:t>. Jesus in effect makes the same poi</w:t>
      </w:r>
      <w:r w:rsidR="00884948">
        <w:rPr>
          <w:lang w:bidi="he-IL"/>
        </w:rPr>
        <w:t>nt (Matt 10:15; 11:20-24)</w:t>
      </w:r>
      <w:r>
        <w:rPr>
          <w:lang w:bidi="he-IL"/>
        </w:rPr>
        <w:t>. So the story drives the church to respond to it “by making sure we speak of it as a warning to the church as the object of God’s judgment.”</w:t>
      </w:r>
      <w:r w:rsidRPr="00274B49">
        <w:rPr>
          <w:vertAlign w:val="superscript"/>
          <w:lang w:bidi="he-IL"/>
        </w:rPr>
        <w:footnoteReference w:id="413"/>
      </w:r>
    </w:p>
    <w:p w14:paraId="49B09B42" w14:textId="77777777" w:rsidR="008956C9" w:rsidRDefault="005A6498" w:rsidP="008956C9">
      <w:pPr>
        <w:rPr>
          <w:lang w:bidi="he-IL"/>
        </w:rPr>
      </w:pPr>
      <w:r>
        <w:rPr>
          <w:lang w:bidi="he-IL"/>
        </w:rPr>
        <w:t>In episode one (18:1-16) v</w:t>
      </w:r>
      <w:r w:rsidR="008956C9">
        <w:rPr>
          <w:lang w:bidi="he-IL"/>
        </w:rPr>
        <w:t>isitors arri</w:t>
      </w:r>
      <w:r>
        <w:rPr>
          <w:lang w:bidi="he-IL"/>
        </w:rPr>
        <w:t>ve at Abraham’s encampment, he makes</w:t>
      </w:r>
      <w:r w:rsidR="00D335BE">
        <w:rPr>
          <w:lang w:bidi="he-IL"/>
        </w:rPr>
        <w:t xml:space="preserve"> a feast for them, and t</w:t>
      </w:r>
      <w:r>
        <w:rPr>
          <w:lang w:bidi="he-IL"/>
        </w:rPr>
        <w:t>hey announce</w:t>
      </w:r>
      <w:r w:rsidR="008956C9">
        <w:rPr>
          <w:lang w:bidi="he-IL"/>
        </w:rPr>
        <w:t xml:space="preserve"> that Sarah will have a baby.</w:t>
      </w:r>
      <w:r>
        <w:rPr>
          <w:lang w:bidi="he-IL"/>
        </w:rPr>
        <w:t xml:space="preserve"> T</w:t>
      </w:r>
      <w:r w:rsidR="008956C9">
        <w:rPr>
          <w:lang w:bidi="he-IL"/>
        </w:rPr>
        <w:t>his</w:t>
      </w:r>
      <w:r>
        <w:rPr>
          <w:lang w:bidi="he-IL"/>
        </w:rPr>
        <w:t xml:space="preserve"> first episode in the unit</w:t>
      </w:r>
      <w:r w:rsidR="00B45E23">
        <w:rPr>
          <w:lang w:bidi="he-IL"/>
        </w:rPr>
        <w:t xml:space="preserve"> </w:t>
      </w:r>
      <w:r w:rsidR="00AC71B8">
        <w:rPr>
          <w:lang w:bidi="he-IL"/>
        </w:rPr>
        <w:t xml:space="preserve">makes sense in itself, though </w:t>
      </w:r>
      <w:r>
        <w:rPr>
          <w:lang w:bidi="he-IL"/>
        </w:rPr>
        <w:t>like the unit as a whole, it</w:t>
      </w:r>
      <w:r w:rsidR="00D335BE">
        <w:rPr>
          <w:lang w:bidi="he-IL"/>
        </w:rPr>
        <w:t xml:space="preserve"> </w:t>
      </w:r>
      <w:r w:rsidR="00AC71B8">
        <w:rPr>
          <w:lang w:bidi="he-IL"/>
        </w:rPr>
        <w:t>is only s</w:t>
      </w:r>
      <w:r>
        <w:rPr>
          <w:lang w:bidi="he-IL"/>
        </w:rPr>
        <w:t>emi-complete. I</w:t>
      </w:r>
      <w:r w:rsidR="00AC71B8">
        <w:rPr>
          <w:lang w:bidi="he-IL"/>
        </w:rPr>
        <w:t xml:space="preserve">t presupposes that we know who </w:t>
      </w:r>
      <w:r w:rsidR="003D56BA">
        <w:rPr>
          <w:lang w:bidi="he-IL"/>
        </w:rPr>
        <w:t>“</w:t>
      </w:r>
      <w:r w:rsidR="00AC71B8">
        <w:rPr>
          <w:lang w:bidi="he-IL"/>
        </w:rPr>
        <w:t>he</w:t>
      </w:r>
      <w:r w:rsidR="003D56BA">
        <w:rPr>
          <w:lang w:bidi="he-IL"/>
        </w:rPr>
        <w:t>”</w:t>
      </w:r>
      <w:r w:rsidR="00AC71B8">
        <w:rPr>
          <w:lang w:bidi="he-IL"/>
        </w:rPr>
        <w:t xml:space="preserve"> is, and at the end it does not tell us why the </w:t>
      </w:r>
      <w:r w:rsidR="003D56BA">
        <w:rPr>
          <w:lang w:bidi="he-IL"/>
        </w:rPr>
        <w:t>“</w:t>
      </w:r>
      <w:r w:rsidR="00AC71B8">
        <w:rPr>
          <w:lang w:bidi="he-IL"/>
        </w:rPr>
        <w:t>men</w:t>
      </w:r>
      <w:r w:rsidR="003D56BA">
        <w:rPr>
          <w:lang w:bidi="he-IL"/>
        </w:rPr>
        <w:t>”</w:t>
      </w:r>
      <w:r w:rsidR="00AC71B8">
        <w:rPr>
          <w:lang w:bidi="he-IL"/>
        </w:rPr>
        <w:t xml:space="preserve"> are going to Sodom—or exactly h</w:t>
      </w:r>
      <w:r w:rsidR="00D335BE">
        <w:rPr>
          <w:lang w:bidi="he-IL"/>
        </w:rPr>
        <w:t>ow the story</w:t>
      </w:r>
      <w:r w:rsidR="008956C9">
        <w:rPr>
          <w:lang w:bidi="he-IL"/>
        </w:rPr>
        <w:t xml:space="preserve"> links with 13:10-13. I</w:t>
      </w:r>
      <w:r w:rsidR="00AC71B8">
        <w:rPr>
          <w:lang w:bidi="he-IL"/>
        </w:rPr>
        <w:t>n a</w:t>
      </w:r>
      <w:r w:rsidR="00D36DFE">
        <w:rPr>
          <w:lang w:bidi="he-IL"/>
        </w:rPr>
        <w:t xml:space="preserve">ddition, </w:t>
      </w:r>
      <w:r w:rsidR="00AC71B8">
        <w:rPr>
          <w:lang w:bidi="he-IL"/>
        </w:rPr>
        <w:t>the point of the account of the feast</w:t>
      </w:r>
      <w:r w:rsidR="00D36DFE">
        <w:rPr>
          <w:lang w:bidi="he-IL"/>
        </w:rPr>
        <w:t xml:space="preserve"> is not clear</w:t>
      </w:r>
      <w:r w:rsidR="00DD623F">
        <w:rPr>
          <w:lang w:bidi="he-IL"/>
        </w:rPr>
        <w:t>.</w:t>
      </w:r>
      <w:r w:rsidR="00DD623F" w:rsidRPr="00DD623F">
        <w:rPr>
          <w:lang w:bidi="he-IL"/>
        </w:rPr>
        <w:t xml:space="preserve"> Is it simply a raising of suspense for 18:9-1</w:t>
      </w:r>
      <w:r w:rsidR="00DD623F">
        <w:rPr>
          <w:lang w:bidi="he-IL"/>
        </w:rPr>
        <w:t>5?</w:t>
      </w:r>
      <w:r w:rsidR="00DD623F" w:rsidRPr="00DD623F">
        <w:rPr>
          <w:vertAlign w:val="superscript"/>
          <w:lang w:bidi="he-IL"/>
        </w:rPr>
        <w:footnoteReference w:id="414"/>
      </w:r>
      <w:r w:rsidR="00DD623F">
        <w:rPr>
          <w:lang w:bidi="he-IL"/>
        </w:rPr>
        <w:t xml:space="preserve"> </w:t>
      </w:r>
      <w:r w:rsidR="002A7722">
        <w:rPr>
          <w:lang w:bidi="he-IL"/>
        </w:rPr>
        <w:t>The feast</w:t>
      </w:r>
      <w:r>
        <w:rPr>
          <w:lang w:bidi="he-IL"/>
        </w:rPr>
        <w:t xml:space="preserve"> does not </w:t>
      </w:r>
      <w:r w:rsidR="00D36DFE">
        <w:rPr>
          <w:lang w:bidi="he-IL"/>
        </w:rPr>
        <w:t xml:space="preserve">relate </w:t>
      </w:r>
      <w:r>
        <w:rPr>
          <w:lang w:bidi="he-IL"/>
        </w:rPr>
        <w:t xml:space="preserve">closely </w:t>
      </w:r>
      <w:r w:rsidR="00D36DFE">
        <w:rPr>
          <w:lang w:bidi="he-IL"/>
        </w:rPr>
        <w:t xml:space="preserve">to the bringing of the promise to Sarah and </w:t>
      </w:r>
      <w:r w:rsidR="002A7722">
        <w:rPr>
          <w:lang w:bidi="he-IL"/>
        </w:rPr>
        <w:t xml:space="preserve">to </w:t>
      </w:r>
      <w:r w:rsidR="00D36DFE">
        <w:rPr>
          <w:lang w:bidi="he-IL"/>
        </w:rPr>
        <w:t xml:space="preserve">the tension caused by her laugh. </w:t>
      </w:r>
      <w:r w:rsidR="002A7722">
        <w:rPr>
          <w:lang w:bidi="he-IL"/>
        </w:rPr>
        <w:t>Further, t</w:t>
      </w:r>
      <w:r w:rsidR="008956C9">
        <w:rPr>
          <w:lang w:bidi="he-IL"/>
        </w:rPr>
        <w:t>here is some unclarity about how many visitors there a</w:t>
      </w:r>
      <w:r>
        <w:rPr>
          <w:lang w:bidi="he-IL"/>
        </w:rPr>
        <w:t>re and about their identity. While</w:t>
      </w:r>
      <w:r w:rsidR="008956C9">
        <w:rPr>
          <w:lang w:bidi="he-IL"/>
        </w:rPr>
        <w:t xml:space="preserve"> one might ask whether this</w:t>
      </w:r>
      <w:r>
        <w:rPr>
          <w:lang w:bidi="he-IL"/>
        </w:rPr>
        <w:t xml:space="preserve"> unclarity</w:t>
      </w:r>
      <w:r w:rsidR="008956C9">
        <w:rPr>
          <w:lang w:bidi="he-IL"/>
        </w:rPr>
        <w:t xml:space="preserve"> indicates that more than one version of the story has </w:t>
      </w:r>
      <w:r>
        <w:rPr>
          <w:lang w:bidi="he-IL"/>
        </w:rPr>
        <w:t>been combined, it</w:t>
      </w:r>
      <w:r w:rsidR="008956C9">
        <w:rPr>
          <w:lang w:bidi="he-IL"/>
        </w:rPr>
        <w:t xml:space="preserve"> may rather be a sign of sophistication in storytelli</w:t>
      </w:r>
      <w:r>
        <w:rPr>
          <w:lang w:bidi="he-IL"/>
        </w:rPr>
        <w:t>ng, an indication of</w:t>
      </w:r>
      <w:r w:rsidR="002A7722">
        <w:rPr>
          <w:lang w:bidi="he-IL"/>
        </w:rPr>
        <w:t xml:space="preserve"> awareness that some subtlety is required in talking about visits by God and by his envoys who appear in human form, and about the way the recipients of these visits understand what is going on. </w:t>
      </w:r>
    </w:p>
    <w:p w14:paraId="1740FD88" w14:textId="5C79EF75" w:rsidR="008A4269" w:rsidRPr="008A4269" w:rsidRDefault="005A6498" w:rsidP="008A4269">
      <w:pPr>
        <w:rPr>
          <w:lang w:bidi="he-IL"/>
        </w:rPr>
      </w:pPr>
      <w:r>
        <w:rPr>
          <w:lang w:bidi="he-IL"/>
        </w:rPr>
        <w:t xml:space="preserve">In 18:17-33 </w:t>
      </w:r>
      <w:r w:rsidR="008956C9" w:rsidRPr="005A6498">
        <w:rPr>
          <w:lang w:bidi="he-IL"/>
        </w:rPr>
        <w:t>Yahweh</w:t>
      </w:r>
      <w:r w:rsidR="008956C9">
        <w:rPr>
          <w:lang w:bidi="he-IL"/>
        </w:rPr>
        <w:t xml:space="preserve"> speaks (to himself?) about the need to tell Abraham what is going on (vv. 17-19) and speaks (to Abraham?) about what</w:t>
      </w:r>
      <w:r w:rsidR="00C34A7F">
        <w:rPr>
          <w:lang w:bidi="he-IL"/>
        </w:rPr>
        <w:t xml:space="preserve"> he intends. As (two of) the visitors</w:t>
      </w:r>
      <w:r w:rsidR="008956C9">
        <w:rPr>
          <w:lang w:bidi="he-IL"/>
        </w:rPr>
        <w:t xml:space="preserve"> go off to Sodom, Abraham engages Yahweh in a dialogue about whether he will sweep the town away if there are some faithful people there. </w:t>
      </w:r>
      <w:r w:rsidR="001C0B28">
        <w:rPr>
          <w:lang w:bidi="he-IL"/>
        </w:rPr>
        <w:t xml:space="preserve">Dramatically, the divine speeches and the dialogue </w:t>
      </w:r>
      <w:r w:rsidR="00C34A7F">
        <w:rPr>
          <w:lang w:bidi="he-IL"/>
        </w:rPr>
        <w:t xml:space="preserve">bridge the time when the visitors are on their way to Sodom. They also provide the theological background to what will happen there. </w:t>
      </w:r>
      <w:r w:rsidR="001C0B28">
        <w:rPr>
          <w:lang w:bidi="he-IL"/>
        </w:rPr>
        <w:t xml:space="preserve">The language of Yahweh’s statements and of the dialogue is more conceptual and the talk about faithfulness and the exercise of authority matches the language of the prophets, the Psalms, and the wisdom books. </w:t>
      </w:r>
      <w:r w:rsidR="00EB75F9">
        <w:rPr>
          <w:lang w:bidi="he-IL"/>
        </w:rPr>
        <w:t>It constitutes a</w:t>
      </w:r>
      <w:r w:rsidR="002A7722">
        <w:rPr>
          <w:lang w:bidi="he-IL"/>
        </w:rPr>
        <w:t>n anticipatory</w:t>
      </w:r>
      <w:r w:rsidR="00EB75F9">
        <w:rPr>
          <w:lang w:bidi="he-IL"/>
        </w:rPr>
        <w:t xml:space="preserve"> reflection on the events related in Gen 19 rather than </w:t>
      </w:r>
      <w:r w:rsidR="00EB75F9">
        <w:rPr>
          <w:lang w:bidi="he-IL"/>
        </w:rPr>
        <w:lastRenderedPageBreak/>
        <w:t>having anything to do with 18:1-15.</w:t>
      </w:r>
      <w:r w:rsidR="00EB75F9">
        <w:rPr>
          <w:rStyle w:val="FootnoteReference"/>
          <w:lang w:bidi="he-IL"/>
        </w:rPr>
        <w:footnoteReference w:id="415"/>
      </w:r>
      <w:r w:rsidR="00ED7C27">
        <w:rPr>
          <w:lang w:bidi="he-IL"/>
        </w:rPr>
        <w:t xml:space="preserve"> I</w:t>
      </w:r>
      <w:r w:rsidR="00944CCD">
        <w:rPr>
          <w:lang w:bidi="he-IL"/>
        </w:rPr>
        <w:t xml:space="preserve">f </w:t>
      </w:r>
      <w:r w:rsidR="00C34A7F">
        <w:rPr>
          <w:lang w:bidi="he-IL"/>
        </w:rPr>
        <w:t>the statements and the dialogue raise more sophisticated questions than the stories</w:t>
      </w:r>
      <w:r w:rsidR="002A7722">
        <w:rPr>
          <w:lang w:bidi="he-IL"/>
        </w:rPr>
        <w:t xml:space="preserve"> do</w:t>
      </w:r>
      <w:r w:rsidR="00C34A7F">
        <w:rPr>
          <w:lang w:bidi="he-IL"/>
        </w:rPr>
        <w:t xml:space="preserve">, they are not thereby shown to be </w:t>
      </w:r>
      <w:r w:rsidR="00944CCD">
        <w:rPr>
          <w:lang w:bidi="he-IL"/>
        </w:rPr>
        <w:t xml:space="preserve">a </w:t>
      </w:r>
      <w:r w:rsidR="00C34A7F">
        <w:rPr>
          <w:lang w:bidi="he-IL"/>
        </w:rPr>
        <w:t>later</w:t>
      </w:r>
      <w:r w:rsidR="00944CCD">
        <w:rPr>
          <w:lang w:bidi="he-IL"/>
        </w:rPr>
        <w:t xml:space="preserve"> reflection on the story</w:t>
      </w:r>
      <w:r w:rsidR="00C34A7F">
        <w:rPr>
          <w:lang w:bidi="he-IL"/>
        </w:rPr>
        <w:t xml:space="preserve">. Theological simplicity and sophistication coexist in the United States in the twenty-first century and there is no reason to suppose that </w:t>
      </w:r>
      <w:r w:rsidR="002A7722">
        <w:rPr>
          <w:lang w:bidi="he-IL"/>
        </w:rPr>
        <w:t xml:space="preserve">they did </w:t>
      </w:r>
      <w:r w:rsidR="00944CCD">
        <w:rPr>
          <w:lang w:bidi="he-IL"/>
        </w:rPr>
        <w:t>not coexist in Judah. S</w:t>
      </w:r>
      <w:r w:rsidR="00C34A7F">
        <w:rPr>
          <w:lang w:bidi="he-IL"/>
        </w:rPr>
        <w:t>imilar issues to</w:t>
      </w:r>
      <w:r w:rsidR="00944CCD">
        <w:rPr>
          <w:lang w:bidi="he-IL"/>
        </w:rPr>
        <w:t xml:space="preserve"> the ones raised in 18:17-33 are raised in different periods, in Hosea, Jeremiah, Ezekiel, and Job</w:t>
      </w:r>
      <w:r w:rsidR="00C34A7F">
        <w:rPr>
          <w:lang w:bidi="he-IL"/>
        </w:rPr>
        <w:t>.</w:t>
      </w:r>
      <w:r w:rsidR="002A7722">
        <w:rPr>
          <w:lang w:bidi="he-IL"/>
        </w:rPr>
        <w:t xml:space="preserve"> So 18:17-33 might be a reflection on an earlier story which </w:t>
      </w:r>
      <w:r w:rsidR="00AE04D6">
        <w:rPr>
          <w:lang w:bidi="he-IL"/>
        </w:rPr>
        <w:t>occupies the bulk of Gen 18—19, and while t</w:t>
      </w:r>
      <w:r w:rsidR="00AE04D6">
        <w:t>he story as a whole is traditional</w:t>
      </w:r>
      <w:r w:rsidR="00CF7128">
        <w:t xml:space="preserve">ly assumed to come from J, </w:t>
      </w:r>
      <w:r w:rsidR="00AE04D6">
        <w:t xml:space="preserve">18:17-33 </w:t>
      </w:r>
      <w:r w:rsidR="00CF7128">
        <w:t xml:space="preserve">is </w:t>
      </w:r>
      <w:r w:rsidR="00AE04D6">
        <w:t>often seen as a later addition to the main story line.</w:t>
      </w:r>
      <w:r w:rsidR="00AE04D6">
        <w:rPr>
          <w:rStyle w:val="FootnoteReference"/>
        </w:rPr>
        <w:footnoteReference w:id="416"/>
      </w:r>
      <w:r w:rsidR="00CF7128">
        <w:t xml:space="preserve"> </w:t>
      </w:r>
      <w:r w:rsidR="00CF7128">
        <w:rPr>
          <w:lang w:bidi="he-IL"/>
        </w:rPr>
        <w:t>B</w:t>
      </w:r>
      <w:r w:rsidR="002A7722">
        <w:rPr>
          <w:lang w:bidi="he-IL"/>
        </w:rPr>
        <w:t>ut there is no st</w:t>
      </w:r>
      <w:r w:rsidR="00944CCD">
        <w:rPr>
          <w:lang w:bidi="he-IL"/>
        </w:rPr>
        <w:t xml:space="preserve">rong evidence in this direction. </w:t>
      </w:r>
    </w:p>
    <w:p w14:paraId="334B19FB" w14:textId="5485E6E9" w:rsidR="0050433E" w:rsidRDefault="001C5C01" w:rsidP="008956C9">
      <w:pPr>
        <w:rPr>
          <w:lang w:bidi="he-IL"/>
        </w:rPr>
      </w:pPr>
      <w:r>
        <w:rPr>
          <w:lang w:bidi="he-IL"/>
        </w:rPr>
        <w:t xml:space="preserve">In the third </w:t>
      </w:r>
      <w:r w:rsidRPr="001C5C01">
        <w:rPr>
          <w:lang w:bidi="he-IL"/>
        </w:rPr>
        <w:t>episode (</w:t>
      </w:r>
      <w:r w:rsidR="00C34A7F" w:rsidRPr="001C5C01">
        <w:rPr>
          <w:lang w:bidi="he-IL"/>
        </w:rPr>
        <w:t>19:1-29</w:t>
      </w:r>
      <w:r w:rsidRPr="001C5C01">
        <w:rPr>
          <w:lang w:bidi="he-IL"/>
        </w:rPr>
        <w:t>) t</w:t>
      </w:r>
      <w:r w:rsidR="00C34A7F" w:rsidRPr="001C5C01">
        <w:rPr>
          <w:lang w:bidi="he-IL"/>
        </w:rPr>
        <w:t>he</w:t>
      </w:r>
      <w:r w:rsidR="00C34A7F">
        <w:rPr>
          <w:lang w:bidi="he-IL"/>
        </w:rPr>
        <w:t xml:space="preserve"> visitors arrive at Sodom, and Lot makes a feast for them. </w:t>
      </w:r>
      <w:r w:rsidR="00944CCD">
        <w:rPr>
          <w:lang w:bidi="he-IL"/>
        </w:rPr>
        <w:t xml:space="preserve">The comparison and </w:t>
      </w:r>
      <w:r w:rsidR="0050433E">
        <w:rPr>
          <w:lang w:bidi="he-IL"/>
        </w:rPr>
        <w:t xml:space="preserve">contrast with Abraham’s feast </w:t>
      </w:r>
      <w:r w:rsidR="00944CCD">
        <w:rPr>
          <w:lang w:bidi="he-IL"/>
        </w:rPr>
        <w:t>now expl</w:t>
      </w:r>
      <w:r w:rsidR="00DE7D3F">
        <w:rPr>
          <w:lang w:bidi="he-IL"/>
        </w:rPr>
        <w:t>ain the significance similar</w:t>
      </w:r>
      <w:r w:rsidR="00944CCD">
        <w:rPr>
          <w:lang w:bidi="he-IL"/>
        </w:rPr>
        <w:t xml:space="preserve"> feature</w:t>
      </w:r>
      <w:r w:rsidR="00DE7D3F">
        <w:rPr>
          <w:lang w:bidi="he-IL"/>
        </w:rPr>
        <w:t>s</w:t>
      </w:r>
      <w:r w:rsidR="00944CCD">
        <w:rPr>
          <w:lang w:bidi="he-IL"/>
        </w:rPr>
        <w:t xml:space="preserve"> in the first episode</w:t>
      </w:r>
      <w:r w:rsidR="0050433E">
        <w:rPr>
          <w:lang w:bidi="he-IL"/>
        </w:rPr>
        <w:t xml:space="preserve"> in the story. </w:t>
      </w:r>
      <w:r w:rsidR="00DD623F" w:rsidRPr="00DD623F">
        <w:rPr>
          <w:lang w:bidi="he-IL"/>
        </w:rPr>
        <w:t>Th</w:t>
      </w:r>
      <w:r w:rsidR="00944CCD">
        <w:rPr>
          <w:lang w:bidi="he-IL"/>
        </w:rPr>
        <w:t xml:space="preserve">e three visitors had </w:t>
      </w:r>
      <w:r w:rsidR="00DD623F">
        <w:rPr>
          <w:lang w:bidi="he-IL"/>
        </w:rPr>
        <w:t xml:space="preserve">two tasks: </w:t>
      </w:r>
      <w:r w:rsidR="003D56BA">
        <w:rPr>
          <w:lang w:bidi="he-IL"/>
        </w:rPr>
        <w:t>“</w:t>
      </w:r>
      <w:r w:rsidR="00DD623F">
        <w:rPr>
          <w:lang w:bidi="he-IL"/>
        </w:rPr>
        <w:t>o</w:t>
      </w:r>
      <w:r w:rsidR="00DD623F" w:rsidRPr="00DD623F">
        <w:rPr>
          <w:lang w:bidi="he-IL"/>
        </w:rPr>
        <w:t>ne is to promise a beginning…. The other is to effect an ending.</w:t>
      </w:r>
      <w:r w:rsidR="003D56BA">
        <w:rPr>
          <w:lang w:bidi="he-IL"/>
        </w:rPr>
        <w:t>”</w:t>
      </w:r>
      <w:r w:rsidR="00DD623F" w:rsidRPr="00DD623F">
        <w:rPr>
          <w:vertAlign w:val="superscript"/>
          <w:lang w:bidi="he-IL"/>
        </w:rPr>
        <w:footnoteReference w:id="417"/>
      </w:r>
      <w:r w:rsidR="00DE7D3F">
        <w:rPr>
          <w:lang w:bidi="he-IL"/>
        </w:rPr>
        <w:t xml:space="preserve"> T</w:t>
      </w:r>
      <w:r w:rsidR="002A7722">
        <w:rPr>
          <w:lang w:bidi="he-IL"/>
        </w:rPr>
        <w:t>he story as a whol</w:t>
      </w:r>
      <w:r w:rsidR="00DE7D3F">
        <w:rPr>
          <w:lang w:bidi="he-IL"/>
        </w:rPr>
        <w:t xml:space="preserve">e is more about Sodom and </w:t>
      </w:r>
      <w:r w:rsidR="002A7722">
        <w:rPr>
          <w:lang w:bidi="he-IL"/>
        </w:rPr>
        <w:t>Lot than about Abraham, and the feast in the first scene is backdrop to this one. After Lot’s banquet,</w:t>
      </w:r>
      <w:r w:rsidR="00C34A7F">
        <w:rPr>
          <w:lang w:bidi="he-IL"/>
        </w:rPr>
        <w:t xml:space="preserve"> things go wrong in a way that answers the questions raised by </w:t>
      </w:r>
      <w:r w:rsidR="002A7722">
        <w:rPr>
          <w:lang w:bidi="he-IL"/>
        </w:rPr>
        <w:t>18:20-21 and by the dialogue: i</w:t>
      </w:r>
      <w:r w:rsidR="0050433E">
        <w:rPr>
          <w:lang w:bidi="he-IL"/>
        </w:rPr>
        <w:t xml:space="preserve">t is clear that the entire community is involved in faithlessness. </w:t>
      </w:r>
      <w:r w:rsidR="00BF7892">
        <w:rPr>
          <w:lang w:bidi="he-IL"/>
        </w:rPr>
        <w:t xml:space="preserve">There is no suggestion that Lot </w:t>
      </w:r>
      <w:r w:rsidR="00BF7892" w:rsidRPr="00BF7892">
        <w:rPr>
          <w:lang w:bidi="he-IL"/>
        </w:rPr>
        <w:t xml:space="preserve">and his family count as </w:t>
      </w:r>
      <w:r w:rsidR="003D56BA">
        <w:rPr>
          <w:lang w:bidi="he-IL"/>
        </w:rPr>
        <w:t>“</w:t>
      </w:r>
      <w:r w:rsidR="00BF7892" w:rsidRPr="00BF7892">
        <w:rPr>
          <w:lang w:bidi="he-IL"/>
        </w:rPr>
        <w:t>faithful.</w:t>
      </w:r>
      <w:r w:rsidR="003D56BA">
        <w:rPr>
          <w:lang w:bidi="he-IL"/>
        </w:rPr>
        <w:t>”</w:t>
      </w:r>
      <w:r w:rsidR="00BF7892" w:rsidRPr="00BF7892">
        <w:rPr>
          <w:vertAlign w:val="superscript"/>
          <w:lang w:bidi="he-IL"/>
        </w:rPr>
        <w:footnoteReference w:id="418"/>
      </w:r>
      <w:r w:rsidR="00BF7892" w:rsidRPr="00BF7892">
        <w:rPr>
          <w:lang w:bidi="he-IL"/>
        </w:rPr>
        <w:t xml:space="preserve"> Lot starts that way, but </w:t>
      </w:r>
      <w:r w:rsidR="00DE7D3F">
        <w:rPr>
          <w:lang w:bidi="he-IL"/>
        </w:rPr>
        <w:t>subsequent events</w:t>
      </w:r>
      <w:r w:rsidR="00944CCD">
        <w:rPr>
          <w:lang w:bidi="he-IL"/>
        </w:rPr>
        <w:t xml:space="preserve"> </w:t>
      </w:r>
      <w:r w:rsidR="00BF7892" w:rsidRPr="00BF7892">
        <w:rPr>
          <w:lang w:bidi="he-IL"/>
        </w:rPr>
        <w:t>raise</w:t>
      </w:r>
      <w:r w:rsidR="00944CCD">
        <w:rPr>
          <w:lang w:bidi="he-IL"/>
        </w:rPr>
        <w:t>s</w:t>
      </w:r>
      <w:r w:rsidR="00BF7892" w:rsidRPr="00BF7892">
        <w:rPr>
          <w:lang w:bidi="he-IL"/>
        </w:rPr>
        <w:t xml:space="preserve"> questions about the designation. The reason</w:t>
      </w:r>
      <w:r w:rsidR="00944CCD">
        <w:rPr>
          <w:lang w:bidi="he-IL"/>
        </w:rPr>
        <w:t>s for his rescue are</w:t>
      </w:r>
      <w:r w:rsidR="00BF7892" w:rsidRPr="00BF7892">
        <w:rPr>
          <w:lang w:bidi="he-IL"/>
        </w:rPr>
        <w:t xml:space="preserve"> Yahweh’s pity (v. 16), the envoys’ grace and commitment (v. 19), and Yahweh’s mindfulness of Abraham (v. 29).</w:t>
      </w:r>
      <w:r w:rsidR="00BF7892">
        <w:rPr>
          <w:lang w:bidi="he-IL"/>
        </w:rPr>
        <w:t xml:space="preserve"> </w:t>
      </w:r>
      <w:r w:rsidR="0050433E">
        <w:rPr>
          <w:lang w:bidi="he-IL"/>
        </w:rPr>
        <w:t>Lot’s deali</w:t>
      </w:r>
      <w:r w:rsidR="00DE7D3F">
        <w:rPr>
          <w:lang w:bidi="he-IL"/>
        </w:rPr>
        <w:t xml:space="preserve">ngs with the Sodomites </w:t>
      </w:r>
      <w:r w:rsidR="00944CCD">
        <w:rPr>
          <w:lang w:bidi="he-IL"/>
        </w:rPr>
        <w:t>make</w:t>
      </w:r>
      <w:r w:rsidR="00DE7D3F">
        <w:rPr>
          <w:lang w:bidi="he-IL"/>
        </w:rPr>
        <w:t xml:space="preserve"> </w:t>
      </w:r>
      <w:r w:rsidR="0050433E">
        <w:rPr>
          <w:lang w:bidi="he-IL"/>
        </w:rPr>
        <w:t>his person stand</w:t>
      </w:r>
      <w:r w:rsidR="00944CCD">
        <w:rPr>
          <w:lang w:bidi="he-IL"/>
        </w:rPr>
        <w:t xml:space="preserve"> in contrast with </w:t>
      </w:r>
      <w:r w:rsidR="0050433E">
        <w:rPr>
          <w:lang w:bidi="he-IL"/>
        </w:rPr>
        <w:t>Abraham</w:t>
      </w:r>
      <w:r w:rsidR="00BF7892">
        <w:rPr>
          <w:lang w:bidi="he-IL"/>
        </w:rPr>
        <w:t>. Abraham is a hero;</w:t>
      </w:r>
      <w:r w:rsidR="00944CCD">
        <w:rPr>
          <w:lang w:bidi="he-IL"/>
        </w:rPr>
        <w:t xml:space="preserve"> Lot is a buffoon and a failure,</w:t>
      </w:r>
      <w:r w:rsidR="00BF7892" w:rsidRPr="00BF7892">
        <w:rPr>
          <w:vertAlign w:val="superscript"/>
          <w:lang w:bidi="he-IL"/>
        </w:rPr>
        <w:footnoteReference w:id="419"/>
      </w:r>
      <w:r w:rsidR="00BF7892" w:rsidRPr="00BF7892">
        <w:rPr>
          <w:lang w:bidi="he-IL"/>
        </w:rPr>
        <w:t xml:space="preserve"> </w:t>
      </w:r>
      <w:r w:rsidR="003D56BA">
        <w:rPr>
          <w:lang w:bidi="he-IL"/>
        </w:rPr>
        <w:t>“</w:t>
      </w:r>
      <w:r w:rsidR="00BF7892" w:rsidRPr="00BF7892">
        <w:rPr>
          <w:lang w:bidi="he-IL"/>
        </w:rPr>
        <w:t>not so much the antithesis of Abraham as a pale and failed imitation.</w:t>
      </w:r>
      <w:r w:rsidR="003D56BA">
        <w:rPr>
          <w:lang w:bidi="he-IL"/>
        </w:rPr>
        <w:t>”</w:t>
      </w:r>
      <w:r w:rsidR="00BF7892" w:rsidRPr="00BF7892">
        <w:rPr>
          <w:vertAlign w:val="superscript"/>
          <w:lang w:bidi="he-IL"/>
        </w:rPr>
        <w:footnoteReference w:id="420"/>
      </w:r>
      <w:r w:rsidR="00DE7D3F">
        <w:rPr>
          <w:lang w:bidi="he-IL"/>
        </w:rPr>
        <w:t xml:space="preserve"> Hi</w:t>
      </w:r>
      <w:r w:rsidR="00BF7892">
        <w:rPr>
          <w:lang w:bidi="he-IL"/>
        </w:rPr>
        <w:t xml:space="preserve">s </w:t>
      </w:r>
      <w:r w:rsidR="0050433E">
        <w:rPr>
          <w:lang w:bidi="he-IL"/>
        </w:rPr>
        <w:t xml:space="preserve">sons-in-law laugh in a different way from Sarah. The visitors </w:t>
      </w:r>
      <w:r w:rsidR="008A4269">
        <w:rPr>
          <w:lang w:bidi="he-IL"/>
        </w:rPr>
        <w:t>bring a</w:t>
      </w:r>
      <w:r w:rsidR="008A4269" w:rsidRPr="008A4269">
        <w:rPr>
          <w:lang w:bidi="he-IL"/>
        </w:rPr>
        <w:t xml:space="preserve"> message </w:t>
      </w:r>
      <w:r w:rsidR="008A4269">
        <w:rPr>
          <w:lang w:bidi="he-IL"/>
        </w:rPr>
        <w:t xml:space="preserve">to Lot as they brought one to Abraham, a message which does not get heeded by </w:t>
      </w:r>
      <w:r w:rsidR="008A4269" w:rsidRPr="008A4269">
        <w:rPr>
          <w:lang w:bidi="he-IL"/>
        </w:rPr>
        <w:t>Lot’s wife</w:t>
      </w:r>
      <w:r w:rsidR="008A4269">
        <w:rPr>
          <w:lang w:bidi="he-IL"/>
        </w:rPr>
        <w:t xml:space="preserve"> as their earlier message received an equivocal response from Abraham’s wife</w:t>
      </w:r>
      <w:r w:rsidR="008A4269" w:rsidRPr="008A4269">
        <w:rPr>
          <w:lang w:bidi="he-IL"/>
        </w:rPr>
        <w:t>.</w:t>
      </w:r>
      <w:r w:rsidR="008A4269">
        <w:rPr>
          <w:lang w:bidi="he-IL"/>
        </w:rPr>
        <w:t xml:space="preserve"> Their message </w:t>
      </w:r>
      <w:r w:rsidR="0050433E">
        <w:rPr>
          <w:lang w:bidi="he-IL"/>
        </w:rPr>
        <w:t>take</w:t>
      </w:r>
      <w:r w:rsidR="008A4269">
        <w:rPr>
          <w:lang w:bidi="he-IL"/>
        </w:rPr>
        <w:t>s</w:t>
      </w:r>
      <w:r w:rsidR="0050433E">
        <w:rPr>
          <w:lang w:bidi="he-IL"/>
        </w:rPr>
        <w:t xml:space="preserve"> up the terms </w:t>
      </w:r>
      <w:r w:rsidR="003D56BA">
        <w:rPr>
          <w:lang w:bidi="he-IL"/>
        </w:rPr>
        <w:t>“</w:t>
      </w:r>
      <w:r w:rsidR="0050433E">
        <w:rPr>
          <w:lang w:bidi="he-IL"/>
        </w:rPr>
        <w:t>outcry</w:t>
      </w:r>
      <w:r w:rsidR="003D56BA">
        <w:rPr>
          <w:lang w:bidi="he-IL"/>
        </w:rPr>
        <w:t>”</w:t>
      </w:r>
      <w:r w:rsidR="0050433E">
        <w:rPr>
          <w:lang w:bidi="he-IL"/>
        </w:rPr>
        <w:t xml:space="preserve"> and </w:t>
      </w:r>
      <w:r w:rsidR="003D56BA">
        <w:rPr>
          <w:lang w:bidi="he-IL"/>
        </w:rPr>
        <w:t>“</w:t>
      </w:r>
      <w:r w:rsidR="0050433E">
        <w:rPr>
          <w:lang w:bidi="he-IL"/>
        </w:rPr>
        <w:t>devastation</w:t>
      </w:r>
      <w:r w:rsidR="003D56BA">
        <w:rPr>
          <w:lang w:bidi="he-IL"/>
        </w:rPr>
        <w:t>”</w:t>
      </w:r>
      <w:r w:rsidR="0050433E">
        <w:rPr>
          <w:lang w:bidi="he-IL"/>
        </w:rPr>
        <w:t xml:space="preserve"> from </w:t>
      </w:r>
      <w:r w:rsidR="00F2037D">
        <w:rPr>
          <w:lang w:bidi="he-IL"/>
        </w:rPr>
        <w:t xml:space="preserve">Yahweh’s speeches and the dialogue. </w:t>
      </w:r>
      <w:r w:rsidR="00FF12A7">
        <w:rPr>
          <w:lang w:bidi="he-IL"/>
        </w:rPr>
        <w:t>The talk of devastation also recalls the deluge story</w:t>
      </w:r>
      <w:r w:rsidR="00833AD7">
        <w:rPr>
          <w:lang w:bidi="he-IL"/>
        </w:rPr>
        <w:t>, which, indeed,</w:t>
      </w:r>
      <w:r w:rsidR="00FF12A7">
        <w:rPr>
          <w:lang w:bidi="he-IL"/>
        </w:rPr>
        <w:t xml:space="preserve"> </w:t>
      </w:r>
      <w:r w:rsidR="008A4269">
        <w:rPr>
          <w:lang w:bidi="he-IL"/>
        </w:rPr>
        <w:t>Gen 19 compares</w:t>
      </w:r>
      <w:r w:rsidR="00FF12A7">
        <w:rPr>
          <w:lang w:bidi="he-IL"/>
        </w:rPr>
        <w:t xml:space="preserve"> and contrast</w:t>
      </w:r>
      <w:r w:rsidR="008A4269">
        <w:rPr>
          <w:lang w:bidi="he-IL"/>
        </w:rPr>
        <w:t>s</w:t>
      </w:r>
      <w:r w:rsidR="00FF12A7">
        <w:rPr>
          <w:lang w:bidi="he-IL"/>
        </w:rPr>
        <w:t>.</w:t>
      </w:r>
      <w:r w:rsidR="00FF12A7">
        <w:rPr>
          <w:rStyle w:val="FootnoteReference"/>
          <w:lang w:bidi="he-IL"/>
        </w:rPr>
        <w:footnoteReference w:id="421"/>
      </w:r>
      <w:r w:rsidR="00FF12A7">
        <w:rPr>
          <w:lang w:bidi="he-IL"/>
        </w:rPr>
        <w:t xml:space="preserve"> Both stories tell of an overwhelming catastrophe that constitutes punishment for huma</w:t>
      </w:r>
      <w:r>
        <w:rPr>
          <w:lang w:bidi="he-IL"/>
        </w:rPr>
        <w:t>n waywardness, though</w:t>
      </w:r>
      <w:r w:rsidR="00FF12A7">
        <w:rPr>
          <w:lang w:bidi="he-IL"/>
        </w:rPr>
        <w:t xml:space="preserve"> one is universal and the other local, and the characters of Noah and Lot contrast. </w:t>
      </w:r>
      <w:r w:rsidR="00F2037D">
        <w:rPr>
          <w:lang w:bidi="he-IL"/>
        </w:rPr>
        <w:t>Verse 29 closes off 18:1—19:29 in te</w:t>
      </w:r>
      <w:r w:rsidR="00FF12A7">
        <w:rPr>
          <w:lang w:bidi="he-IL"/>
        </w:rPr>
        <w:t>rms that recall the deluge story</w:t>
      </w:r>
      <w:r w:rsidR="00F2037D">
        <w:rPr>
          <w:lang w:bidi="he-IL"/>
        </w:rPr>
        <w:t>.</w:t>
      </w:r>
    </w:p>
    <w:p w14:paraId="63308846" w14:textId="77777777" w:rsidR="008A4269" w:rsidRPr="008A4269" w:rsidRDefault="00F2037D" w:rsidP="008A4269">
      <w:r>
        <w:rPr>
          <w:lang w:bidi="he-IL"/>
        </w:rPr>
        <w:t xml:space="preserve">The coda </w:t>
      </w:r>
      <w:r w:rsidR="001C5C01">
        <w:rPr>
          <w:lang w:bidi="he-IL"/>
        </w:rPr>
        <w:t xml:space="preserve">(19:30-38) </w:t>
      </w:r>
      <w:r>
        <w:rPr>
          <w:lang w:bidi="he-IL"/>
        </w:rPr>
        <w:t>relates how Lot</w:t>
      </w:r>
      <w:r w:rsidR="00D738C1">
        <w:rPr>
          <w:lang w:bidi="he-IL"/>
        </w:rPr>
        <w:t>’s life falls further apart: he abandons Zo’ar, he takes refuge in a cave, and his daughters rape him in order</w:t>
      </w:r>
      <w:r w:rsidR="008A4269">
        <w:rPr>
          <w:lang w:bidi="he-IL"/>
        </w:rPr>
        <w:t xml:space="preserve"> to open up a future for them. </w:t>
      </w:r>
      <w:r w:rsidR="00BF7892">
        <w:rPr>
          <w:lang w:bidi="he-IL"/>
        </w:rPr>
        <w:t xml:space="preserve">The coda makes for a snide comparison with </w:t>
      </w:r>
      <w:r w:rsidR="00BF7892" w:rsidRPr="00BF7892">
        <w:rPr>
          <w:lang w:bidi="he-IL"/>
        </w:rPr>
        <w:t xml:space="preserve">Noah in </w:t>
      </w:r>
      <w:r w:rsidR="00BF7892">
        <w:rPr>
          <w:lang w:bidi="he-IL"/>
        </w:rPr>
        <w:t xml:space="preserve">his </w:t>
      </w:r>
      <w:r w:rsidR="00BF7892" w:rsidRPr="00BF7892">
        <w:rPr>
          <w:lang w:bidi="he-IL"/>
        </w:rPr>
        <w:t>drunkenness and the consequences.</w:t>
      </w:r>
      <w:r w:rsidR="00BF7892">
        <w:rPr>
          <w:lang w:bidi="he-IL"/>
        </w:rPr>
        <w:t xml:space="preserve"> </w:t>
      </w:r>
      <w:r w:rsidR="00BF7892">
        <w:t>It also</w:t>
      </w:r>
      <w:r w:rsidR="008A4269" w:rsidRPr="008A4269">
        <w:t xml:space="preserve"> contrasts the future of </w:t>
      </w:r>
      <w:r w:rsidR="00DD623F">
        <w:t>Lot’s line with the future</w:t>
      </w:r>
      <w:r w:rsidR="00BF7892">
        <w:t xml:space="preserve"> </w:t>
      </w:r>
      <w:r w:rsidR="00DD623F">
        <w:t>of Abraham’s line of which Gen 18 spoke.</w:t>
      </w:r>
      <w:r w:rsidR="00BF7892">
        <w:t xml:space="preserve"> </w:t>
      </w:r>
    </w:p>
    <w:p w14:paraId="57E8DA51" w14:textId="7222351E" w:rsidR="006E6633" w:rsidRDefault="00672F96" w:rsidP="006E6633">
      <w:pPr>
        <w:rPr>
          <w:lang w:bidi="he-IL"/>
        </w:rPr>
      </w:pPr>
      <w:r>
        <w:rPr>
          <w:b/>
          <w:lang w:bidi="he-IL"/>
        </w:rPr>
        <w:t xml:space="preserve">18:1. </w:t>
      </w:r>
      <w:r w:rsidR="00BF7892">
        <w:rPr>
          <w:lang w:bidi="he-IL"/>
        </w:rPr>
        <w:t xml:space="preserve">Genesis </w:t>
      </w:r>
      <w:r w:rsidR="001C5C01">
        <w:rPr>
          <w:lang w:bidi="he-IL"/>
        </w:rPr>
        <w:t>again repor</w:t>
      </w:r>
      <w:r w:rsidR="00BF7892">
        <w:rPr>
          <w:lang w:bidi="he-IL"/>
        </w:rPr>
        <w:t xml:space="preserve">ts how </w:t>
      </w:r>
      <w:r w:rsidR="006E6633">
        <w:rPr>
          <w:lang w:bidi="he-IL"/>
        </w:rPr>
        <w:t>Yahweh appears t</w:t>
      </w:r>
      <w:r w:rsidR="00692F10">
        <w:rPr>
          <w:lang w:bidi="he-IL"/>
        </w:rPr>
        <w:t>o Abraham (cf. 12:7; 17:1)—</w:t>
      </w:r>
      <w:r w:rsidR="006E6633">
        <w:rPr>
          <w:lang w:bidi="he-IL"/>
        </w:rPr>
        <w:t>for the last time</w:t>
      </w:r>
      <w:r w:rsidR="00BF7892">
        <w:rPr>
          <w:lang w:bidi="he-IL"/>
        </w:rPr>
        <w:t>,</w:t>
      </w:r>
      <w:r w:rsidR="006E6633">
        <w:rPr>
          <w:lang w:bidi="he-IL"/>
        </w:rPr>
        <w:t xml:space="preserve"> in so many words. </w:t>
      </w:r>
      <w:r w:rsidR="00676221">
        <w:rPr>
          <w:lang w:bidi="he-IL"/>
        </w:rPr>
        <w:t>Abraham is not nam</w:t>
      </w:r>
      <w:r w:rsidR="00833AD7">
        <w:rPr>
          <w:lang w:bidi="he-IL"/>
        </w:rPr>
        <w:t xml:space="preserve">ed, which enhances the </w:t>
      </w:r>
      <w:r w:rsidR="00676221">
        <w:rPr>
          <w:lang w:bidi="he-IL"/>
        </w:rPr>
        <w:t>continuity from Gen 17. The scene is the place where Abraham</w:t>
      </w:r>
      <w:r w:rsidR="00692F10">
        <w:rPr>
          <w:lang w:bidi="he-IL"/>
        </w:rPr>
        <w:t xml:space="preserve"> settled at 13:8 and wher</w:t>
      </w:r>
      <w:r w:rsidR="00833AD7">
        <w:rPr>
          <w:lang w:bidi="he-IL"/>
        </w:rPr>
        <w:t>e he has presumably been living</w:t>
      </w:r>
      <w:r w:rsidR="00692F10">
        <w:rPr>
          <w:lang w:bidi="he-IL"/>
        </w:rPr>
        <w:t xml:space="preserve"> ever since. Thus the story </w:t>
      </w:r>
      <w:r w:rsidR="00CE1C5B">
        <w:rPr>
          <w:lang w:bidi="he-IL"/>
        </w:rPr>
        <w:t xml:space="preserve">also </w:t>
      </w:r>
      <w:r w:rsidR="00692F10">
        <w:rPr>
          <w:lang w:bidi="he-IL"/>
        </w:rPr>
        <w:t>picks up from when he and L</w:t>
      </w:r>
      <w:r w:rsidR="00833AD7">
        <w:rPr>
          <w:lang w:bidi="he-IL"/>
        </w:rPr>
        <w:t>ot parted and Lot went to live</w:t>
      </w:r>
      <w:r w:rsidR="00692F10">
        <w:rPr>
          <w:lang w:bidi="he-IL"/>
        </w:rPr>
        <w:t xml:space="preserve"> near Sodom, that town of wrongdoers that was destined for </w:t>
      </w:r>
      <w:r w:rsidR="001C5C01">
        <w:rPr>
          <w:lang w:bidi="he-IL"/>
        </w:rPr>
        <w:t>eventual devastation</w:t>
      </w:r>
      <w:r w:rsidR="00692F10">
        <w:rPr>
          <w:lang w:bidi="he-IL"/>
        </w:rPr>
        <w:t>. Abraham has perhaps been out in the early morning checking that his staff are properly about their job</w:t>
      </w:r>
      <w:r w:rsidR="00CE1C5B">
        <w:rPr>
          <w:lang w:bidi="he-IL"/>
        </w:rPr>
        <w:t>s</w:t>
      </w:r>
      <w:r w:rsidR="00692F10">
        <w:rPr>
          <w:lang w:bidi="he-IL"/>
        </w:rPr>
        <w:t xml:space="preserve"> with the sheep and cattle, and later in the afternoon he may be out and about again, but in the middle of the day everyone would relax.</w:t>
      </w:r>
      <w:r w:rsidR="00007052">
        <w:rPr>
          <w:lang w:bidi="he-IL"/>
        </w:rPr>
        <w:t xml:space="preserve"> </w:t>
      </w:r>
      <w:r w:rsidR="00CE1C5B">
        <w:rPr>
          <w:lang w:bidi="he-IL"/>
        </w:rPr>
        <w:t xml:space="preserve">On the </w:t>
      </w:r>
      <w:r w:rsidR="00CE1C5B">
        <w:rPr>
          <w:lang w:bidi="he-IL"/>
        </w:rPr>
        <w:lastRenderedPageBreak/>
        <w:t xml:space="preserve">other hand, </w:t>
      </w:r>
      <w:r w:rsidR="00CE1C5B" w:rsidRPr="00CE1C5B">
        <w:rPr>
          <w:lang w:bidi="he-IL"/>
        </w:rPr>
        <w:t>TgNeoph and TgPsJ have the story picking up from 17:23-27 in picturing Abraham as recovering from circumcising himself, and Rashi thus sees God as engaged in sick visiting.</w:t>
      </w:r>
      <w:r w:rsidR="00CE1C5B" w:rsidRPr="00CE1C5B">
        <w:rPr>
          <w:vertAlign w:val="superscript"/>
          <w:lang w:bidi="he-IL"/>
        </w:rPr>
        <w:footnoteReference w:id="422"/>
      </w:r>
    </w:p>
    <w:p w14:paraId="1B0C3D0E" w14:textId="52279275" w:rsidR="00B512E8" w:rsidRDefault="005834FD" w:rsidP="006E6633">
      <w:pPr>
        <w:rPr>
          <w:lang w:bidi="he-IL"/>
        </w:rPr>
      </w:pPr>
      <w:r>
        <w:rPr>
          <w:b/>
          <w:lang w:bidi="he-IL"/>
        </w:rPr>
        <w:t>18:2-8</w:t>
      </w:r>
      <w:r w:rsidR="006E6633">
        <w:rPr>
          <w:b/>
          <w:lang w:bidi="he-IL"/>
        </w:rPr>
        <w:t xml:space="preserve">. </w:t>
      </w:r>
      <w:proofErr w:type="gramStart"/>
      <w:r w:rsidR="00CE1C5B">
        <w:rPr>
          <w:lang w:bidi="he-IL"/>
        </w:rPr>
        <w:t>W</w:t>
      </w:r>
      <w:r w:rsidR="00D954AF">
        <w:rPr>
          <w:lang w:bidi="he-IL"/>
        </w:rPr>
        <w:t>hat</w:t>
      </w:r>
      <w:proofErr w:type="gramEnd"/>
      <w:r w:rsidR="00D954AF">
        <w:rPr>
          <w:lang w:bidi="he-IL"/>
        </w:rPr>
        <w:t xml:space="preserve"> is </w:t>
      </w:r>
      <w:r w:rsidR="00CE1C5B">
        <w:rPr>
          <w:lang w:bidi="he-IL"/>
        </w:rPr>
        <w:t xml:space="preserve">then </w:t>
      </w:r>
      <w:r w:rsidR="00D954AF">
        <w:rPr>
          <w:lang w:bidi="he-IL"/>
        </w:rPr>
        <w:t>odd is that the declaration that Yahweh appeared to Abraham is not immediately followed by a message from Yahweh (contrast 12:7; 17:1).</w:t>
      </w:r>
      <w:r w:rsidR="00D954AF">
        <w:rPr>
          <w:rStyle w:val="FootnoteReference"/>
          <w:lang w:bidi="he-IL"/>
        </w:rPr>
        <w:footnoteReference w:id="423"/>
      </w:r>
      <w:r w:rsidR="00D954AF">
        <w:rPr>
          <w:lang w:bidi="he-IL"/>
        </w:rPr>
        <w:t xml:space="preserve"> </w:t>
      </w:r>
      <w:r w:rsidR="001C5C01">
        <w:rPr>
          <w:lang w:bidi="he-IL"/>
        </w:rPr>
        <w:t>The arrival of three travelers at</w:t>
      </w:r>
      <w:r w:rsidR="00CE1C5B" w:rsidRPr="00CE1C5B">
        <w:rPr>
          <w:lang w:bidi="he-IL"/>
        </w:rPr>
        <w:t xml:space="preserve"> </w:t>
      </w:r>
      <w:r w:rsidR="003D56BA">
        <w:rPr>
          <w:lang w:bidi="he-IL"/>
        </w:rPr>
        <w:t>“</w:t>
      </w:r>
      <w:r w:rsidR="00CE1C5B" w:rsidRPr="00CE1C5B">
        <w:rPr>
          <w:lang w:bidi="he-IL"/>
        </w:rPr>
        <w:t>the hottest (and drowsiest) time of the day</w:t>
      </w:r>
      <w:r w:rsidR="003D56BA">
        <w:rPr>
          <w:lang w:bidi="he-IL"/>
        </w:rPr>
        <w:t>”</w:t>
      </w:r>
      <w:r w:rsidR="00CE1C5B" w:rsidRPr="00CE1C5B">
        <w:rPr>
          <w:vertAlign w:val="superscript"/>
          <w:lang w:bidi="he-IL"/>
        </w:rPr>
        <w:footnoteReference w:id="424"/>
      </w:r>
      <w:r w:rsidR="00CE1C5B" w:rsidRPr="00CE1C5B">
        <w:rPr>
          <w:lang w:bidi="he-IL"/>
        </w:rPr>
        <w:t xml:space="preserve"> </w:t>
      </w:r>
      <w:r w:rsidR="00833AD7">
        <w:rPr>
          <w:lang w:bidi="he-IL"/>
        </w:rPr>
        <w:t xml:space="preserve">is </w:t>
      </w:r>
      <w:r w:rsidR="001C5C01">
        <w:rPr>
          <w:lang w:bidi="he-IL"/>
        </w:rPr>
        <w:t>surprising</w:t>
      </w:r>
      <w:r w:rsidR="00CE1C5B">
        <w:rPr>
          <w:lang w:bidi="he-IL"/>
        </w:rPr>
        <w:t>. O</w:t>
      </w:r>
      <w:r w:rsidR="00692F10">
        <w:rPr>
          <w:lang w:bidi="he-IL"/>
        </w:rPr>
        <w:t>ne might expect them to be re</w:t>
      </w:r>
      <w:r w:rsidR="001C5C01">
        <w:rPr>
          <w:lang w:bidi="he-IL"/>
        </w:rPr>
        <w:t>sting</w:t>
      </w:r>
      <w:r w:rsidR="00CE1C5B">
        <w:rPr>
          <w:lang w:bidi="he-IL"/>
        </w:rPr>
        <w:t>—</w:t>
      </w:r>
      <w:r w:rsidR="00FA7BEF">
        <w:rPr>
          <w:lang w:bidi="he-IL"/>
        </w:rPr>
        <w:t>though the heat does not usually get oppressive along th</w:t>
      </w:r>
      <w:r w:rsidR="001C5C01">
        <w:rPr>
          <w:lang w:bidi="he-IL"/>
        </w:rPr>
        <w:t>e mountain ridge</w:t>
      </w:r>
      <w:r w:rsidR="00D163B0">
        <w:rPr>
          <w:lang w:bidi="he-IL"/>
        </w:rPr>
        <w:t xml:space="preserve"> where Mamre sits</w:t>
      </w:r>
      <w:r w:rsidR="00692F10">
        <w:rPr>
          <w:lang w:bidi="he-IL"/>
        </w:rPr>
        <w:t xml:space="preserve">. </w:t>
      </w:r>
      <w:r w:rsidR="00C30EAB">
        <w:rPr>
          <w:lang w:bidi="he-IL"/>
        </w:rPr>
        <w:t>They apparently appear suddenly, a little startlingly, as supernatural figures do.</w:t>
      </w:r>
      <w:r w:rsidR="007A5CB6">
        <w:rPr>
          <w:rStyle w:val="FootnoteReference"/>
          <w:lang w:bidi="he-IL"/>
        </w:rPr>
        <w:footnoteReference w:id="425"/>
      </w:r>
      <w:r w:rsidR="00C30EAB">
        <w:rPr>
          <w:lang w:bidi="he-IL"/>
        </w:rPr>
        <w:t xml:space="preserve"> </w:t>
      </w:r>
      <w:r w:rsidR="00CE1C5B">
        <w:rPr>
          <w:lang w:bidi="he-IL"/>
        </w:rPr>
        <w:t>But</w:t>
      </w:r>
      <w:r w:rsidR="00CE1C5B" w:rsidRPr="00CE1C5B">
        <w:rPr>
          <w:lang w:bidi="he-IL"/>
        </w:rPr>
        <w:t xml:space="preserve"> </w:t>
      </w:r>
      <w:r w:rsidR="003D56BA">
        <w:rPr>
          <w:lang w:bidi="he-IL"/>
        </w:rPr>
        <w:t>“</w:t>
      </w:r>
      <w:r w:rsidR="00CE1C5B" w:rsidRPr="00CE1C5B">
        <w:rPr>
          <w:lang w:bidi="he-IL"/>
        </w:rPr>
        <w:t>appeared</w:t>
      </w:r>
      <w:r w:rsidR="003D56BA">
        <w:rPr>
          <w:lang w:bidi="he-IL"/>
        </w:rPr>
        <w:t>”</w:t>
      </w:r>
      <w:r w:rsidR="00D163B0">
        <w:rPr>
          <w:lang w:bidi="he-IL"/>
        </w:rPr>
        <w:t xml:space="preserve"> was an odd word, because</w:t>
      </w:r>
      <w:r w:rsidR="00CE1C5B" w:rsidRPr="00CE1C5B">
        <w:rPr>
          <w:lang w:bidi="he-IL"/>
        </w:rPr>
        <w:t xml:space="preserve"> Yahweh is concealed. He is </w:t>
      </w:r>
      <w:r w:rsidR="003D56BA">
        <w:rPr>
          <w:lang w:bidi="he-IL"/>
        </w:rPr>
        <w:t>“</w:t>
      </w:r>
      <w:r w:rsidR="00CE1C5B" w:rsidRPr="00CE1C5B">
        <w:rPr>
          <w:lang w:bidi="he-IL"/>
        </w:rPr>
        <w:t>in disguise.</w:t>
      </w:r>
      <w:r w:rsidR="003D56BA">
        <w:rPr>
          <w:lang w:bidi="he-IL"/>
        </w:rPr>
        <w:t>”</w:t>
      </w:r>
      <w:r w:rsidR="00CE1C5B" w:rsidRPr="00CE1C5B">
        <w:rPr>
          <w:vertAlign w:val="superscript"/>
          <w:lang w:bidi="he-IL"/>
        </w:rPr>
        <w:footnoteReference w:id="426"/>
      </w:r>
      <w:r w:rsidR="00CE1C5B" w:rsidRPr="00CE1C5B">
        <w:rPr>
          <w:lang w:bidi="he-IL"/>
        </w:rPr>
        <w:t xml:space="preserve"> </w:t>
      </w:r>
      <w:r w:rsidR="00EE4CD1">
        <w:rPr>
          <w:lang w:bidi="he-IL"/>
        </w:rPr>
        <w:t>T</w:t>
      </w:r>
      <w:r w:rsidR="00EE4CD1" w:rsidRPr="00EE4CD1">
        <w:rPr>
          <w:lang w:bidi="he-IL"/>
        </w:rPr>
        <w:t xml:space="preserve">he chapter moves from telling the story from the narrator’s perspective in v. 1 to telling it from Abraham’s perspective. </w:t>
      </w:r>
      <w:r w:rsidR="00FA7BEF">
        <w:rPr>
          <w:lang w:bidi="he-IL"/>
        </w:rPr>
        <w:t>Although the narrator has told us that Y</w:t>
      </w:r>
      <w:r w:rsidR="00CE1C5B">
        <w:rPr>
          <w:lang w:bidi="he-IL"/>
        </w:rPr>
        <w:t>a</w:t>
      </w:r>
      <w:r w:rsidR="00EE4CD1">
        <w:rPr>
          <w:lang w:bidi="he-IL"/>
        </w:rPr>
        <w:t>hweh is appearing to Abraham, Yahweh</w:t>
      </w:r>
      <w:r w:rsidR="00CE1C5B">
        <w:rPr>
          <w:lang w:bidi="he-IL"/>
        </w:rPr>
        <w:t xml:space="preserve"> does </w:t>
      </w:r>
      <w:r w:rsidR="006E6633">
        <w:rPr>
          <w:lang w:bidi="he-IL"/>
        </w:rPr>
        <w:t>no</w:t>
      </w:r>
      <w:r w:rsidR="00EE4CD1">
        <w:rPr>
          <w:lang w:bidi="he-IL"/>
        </w:rPr>
        <w:t xml:space="preserve">t </w:t>
      </w:r>
      <w:r w:rsidR="00CE1C5B">
        <w:rPr>
          <w:lang w:bidi="he-IL"/>
        </w:rPr>
        <w:t xml:space="preserve">make it </w:t>
      </w:r>
      <w:r w:rsidR="00CD4618">
        <w:rPr>
          <w:lang w:bidi="he-IL"/>
        </w:rPr>
        <w:t>obvious to hi</w:t>
      </w:r>
      <w:r w:rsidR="00FA7BEF">
        <w:rPr>
          <w:lang w:bidi="he-IL"/>
        </w:rPr>
        <w:t xml:space="preserve">m. There is no </w:t>
      </w:r>
      <w:r w:rsidR="003D56BA">
        <w:rPr>
          <w:lang w:bidi="he-IL"/>
        </w:rPr>
        <w:t>“</w:t>
      </w:r>
      <w:r w:rsidR="00FA7BEF">
        <w:rPr>
          <w:lang w:bidi="he-IL"/>
        </w:rPr>
        <w:t>I am Yahweh</w:t>
      </w:r>
      <w:r w:rsidR="003D56BA">
        <w:rPr>
          <w:lang w:bidi="he-IL"/>
        </w:rPr>
        <w:t>”</w:t>
      </w:r>
      <w:r w:rsidR="00FA7BEF">
        <w:rPr>
          <w:lang w:bidi="he-IL"/>
        </w:rPr>
        <w:t xml:space="preserve"> or </w:t>
      </w:r>
      <w:r w:rsidR="003D56BA">
        <w:rPr>
          <w:lang w:bidi="he-IL"/>
        </w:rPr>
        <w:t>“</w:t>
      </w:r>
      <w:r w:rsidR="00FA7BEF">
        <w:rPr>
          <w:lang w:bidi="he-IL"/>
        </w:rPr>
        <w:t>I am El Shadda</w:t>
      </w:r>
      <w:r w:rsidR="00EE4CD1">
        <w:rPr>
          <w:lang w:bidi="he-IL"/>
        </w:rPr>
        <w:t>y</w:t>
      </w:r>
      <w:r w:rsidR="003D56BA">
        <w:rPr>
          <w:lang w:bidi="he-IL"/>
        </w:rPr>
        <w:t>”</w:t>
      </w:r>
      <w:r w:rsidR="00EE4CD1">
        <w:rPr>
          <w:lang w:bidi="he-IL"/>
        </w:rPr>
        <w:t xml:space="preserve"> or </w:t>
      </w:r>
      <w:r w:rsidR="003D56BA">
        <w:rPr>
          <w:lang w:bidi="he-IL"/>
        </w:rPr>
        <w:t>“</w:t>
      </w:r>
      <w:r w:rsidR="00EE4CD1">
        <w:rPr>
          <w:lang w:bidi="he-IL"/>
        </w:rPr>
        <w:t>I am your shield.</w:t>
      </w:r>
      <w:r w:rsidR="003D56BA">
        <w:rPr>
          <w:lang w:bidi="he-IL"/>
        </w:rPr>
        <w:t>”</w:t>
      </w:r>
      <w:r w:rsidR="00EE4CD1">
        <w:rPr>
          <w:lang w:bidi="he-IL"/>
        </w:rPr>
        <w:t xml:space="preserve"> All Abraham</w:t>
      </w:r>
      <w:r w:rsidR="00FA7BEF">
        <w:rPr>
          <w:lang w:bidi="he-IL"/>
        </w:rPr>
        <w:t xml:space="preserve"> sees is three </w:t>
      </w:r>
      <w:r w:rsidR="003D56BA">
        <w:rPr>
          <w:lang w:bidi="he-IL"/>
        </w:rPr>
        <w:t>“</w:t>
      </w:r>
      <w:r w:rsidR="005F2DEE">
        <w:rPr>
          <w:lang w:bidi="he-IL"/>
        </w:rPr>
        <w:t>men</w:t>
      </w:r>
      <w:r w:rsidR="003D56BA">
        <w:rPr>
          <w:lang w:bidi="he-IL"/>
        </w:rPr>
        <w:t>”</w:t>
      </w:r>
      <w:r w:rsidR="005F2DEE">
        <w:rPr>
          <w:lang w:bidi="he-IL"/>
        </w:rPr>
        <w:t>: the narrative’s “there” invites us to watch their arrival with him.</w:t>
      </w:r>
      <w:r w:rsidR="00FA7BEF">
        <w:rPr>
          <w:lang w:bidi="he-IL"/>
        </w:rPr>
        <w:t xml:space="preserve"> </w:t>
      </w:r>
      <w:r w:rsidR="001F224C">
        <w:rPr>
          <w:lang w:bidi="he-IL"/>
        </w:rPr>
        <w:t xml:space="preserve">He is </w:t>
      </w:r>
      <w:r w:rsidR="00D77DB6">
        <w:rPr>
          <w:lang w:bidi="he-IL"/>
        </w:rPr>
        <w:t>ab</w:t>
      </w:r>
      <w:r w:rsidR="00D163B0">
        <w:rPr>
          <w:lang w:bidi="he-IL"/>
        </w:rPr>
        <w:t>out to show</w:t>
      </w:r>
      <w:r w:rsidR="001F224C">
        <w:rPr>
          <w:lang w:bidi="he-IL"/>
        </w:rPr>
        <w:t xml:space="preserve"> hospitality to angels w</w:t>
      </w:r>
      <w:r w:rsidR="00D163B0">
        <w:rPr>
          <w:lang w:bidi="he-IL"/>
        </w:rPr>
        <w:t>ithout knowing it</w:t>
      </w:r>
      <w:r w:rsidR="001F224C">
        <w:rPr>
          <w:lang w:bidi="he-IL"/>
        </w:rPr>
        <w:t xml:space="preserve"> (Heb 13:2).</w:t>
      </w:r>
      <w:r w:rsidR="001F224C">
        <w:rPr>
          <w:rStyle w:val="FootnoteReference"/>
          <w:lang w:bidi="he-IL"/>
        </w:rPr>
        <w:footnoteReference w:id="427"/>
      </w:r>
      <w:r w:rsidR="001F224C">
        <w:rPr>
          <w:lang w:bidi="he-IL"/>
        </w:rPr>
        <w:t xml:space="preserve"> </w:t>
      </w:r>
      <w:r w:rsidR="00EE4CD1" w:rsidRPr="00EE4CD1">
        <w:rPr>
          <w:lang w:bidi="he-IL"/>
        </w:rPr>
        <w:t xml:space="preserve">Why are there three of them, TgNeoph </w:t>
      </w:r>
      <w:r w:rsidR="00EE4CD1">
        <w:rPr>
          <w:lang w:bidi="he-IL"/>
        </w:rPr>
        <w:t>and TgPsJ ask?—o</w:t>
      </w:r>
      <w:r w:rsidR="00EE4CD1" w:rsidRPr="00EE4CD1">
        <w:rPr>
          <w:lang w:bidi="he-IL"/>
        </w:rPr>
        <w:t>ne to give the message about Sara</w:t>
      </w:r>
      <w:r w:rsidR="00EE4CD1">
        <w:rPr>
          <w:lang w:bidi="he-IL"/>
        </w:rPr>
        <w:t>h having a baby, one to rescue L</w:t>
      </w:r>
      <w:r w:rsidR="00EE4CD1" w:rsidRPr="00EE4CD1">
        <w:rPr>
          <w:lang w:bidi="he-IL"/>
        </w:rPr>
        <w:t>ot, one t</w:t>
      </w:r>
      <w:r w:rsidR="00CD4618">
        <w:rPr>
          <w:lang w:bidi="he-IL"/>
        </w:rPr>
        <w:t>o bring the disaster on Sodom (</w:t>
      </w:r>
      <w:r w:rsidR="00CD4618" w:rsidRPr="00CD4618">
        <w:rPr>
          <w:i/>
          <w:lang w:bidi="he-IL"/>
        </w:rPr>
        <w:t>b</w:t>
      </w:r>
      <w:r w:rsidR="00EE4CD1" w:rsidRPr="00CD4618">
        <w:rPr>
          <w:i/>
          <w:lang w:bidi="he-IL"/>
        </w:rPr>
        <w:t xml:space="preserve">. Baba Metzia </w:t>
      </w:r>
      <w:r w:rsidR="00EE4CD1" w:rsidRPr="00EE4CD1">
        <w:rPr>
          <w:lang w:bidi="he-IL"/>
        </w:rPr>
        <w:t>86 identifies them as Michael, Raphael, and Gabriel).</w:t>
      </w:r>
      <w:r w:rsidR="00EE4CD1" w:rsidRPr="00EE4CD1">
        <w:rPr>
          <w:vertAlign w:val="superscript"/>
          <w:lang w:bidi="he-IL"/>
        </w:rPr>
        <w:footnoteReference w:id="428"/>
      </w:r>
      <w:r w:rsidR="00EE4CD1">
        <w:rPr>
          <w:lang w:bidi="he-IL"/>
        </w:rPr>
        <w:t xml:space="preserve"> It fits much of the presentation if they are </w:t>
      </w:r>
      <w:r w:rsidR="00EE4CD1" w:rsidRPr="00EE4CD1">
        <w:rPr>
          <w:lang w:bidi="he-IL"/>
        </w:rPr>
        <w:t>Yahweh and two envoys.</w:t>
      </w:r>
      <w:r w:rsidR="00EE4CD1" w:rsidRPr="00EE4CD1">
        <w:rPr>
          <w:vertAlign w:val="superscript"/>
          <w:lang w:bidi="he-IL"/>
        </w:rPr>
        <w:footnoteReference w:id="429"/>
      </w:r>
      <w:r w:rsidR="00EE4CD1">
        <w:rPr>
          <w:lang w:bidi="he-IL"/>
        </w:rPr>
        <w:t xml:space="preserve"> But t</w:t>
      </w:r>
      <w:r w:rsidR="00636F36">
        <w:rPr>
          <w:lang w:bidi="he-IL"/>
        </w:rPr>
        <w:t>hrough the two chapters there is no absolute consistency</w:t>
      </w:r>
      <w:r w:rsidR="00D163B0">
        <w:rPr>
          <w:lang w:bidi="he-IL"/>
        </w:rPr>
        <w:t xml:space="preserve"> or consistent development in</w:t>
      </w:r>
      <w:r w:rsidR="00636F36">
        <w:rPr>
          <w:lang w:bidi="he-IL"/>
        </w:rPr>
        <w:t xml:space="preserve"> the presen</w:t>
      </w:r>
      <w:r w:rsidR="00D163B0">
        <w:rPr>
          <w:lang w:bidi="he-IL"/>
        </w:rPr>
        <w:t>tation</w:t>
      </w:r>
      <w:r w:rsidR="00EE4CD1">
        <w:rPr>
          <w:lang w:bidi="he-IL"/>
        </w:rPr>
        <w:t xml:space="preserve"> </w:t>
      </w:r>
      <w:r w:rsidR="00636F36">
        <w:rPr>
          <w:lang w:bidi="he-IL"/>
        </w:rPr>
        <w:t>(God and/or men and/or angels?), which gives a true impr</w:t>
      </w:r>
      <w:r w:rsidR="00D163B0">
        <w:rPr>
          <w:lang w:bidi="he-IL"/>
        </w:rPr>
        <w:t xml:space="preserve">ession of an ambiguity </w:t>
      </w:r>
      <w:r w:rsidR="00636F36">
        <w:rPr>
          <w:lang w:bidi="he-IL"/>
        </w:rPr>
        <w:t xml:space="preserve">inherent in the experience and the event. </w:t>
      </w:r>
      <w:r w:rsidR="00EE4CD1">
        <w:rPr>
          <w:lang w:bidi="he-IL"/>
        </w:rPr>
        <w:t>Abraham’s initial</w:t>
      </w:r>
      <w:r w:rsidR="00CD4618">
        <w:rPr>
          <w:lang w:bidi="he-IL"/>
        </w:rPr>
        <w:t xml:space="preserve"> look i</w:t>
      </w:r>
      <w:r w:rsidR="00FA7BEF">
        <w:rPr>
          <w:lang w:bidi="he-IL"/>
        </w:rPr>
        <w:t>s t</w:t>
      </w:r>
      <w:r w:rsidR="00D163B0">
        <w:rPr>
          <w:lang w:bidi="he-IL"/>
        </w:rPr>
        <w:t>he casual glance of someone</w:t>
      </w:r>
      <w:r w:rsidR="00FA7BEF">
        <w:rPr>
          <w:lang w:bidi="he-IL"/>
        </w:rPr>
        <w:t xml:space="preserve"> half asleep, bu</w:t>
      </w:r>
      <w:r w:rsidR="00921D35">
        <w:rPr>
          <w:lang w:bidi="he-IL"/>
        </w:rPr>
        <w:t>t it soon has him wide awake;</w:t>
      </w:r>
      <w:r w:rsidR="00FA7BEF">
        <w:rPr>
          <w:lang w:bidi="he-IL"/>
        </w:rPr>
        <w:t xml:space="preserve"> the old man leaps to his feet</w:t>
      </w:r>
      <w:r w:rsidR="00D163B0">
        <w:rPr>
          <w:lang w:bidi="he-IL"/>
        </w:rPr>
        <w:t>,</w:t>
      </w:r>
      <w:r w:rsidR="00EE4CD1">
        <w:rPr>
          <w:lang w:bidi="he-IL"/>
        </w:rPr>
        <w:t xml:space="preserve"> then bows to the ground. The three figures are not </w:t>
      </w:r>
      <w:r w:rsidR="00921D35">
        <w:rPr>
          <w:lang w:bidi="he-IL"/>
        </w:rPr>
        <w:t>giving the impression that they are just passing and are on their way (contrast Luke 24:28). They have deliberately stopped and they are hanging about waiting, like Abraham’s servant at the well (Gen 24:13).</w:t>
      </w:r>
      <w:r w:rsidR="006E758C">
        <w:rPr>
          <w:lang w:bidi="he-IL"/>
        </w:rPr>
        <w:t xml:space="preserve"> </w:t>
      </w:r>
    </w:p>
    <w:p w14:paraId="3F8EFD94" w14:textId="77777777" w:rsidR="005834FD" w:rsidRDefault="00921D35" w:rsidP="006E6633">
      <w:pPr>
        <w:rPr>
          <w:lang w:bidi="he-IL"/>
        </w:rPr>
      </w:pPr>
      <w:r>
        <w:rPr>
          <w:lang w:bidi="he-IL"/>
        </w:rPr>
        <w:t>Abra</w:t>
      </w:r>
      <w:r w:rsidR="00F10A98">
        <w:rPr>
          <w:lang w:bidi="he-IL"/>
        </w:rPr>
        <w:t xml:space="preserve">ham knows his duty </w:t>
      </w:r>
      <w:r>
        <w:rPr>
          <w:lang w:bidi="he-IL"/>
        </w:rPr>
        <w:t>in the circumstances</w:t>
      </w:r>
      <w:r w:rsidR="005834FD">
        <w:rPr>
          <w:lang w:bidi="he-IL"/>
        </w:rPr>
        <w:t xml:space="preserve"> (vv. 3-5)</w:t>
      </w:r>
      <w:r w:rsidR="00D163B0">
        <w:rPr>
          <w:lang w:bidi="he-IL"/>
        </w:rPr>
        <w:t xml:space="preserve">. There are no </w:t>
      </w:r>
      <w:r>
        <w:rPr>
          <w:lang w:bidi="he-IL"/>
        </w:rPr>
        <w:t>truck st</w:t>
      </w:r>
      <w:r w:rsidR="00F10A98">
        <w:rPr>
          <w:lang w:bidi="he-IL"/>
        </w:rPr>
        <w:t>ops along this mountain crest. While t</w:t>
      </w:r>
      <w:r>
        <w:rPr>
          <w:lang w:bidi="he-IL"/>
        </w:rPr>
        <w:t xml:space="preserve">ravelers would not expect free food </w:t>
      </w:r>
      <w:r w:rsidR="00F10A98">
        <w:rPr>
          <w:lang w:bidi="he-IL"/>
        </w:rPr>
        <w:t>from settlements they pass</w:t>
      </w:r>
      <w:r w:rsidR="00D163B0">
        <w:rPr>
          <w:lang w:bidi="he-IL"/>
        </w:rPr>
        <w:t>ed</w:t>
      </w:r>
      <w:r w:rsidR="00F10A98">
        <w:rPr>
          <w:lang w:bidi="he-IL"/>
        </w:rPr>
        <w:t xml:space="preserve">, </w:t>
      </w:r>
      <w:r>
        <w:rPr>
          <w:lang w:bidi="he-IL"/>
        </w:rPr>
        <w:t xml:space="preserve">they </w:t>
      </w:r>
      <w:r w:rsidR="005834FD">
        <w:rPr>
          <w:lang w:bidi="he-IL"/>
        </w:rPr>
        <w:t xml:space="preserve">might expect </w:t>
      </w:r>
      <w:r w:rsidR="00D163B0">
        <w:rPr>
          <w:lang w:bidi="he-IL"/>
        </w:rPr>
        <w:t xml:space="preserve">to be given water and </w:t>
      </w:r>
      <w:r w:rsidR="005834FD">
        <w:rPr>
          <w:lang w:bidi="he-IL"/>
        </w:rPr>
        <w:t>to be</w:t>
      </w:r>
      <w:r>
        <w:rPr>
          <w:lang w:bidi="he-IL"/>
        </w:rPr>
        <w:t xml:space="preserve"> </w:t>
      </w:r>
      <w:r w:rsidR="005834FD">
        <w:rPr>
          <w:lang w:bidi="he-IL"/>
        </w:rPr>
        <w:t>able to barter for fo</w:t>
      </w:r>
      <w:r w:rsidR="00F10A98">
        <w:rPr>
          <w:lang w:bidi="he-IL"/>
        </w:rPr>
        <w:t xml:space="preserve">od. Abraham’s words to them </w:t>
      </w:r>
      <w:r w:rsidR="005834FD">
        <w:rPr>
          <w:lang w:bidi="he-IL"/>
        </w:rPr>
        <w:t>may</w:t>
      </w:r>
      <w:r w:rsidR="00F10A98">
        <w:rPr>
          <w:lang w:bidi="he-IL"/>
        </w:rPr>
        <w:t xml:space="preserve"> </w:t>
      </w:r>
      <w:r w:rsidR="005834FD">
        <w:rPr>
          <w:lang w:bidi="he-IL"/>
        </w:rPr>
        <w:t>be conventional, but the verses that follow will sh</w:t>
      </w:r>
      <w:r w:rsidR="00F10A98">
        <w:rPr>
          <w:lang w:bidi="he-IL"/>
        </w:rPr>
        <w:t>ow that they are not just words (t</w:t>
      </w:r>
      <w:r w:rsidR="00DB176B">
        <w:rPr>
          <w:lang w:bidi="he-IL"/>
        </w:rPr>
        <w:t xml:space="preserve">hough one does wonder </w:t>
      </w:r>
      <w:r w:rsidR="00D163B0">
        <w:rPr>
          <w:lang w:bidi="he-IL"/>
        </w:rPr>
        <w:t xml:space="preserve">if he treated every passerby </w:t>
      </w:r>
      <w:r w:rsidR="00DB176B">
        <w:rPr>
          <w:lang w:bidi="he-IL"/>
        </w:rPr>
        <w:t>this way</w:t>
      </w:r>
      <w:r w:rsidR="00F10A98">
        <w:rPr>
          <w:lang w:bidi="he-IL"/>
        </w:rPr>
        <w:t>, or whether there was evidently something special about these three)</w:t>
      </w:r>
      <w:r w:rsidR="00DB176B">
        <w:rPr>
          <w:lang w:bidi="he-IL"/>
        </w:rPr>
        <w:t>.</w:t>
      </w:r>
      <w:r w:rsidR="00DB176B">
        <w:rPr>
          <w:rStyle w:val="FootnoteReference"/>
          <w:lang w:bidi="he-IL"/>
        </w:rPr>
        <w:footnoteReference w:id="430"/>
      </w:r>
    </w:p>
    <w:p w14:paraId="6BA2F925" w14:textId="77777777" w:rsidR="00921D35" w:rsidRDefault="00115B20" w:rsidP="006E6633">
      <w:pPr>
        <w:rPr>
          <w:lang w:bidi="he-IL"/>
        </w:rPr>
      </w:pPr>
      <w:r>
        <w:rPr>
          <w:lang w:bidi="he-IL"/>
        </w:rPr>
        <w:t>Even to a non-</w:t>
      </w:r>
      <w:r w:rsidR="00EF2908">
        <w:rPr>
          <w:lang w:bidi="he-IL"/>
        </w:rPr>
        <w:t xml:space="preserve">Western reader the account that follows (vv. 6-8) will </w:t>
      </w:r>
      <w:r>
        <w:rPr>
          <w:lang w:bidi="he-IL"/>
        </w:rPr>
        <w:t xml:space="preserve">surely </w:t>
      </w:r>
      <w:r w:rsidR="00EF2908">
        <w:rPr>
          <w:lang w:bidi="he-IL"/>
        </w:rPr>
        <w:t>seem amusing</w:t>
      </w:r>
      <w:r>
        <w:rPr>
          <w:lang w:bidi="he-IL"/>
        </w:rPr>
        <w:t xml:space="preserve">. </w:t>
      </w:r>
      <w:r w:rsidR="00CD5994">
        <w:rPr>
          <w:lang w:bidi="he-IL"/>
        </w:rPr>
        <w:t>The impression one gets is not of th</w:t>
      </w:r>
      <w:r w:rsidR="00F10A98">
        <w:rPr>
          <w:lang w:bidi="he-IL"/>
        </w:rPr>
        <w:t xml:space="preserve">e patriarch of a large clan </w:t>
      </w:r>
      <w:r w:rsidR="00CD5994">
        <w:rPr>
          <w:lang w:bidi="he-IL"/>
        </w:rPr>
        <w:t xml:space="preserve">but of a man and his wife with their single </w:t>
      </w:r>
      <w:r w:rsidR="003D56BA">
        <w:rPr>
          <w:lang w:bidi="he-IL"/>
        </w:rPr>
        <w:t>“</w:t>
      </w:r>
      <w:r w:rsidR="00CD5994">
        <w:rPr>
          <w:lang w:bidi="he-IL"/>
        </w:rPr>
        <w:t>boy.</w:t>
      </w:r>
      <w:r w:rsidR="003D56BA">
        <w:rPr>
          <w:lang w:bidi="he-IL"/>
        </w:rPr>
        <w:t>”</w:t>
      </w:r>
      <w:r w:rsidR="00CD5994">
        <w:rPr>
          <w:lang w:bidi="he-IL"/>
        </w:rPr>
        <w:t xml:space="preserve"> </w:t>
      </w:r>
      <w:r w:rsidR="007A5CB6">
        <w:rPr>
          <w:lang w:bidi="he-IL"/>
        </w:rPr>
        <w:t xml:space="preserve">It is of course the man’s job to fire up the grill and the woman’s to care for the other things. </w:t>
      </w:r>
      <w:r w:rsidR="00F10A98">
        <w:rPr>
          <w:lang w:bidi="he-IL"/>
        </w:rPr>
        <w:t>So t</w:t>
      </w:r>
      <w:r>
        <w:rPr>
          <w:lang w:bidi="he-IL"/>
        </w:rPr>
        <w:t>he ninety-nine-year-old</w:t>
      </w:r>
      <w:r w:rsidR="00D163B0">
        <w:rPr>
          <w:lang w:bidi="he-IL"/>
        </w:rPr>
        <w:t xml:space="preserve"> </w:t>
      </w:r>
      <w:r w:rsidR="00F10A98">
        <w:rPr>
          <w:lang w:bidi="he-IL"/>
        </w:rPr>
        <w:t>is scurry</w:t>
      </w:r>
      <w:r w:rsidR="00EF2908">
        <w:rPr>
          <w:lang w:bidi="he-IL"/>
        </w:rPr>
        <w:t xml:space="preserve">ing here and running there and </w:t>
      </w:r>
      <w:r>
        <w:rPr>
          <w:lang w:bidi="he-IL"/>
        </w:rPr>
        <w:t xml:space="preserve">hurrying his eighty-nine-year-old wife to get making </w:t>
      </w:r>
      <w:r w:rsidR="001F224C">
        <w:rPr>
          <w:lang w:bidi="he-IL"/>
        </w:rPr>
        <w:t xml:space="preserve">a vast amount of </w:t>
      </w:r>
      <w:r>
        <w:rPr>
          <w:lang w:bidi="he-IL"/>
        </w:rPr>
        <w:t xml:space="preserve">bread, while he himself is hastening to </w:t>
      </w:r>
      <w:r w:rsidR="002A1D1D">
        <w:rPr>
          <w:lang w:bidi="he-IL"/>
        </w:rPr>
        <w:t>kill, prepare, and roast a calf</w:t>
      </w:r>
      <w:r>
        <w:rPr>
          <w:lang w:bidi="he-IL"/>
        </w:rPr>
        <w:t xml:space="preserve"> </w:t>
      </w:r>
      <w:r w:rsidR="002A1D1D">
        <w:rPr>
          <w:lang w:bidi="he-IL"/>
        </w:rPr>
        <w:t>(</w:t>
      </w:r>
      <w:r>
        <w:rPr>
          <w:lang w:bidi="he-IL"/>
        </w:rPr>
        <w:t>which I am advised</w:t>
      </w:r>
      <w:r w:rsidR="00624A0A">
        <w:rPr>
          <w:lang w:bidi="he-IL"/>
        </w:rPr>
        <w:t xml:space="preserve"> would take some eight hours</w:t>
      </w:r>
      <w:r w:rsidR="002A1D1D">
        <w:rPr>
          <w:lang w:bidi="he-IL"/>
        </w:rPr>
        <w:t>),</w:t>
      </w:r>
      <w:r w:rsidR="001F224C">
        <w:rPr>
          <w:lang w:bidi="he-IL"/>
        </w:rPr>
        <w:t xml:space="preserve"> along with the appropriate side dishes</w:t>
      </w:r>
      <w:r w:rsidR="00624A0A">
        <w:rPr>
          <w:lang w:bidi="he-IL"/>
        </w:rPr>
        <w:t xml:space="preserve">. </w:t>
      </w:r>
      <w:r w:rsidR="002A1D1D">
        <w:rPr>
          <w:lang w:bidi="he-IL"/>
        </w:rPr>
        <w:t>Perhaps one is rather to imagine him butchering some steaks and grilling or boiling them before he</w:t>
      </w:r>
      <w:r w:rsidR="007443AD">
        <w:rPr>
          <w:lang w:bidi="he-IL"/>
        </w:rPr>
        <w:t xml:space="preserve"> presents them to his guests</w:t>
      </w:r>
      <w:r w:rsidR="004568A0">
        <w:rPr>
          <w:lang w:bidi="he-IL"/>
        </w:rPr>
        <w:t>, though the word order in v. 7a already implies that his action will take more than a few minutes, as will Sarah’s</w:t>
      </w:r>
      <w:r w:rsidR="007443AD">
        <w:rPr>
          <w:lang w:bidi="he-IL"/>
        </w:rPr>
        <w:t>.</w:t>
      </w:r>
      <w:r w:rsidR="004568A0">
        <w:rPr>
          <w:rStyle w:val="FootnoteReference"/>
          <w:lang w:bidi="he-IL"/>
        </w:rPr>
        <w:footnoteReference w:id="431"/>
      </w:r>
      <w:r w:rsidR="007443AD">
        <w:rPr>
          <w:lang w:bidi="he-IL"/>
        </w:rPr>
        <w:t xml:space="preserve"> He</w:t>
      </w:r>
      <w:r w:rsidR="002A1D1D">
        <w:rPr>
          <w:lang w:bidi="he-IL"/>
        </w:rPr>
        <w:t xml:space="preserve"> lea</w:t>
      </w:r>
      <w:r w:rsidR="00F10A98">
        <w:rPr>
          <w:lang w:bidi="he-IL"/>
        </w:rPr>
        <w:t>ves the guests</w:t>
      </w:r>
      <w:r w:rsidR="007443AD">
        <w:rPr>
          <w:lang w:bidi="he-IL"/>
        </w:rPr>
        <w:t xml:space="preserve"> to eat, standing</w:t>
      </w:r>
      <w:r w:rsidR="0050375A" w:rsidRPr="0050375A">
        <w:rPr>
          <w:lang w:bidi="he-IL"/>
        </w:rPr>
        <w:t xml:space="preserve"> a little way</w:t>
      </w:r>
      <w:r w:rsidR="00D163B0">
        <w:rPr>
          <w:lang w:bidi="he-IL"/>
        </w:rPr>
        <w:t xml:space="preserve"> away like a</w:t>
      </w:r>
      <w:r w:rsidR="00F10A98">
        <w:rPr>
          <w:lang w:bidi="he-IL"/>
        </w:rPr>
        <w:t xml:space="preserve"> server; t</w:t>
      </w:r>
      <w:r w:rsidR="002A1D1D">
        <w:rPr>
          <w:lang w:bidi="he-IL"/>
        </w:rPr>
        <w:t>he host would giv</w:t>
      </w:r>
      <w:r w:rsidR="00D163B0">
        <w:rPr>
          <w:lang w:bidi="he-IL"/>
        </w:rPr>
        <w:t xml:space="preserve">e the guests the best and </w:t>
      </w:r>
      <w:r w:rsidR="002A1D1D">
        <w:rPr>
          <w:lang w:bidi="he-IL"/>
        </w:rPr>
        <w:t>stand back himself</w:t>
      </w:r>
      <w:r w:rsidR="0050375A">
        <w:rPr>
          <w:lang w:bidi="he-IL"/>
        </w:rPr>
        <w:t xml:space="preserve">. </w:t>
      </w:r>
      <w:r>
        <w:rPr>
          <w:lang w:bidi="he-IL"/>
        </w:rPr>
        <w:t>I</w:t>
      </w:r>
      <w:r w:rsidR="00F10A98">
        <w:rPr>
          <w:lang w:bidi="he-IL"/>
        </w:rPr>
        <w:t xml:space="preserve">t is just as well that </w:t>
      </w:r>
      <w:r>
        <w:rPr>
          <w:lang w:bidi="he-IL"/>
        </w:rPr>
        <w:t xml:space="preserve">the three </w:t>
      </w:r>
      <w:r w:rsidR="003D56BA">
        <w:rPr>
          <w:lang w:bidi="he-IL"/>
        </w:rPr>
        <w:t>“</w:t>
      </w:r>
      <w:r>
        <w:rPr>
          <w:lang w:bidi="he-IL"/>
        </w:rPr>
        <w:t>men</w:t>
      </w:r>
      <w:r w:rsidR="003D56BA">
        <w:rPr>
          <w:lang w:bidi="he-IL"/>
        </w:rPr>
        <w:t>”</w:t>
      </w:r>
      <w:r>
        <w:rPr>
          <w:lang w:bidi="he-IL"/>
        </w:rPr>
        <w:t xml:space="preserve"> were not </w:t>
      </w:r>
      <w:r>
        <w:rPr>
          <w:lang w:bidi="he-IL"/>
        </w:rPr>
        <w:lastRenderedPageBreak/>
        <w:t>simply passers-by</w:t>
      </w:r>
      <w:r w:rsidR="00624A0A">
        <w:rPr>
          <w:lang w:bidi="he-IL"/>
        </w:rPr>
        <w:t xml:space="preserve"> but </w:t>
      </w:r>
      <w:r w:rsidR="00F10A98">
        <w:rPr>
          <w:lang w:bidi="he-IL"/>
        </w:rPr>
        <w:t xml:space="preserve">people </w:t>
      </w:r>
      <w:r w:rsidR="00D163B0">
        <w:rPr>
          <w:lang w:bidi="he-IL"/>
        </w:rPr>
        <w:t xml:space="preserve">who </w:t>
      </w:r>
      <w:r w:rsidR="00624A0A">
        <w:rPr>
          <w:lang w:bidi="he-IL"/>
        </w:rPr>
        <w:t xml:space="preserve">had come </w:t>
      </w:r>
      <w:r w:rsidR="00F10A98">
        <w:rPr>
          <w:lang w:bidi="he-IL"/>
        </w:rPr>
        <w:t xml:space="preserve">especially </w:t>
      </w:r>
      <w:r w:rsidR="00D163B0">
        <w:rPr>
          <w:lang w:bidi="he-IL"/>
        </w:rPr>
        <w:t>to see Sarah and Abraham: e</w:t>
      </w:r>
      <w:r w:rsidR="00F10A98" w:rsidRPr="00F10A98">
        <w:rPr>
          <w:lang w:bidi="he-IL"/>
        </w:rPr>
        <w:t xml:space="preserve">ating meat would not be an everyday event, and </w:t>
      </w:r>
      <w:r w:rsidR="00F10A98">
        <w:rPr>
          <w:lang w:bidi="he-IL"/>
        </w:rPr>
        <w:t>Abraham’</w:t>
      </w:r>
      <w:r w:rsidR="00F10A98" w:rsidRPr="00F10A98">
        <w:rPr>
          <w:lang w:bidi="he-IL"/>
        </w:rPr>
        <w:t xml:space="preserve">s hospitality is the most over-the-top version imaginable. </w:t>
      </w:r>
      <w:r w:rsidR="00624A0A">
        <w:rPr>
          <w:lang w:bidi="he-IL"/>
        </w:rPr>
        <w:t>The hospitality theme will turn out to be important in the story as a whole, as will its over-the-top nature.</w:t>
      </w:r>
      <w:r w:rsidR="007443AD">
        <w:rPr>
          <w:lang w:bidi="he-IL"/>
        </w:rPr>
        <w:t xml:space="preserve"> </w:t>
      </w:r>
      <w:r w:rsidR="002E489B" w:rsidRPr="002E489B">
        <w:rPr>
          <w:lang w:bidi="he-IL"/>
        </w:rPr>
        <w:t>It would surely be hard to know when to kill the fatted calf so as to make a banquet for three passersby, as it is difficult to know whether to give to everyone who asks (Luke 6:30). But “if we are deceived now and then, well and good.”</w:t>
      </w:r>
      <w:r w:rsidR="002E489B" w:rsidRPr="002E489B">
        <w:rPr>
          <w:vertAlign w:val="superscript"/>
          <w:lang w:bidi="he-IL"/>
        </w:rPr>
        <w:footnoteReference w:id="432"/>
      </w:r>
      <w:r w:rsidR="002E489B">
        <w:rPr>
          <w:lang w:bidi="he-IL"/>
        </w:rPr>
        <w:t xml:space="preserve"> A</w:t>
      </w:r>
      <w:r w:rsidR="007443AD">
        <w:rPr>
          <w:lang w:bidi="he-IL"/>
        </w:rPr>
        <w:t>nother consideration in the telling of the stor</w:t>
      </w:r>
      <w:r w:rsidR="00D163B0">
        <w:rPr>
          <w:lang w:bidi="he-IL"/>
        </w:rPr>
        <w:t xml:space="preserve">y is that the feast </w:t>
      </w:r>
      <w:r w:rsidR="007443AD">
        <w:rPr>
          <w:lang w:bidi="he-IL"/>
        </w:rPr>
        <w:t xml:space="preserve">fits some of the regulations for sacrifice; Abraham </w:t>
      </w:r>
      <w:r w:rsidR="003D56BA">
        <w:rPr>
          <w:lang w:bidi="he-IL"/>
        </w:rPr>
        <w:t>“</w:t>
      </w:r>
      <w:r w:rsidR="007443AD">
        <w:rPr>
          <w:lang w:bidi="he-IL"/>
        </w:rPr>
        <w:t>is behaving more wisely than he realized.</w:t>
      </w:r>
      <w:r w:rsidR="003D56BA">
        <w:rPr>
          <w:lang w:bidi="he-IL"/>
        </w:rPr>
        <w:t>”</w:t>
      </w:r>
      <w:r w:rsidR="007443AD">
        <w:rPr>
          <w:rStyle w:val="FootnoteReference"/>
          <w:lang w:bidi="he-IL"/>
        </w:rPr>
        <w:footnoteReference w:id="433"/>
      </w:r>
    </w:p>
    <w:p w14:paraId="663CED3C" w14:textId="77777777" w:rsidR="00CD5994" w:rsidRDefault="00CD5994" w:rsidP="006E6633">
      <w:pPr>
        <w:rPr>
          <w:lang w:bidi="he-IL"/>
        </w:rPr>
      </w:pPr>
      <w:r>
        <w:rPr>
          <w:b/>
          <w:lang w:bidi="he-IL"/>
        </w:rPr>
        <w:t>18</w:t>
      </w:r>
      <w:r w:rsidR="00A71B79">
        <w:rPr>
          <w:b/>
          <w:lang w:bidi="he-IL"/>
        </w:rPr>
        <w:t>:9-12</w:t>
      </w:r>
      <w:r>
        <w:rPr>
          <w:b/>
          <w:lang w:bidi="he-IL"/>
        </w:rPr>
        <w:t xml:space="preserve">. </w:t>
      </w:r>
      <w:proofErr w:type="gramStart"/>
      <w:r w:rsidR="002F57D5">
        <w:rPr>
          <w:lang w:bidi="he-IL"/>
        </w:rPr>
        <w:t>Th</w:t>
      </w:r>
      <w:r w:rsidR="00A2426A">
        <w:rPr>
          <w:lang w:bidi="he-IL"/>
        </w:rPr>
        <w:t>e</w:t>
      </w:r>
      <w:proofErr w:type="gramEnd"/>
      <w:r w:rsidR="00A2426A">
        <w:rPr>
          <w:lang w:bidi="he-IL"/>
        </w:rPr>
        <w:t xml:space="preserve"> audience might be wondering why the narrator said that</w:t>
      </w:r>
      <w:r w:rsidR="002F57D5">
        <w:rPr>
          <w:lang w:bidi="he-IL"/>
        </w:rPr>
        <w:t xml:space="preserve"> Yahweh </w:t>
      </w:r>
      <w:r w:rsidR="00A2426A">
        <w:rPr>
          <w:lang w:bidi="he-IL"/>
        </w:rPr>
        <w:t xml:space="preserve">is </w:t>
      </w:r>
      <w:r w:rsidR="00BC33FD">
        <w:rPr>
          <w:lang w:bidi="he-IL"/>
        </w:rPr>
        <w:t xml:space="preserve">appearing. What is the point of the appearance? </w:t>
      </w:r>
      <w:r w:rsidR="00A2426A">
        <w:rPr>
          <w:lang w:bidi="he-IL"/>
        </w:rPr>
        <w:t>The visitors</w:t>
      </w:r>
      <w:r>
        <w:rPr>
          <w:lang w:bidi="he-IL"/>
        </w:rPr>
        <w:t xml:space="preserve"> </w:t>
      </w:r>
      <w:r w:rsidR="00BC33FD">
        <w:rPr>
          <w:lang w:bidi="he-IL"/>
        </w:rPr>
        <w:t xml:space="preserve">now </w:t>
      </w:r>
      <w:r>
        <w:rPr>
          <w:lang w:bidi="he-IL"/>
        </w:rPr>
        <w:t xml:space="preserve">come to their business. </w:t>
      </w:r>
      <w:r w:rsidR="00F6428F">
        <w:rPr>
          <w:lang w:bidi="he-IL"/>
        </w:rPr>
        <w:t xml:space="preserve">They </w:t>
      </w:r>
      <w:r w:rsidR="00421582">
        <w:rPr>
          <w:lang w:bidi="he-IL"/>
        </w:rPr>
        <w:t>know Abraham’s wife</w:t>
      </w:r>
      <w:r w:rsidR="00A2426A">
        <w:rPr>
          <w:lang w:bidi="he-IL"/>
        </w:rPr>
        <w:t>’s name. Is it the kind of knowledge</w:t>
      </w:r>
      <w:r w:rsidR="00421582">
        <w:rPr>
          <w:lang w:bidi="he-IL"/>
        </w:rPr>
        <w:t xml:space="preserve"> that puts Abraham on the track of their being more than three passing strangers? Are they prophets?</w:t>
      </w:r>
      <w:r w:rsidR="00115173">
        <w:rPr>
          <w:rStyle w:val="FootnoteReference"/>
          <w:lang w:bidi="he-IL"/>
        </w:rPr>
        <w:footnoteReference w:id="434"/>
      </w:r>
      <w:r w:rsidR="00F6428F">
        <w:rPr>
          <w:lang w:bidi="he-IL"/>
        </w:rPr>
        <w:t xml:space="preserve"> W</w:t>
      </w:r>
      <w:r w:rsidR="00421582">
        <w:rPr>
          <w:lang w:bidi="he-IL"/>
        </w:rPr>
        <w:t xml:space="preserve">hy </w:t>
      </w:r>
      <w:r w:rsidR="00A2426A">
        <w:rPr>
          <w:lang w:bidi="he-IL"/>
        </w:rPr>
        <w:t xml:space="preserve">then </w:t>
      </w:r>
      <w:r w:rsidR="00421582">
        <w:rPr>
          <w:lang w:bidi="he-IL"/>
        </w:rPr>
        <w:t>do they ask about her</w:t>
      </w:r>
      <w:r w:rsidR="00A71B79">
        <w:rPr>
          <w:lang w:bidi="he-IL"/>
        </w:rPr>
        <w:t xml:space="preserve"> whereabouts? Do they want to make sure she is within earshot? </w:t>
      </w:r>
      <w:r w:rsidR="00A2426A">
        <w:rPr>
          <w:lang w:bidi="he-IL"/>
        </w:rPr>
        <w:t>The head of a family</w:t>
      </w:r>
      <w:r>
        <w:rPr>
          <w:lang w:bidi="he-IL"/>
        </w:rPr>
        <w:t xml:space="preserve"> like Abraham sits outside his tent as the front of the family’s relating to the outside world. A woman like Sarah sits inside relating to that world</w:t>
      </w:r>
      <w:r w:rsidR="002B1252">
        <w:rPr>
          <w:lang w:bidi="he-IL"/>
        </w:rPr>
        <w:t xml:space="preserve"> </w:t>
      </w:r>
      <w:r w:rsidR="00A71B79">
        <w:rPr>
          <w:lang w:bidi="he-IL"/>
        </w:rPr>
        <w:t>and kee</w:t>
      </w:r>
      <w:r w:rsidR="00A2426A">
        <w:rPr>
          <w:lang w:bidi="he-IL"/>
        </w:rPr>
        <w:t xml:space="preserve">ping out of the meeting of </w:t>
      </w:r>
      <w:r w:rsidR="00A71B79">
        <w:rPr>
          <w:lang w:bidi="he-IL"/>
        </w:rPr>
        <w:t>men</w:t>
      </w:r>
      <w:r>
        <w:rPr>
          <w:lang w:bidi="he-IL"/>
        </w:rPr>
        <w:t>.</w:t>
      </w:r>
      <w:r w:rsidR="00A71B79">
        <w:rPr>
          <w:lang w:bidi="he-IL"/>
        </w:rPr>
        <w:t xml:space="preserve"> </w:t>
      </w:r>
    </w:p>
    <w:p w14:paraId="4A660D1C" w14:textId="4FB581B0" w:rsidR="00CD5994" w:rsidRDefault="00CD5994" w:rsidP="006E6633">
      <w:pPr>
        <w:rPr>
          <w:lang w:bidi="he-IL"/>
        </w:rPr>
      </w:pPr>
      <w:r>
        <w:rPr>
          <w:lang w:bidi="he-IL"/>
        </w:rPr>
        <w:t>The tra</w:t>
      </w:r>
      <w:r w:rsidR="00A2426A">
        <w:rPr>
          <w:lang w:bidi="he-IL"/>
        </w:rPr>
        <w:t xml:space="preserve">nsition to </w:t>
      </w:r>
      <w:r w:rsidR="003D56BA">
        <w:rPr>
          <w:lang w:bidi="he-IL"/>
        </w:rPr>
        <w:t>“</w:t>
      </w:r>
      <w:r w:rsidR="00A2426A">
        <w:rPr>
          <w:lang w:bidi="he-IL"/>
        </w:rPr>
        <w:t>I</w:t>
      </w:r>
      <w:r w:rsidR="003D56BA">
        <w:rPr>
          <w:lang w:bidi="he-IL"/>
        </w:rPr>
        <w:t>”</w:t>
      </w:r>
      <w:r w:rsidR="00A2426A">
        <w:rPr>
          <w:lang w:bidi="he-IL"/>
        </w:rPr>
        <w:t xml:space="preserve"> (v. 10) marks an explicit</w:t>
      </w:r>
      <w:r>
        <w:rPr>
          <w:lang w:bidi="he-IL"/>
        </w:rPr>
        <w:t xml:space="preserve"> begi</w:t>
      </w:r>
      <w:r w:rsidR="00421582">
        <w:rPr>
          <w:lang w:bidi="he-IL"/>
        </w:rPr>
        <w:t>nning</w:t>
      </w:r>
      <w:r w:rsidR="00A2426A">
        <w:rPr>
          <w:lang w:bidi="he-IL"/>
        </w:rPr>
        <w:t xml:space="preserve"> of the process whereby it </w:t>
      </w:r>
      <w:r w:rsidR="00421582">
        <w:rPr>
          <w:lang w:bidi="he-IL"/>
        </w:rPr>
        <w:t xml:space="preserve">becomes </w:t>
      </w:r>
      <w:r w:rsidR="00F6428F">
        <w:rPr>
          <w:lang w:bidi="he-IL"/>
        </w:rPr>
        <w:t>clear to Abraham that they</w:t>
      </w:r>
      <w:r>
        <w:rPr>
          <w:lang w:bidi="he-IL"/>
        </w:rPr>
        <w:t xml:space="preserve"> are not simply three co-equal men. One of them is senior to the others, speaks of himself over against them, and mak</w:t>
      </w:r>
      <w:r w:rsidR="00A71B79">
        <w:rPr>
          <w:lang w:bidi="he-IL"/>
        </w:rPr>
        <w:t>es an extraordinary declaration.</w:t>
      </w:r>
      <w:r w:rsidR="00421582">
        <w:rPr>
          <w:lang w:bidi="he-IL"/>
        </w:rPr>
        <w:t xml:space="preserve"> But he doesn’</w:t>
      </w:r>
      <w:r w:rsidR="00F6428F">
        <w:rPr>
          <w:lang w:bidi="he-IL"/>
        </w:rPr>
        <w:t>t speak in terms of</w:t>
      </w:r>
      <w:r w:rsidR="00A2426A">
        <w:rPr>
          <w:lang w:bidi="he-IL"/>
        </w:rPr>
        <w:t xml:space="preserve"> </w:t>
      </w:r>
      <w:r>
        <w:rPr>
          <w:lang w:bidi="he-IL"/>
        </w:rPr>
        <w:t xml:space="preserve">making something happen </w:t>
      </w:r>
      <w:r w:rsidR="00F6428F">
        <w:rPr>
          <w:lang w:bidi="he-IL"/>
        </w:rPr>
        <w:t>(namely, causing</w:t>
      </w:r>
      <w:r w:rsidR="00A2426A">
        <w:rPr>
          <w:lang w:bidi="he-IL"/>
        </w:rPr>
        <w:t xml:space="preserve"> Sarah to have a baby) </w:t>
      </w:r>
      <w:r>
        <w:rPr>
          <w:lang w:bidi="he-IL"/>
        </w:rPr>
        <w:t>an</w:t>
      </w:r>
      <w:r w:rsidR="00A2426A">
        <w:rPr>
          <w:lang w:bidi="he-IL"/>
        </w:rPr>
        <w:t>d thus indicate that he is God;</w:t>
      </w:r>
      <w:r w:rsidR="00421582">
        <w:rPr>
          <w:lang w:bidi="he-IL"/>
        </w:rPr>
        <w:t xml:space="preserve"> </w:t>
      </w:r>
      <w:r>
        <w:rPr>
          <w:lang w:bidi="he-IL"/>
        </w:rPr>
        <w:t xml:space="preserve">his speech could </w:t>
      </w:r>
      <w:r w:rsidR="00A2426A">
        <w:rPr>
          <w:lang w:bidi="he-IL"/>
        </w:rPr>
        <w:t xml:space="preserve">again </w:t>
      </w:r>
      <w:r>
        <w:rPr>
          <w:lang w:bidi="he-IL"/>
        </w:rPr>
        <w:t>be that of a prophet.</w:t>
      </w:r>
      <w:r w:rsidR="00E50F2B">
        <w:rPr>
          <w:lang w:bidi="he-IL"/>
        </w:rPr>
        <w:t xml:space="preserve"> </w:t>
      </w:r>
      <w:r w:rsidR="00421582">
        <w:rPr>
          <w:lang w:bidi="he-IL"/>
        </w:rPr>
        <w:t xml:space="preserve">He speaks of coming </w:t>
      </w:r>
      <w:r w:rsidR="00A2426A">
        <w:rPr>
          <w:lang w:bidi="he-IL"/>
        </w:rPr>
        <w:t xml:space="preserve">back </w:t>
      </w:r>
      <w:r w:rsidR="003D56BA">
        <w:rPr>
          <w:lang w:bidi="he-IL"/>
        </w:rPr>
        <w:t>“</w:t>
      </w:r>
      <w:r w:rsidR="00421582">
        <w:rPr>
          <w:lang w:bidi="he-IL"/>
        </w:rPr>
        <w:t xml:space="preserve">when </w:t>
      </w:r>
      <w:r w:rsidR="00351735">
        <w:rPr>
          <w:lang w:bidi="he-IL"/>
        </w:rPr>
        <w:t>there is life</w:t>
      </w:r>
      <w:r w:rsidR="00A2426A">
        <w:rPr>
          <w:lang w:bidi="he-IL"/>
        </w:rPr>
        <w:t>,</w:t>
      </w:r>
      <w:r w:rsidR="003D56BA">
        <w:rPr>
          <w:lang w:bidi="he-IL"/>
        </w:rPr>
        <w:t>”</w:t>
      </w:r>
      <w:r w:rsidR="00351735">
        <w:rPr>
          <w:lang w:bidi="he-IL"/>
        </w:rPr>
        <w:t xml:space="preserve"> </w:t>
      </w:r>
      <w:r w:rsidR="000850A0">
        <w:rPr>
          <w:lang w:bidi="he-IL"/>
        </w:rPr>
        <w:t xml:space="preserve">which </w:t>
      </w:r>
      <w:r w:rsidR="000850A0" w:rsidRPr="000850A0">
        <w:rPr>
          <w:lang w:bidi="he-IL"/>
        </w:rPr>
        <w:t>v. 14 will conf</w:t>
      </w:r>
      <w:r w:rsidR="000850A0">
        <w:rPr>
          <w:lang w:bidi="he-IL"/>
        </w:rPr>
        <w:t xml:space="preserve">irm </w:t>
      </w:r>
      <w:r w:rsidR="000850A0" w:rsidRPr="000850A0">
        <w:rPr>
          <w:lang w:bidi="he-IL"/>
        </w:rPr>
        <w:t>is the</w:t>
      </w:r>
      <w:r w:rsidR="000850A0">
        <w:rPr>
          <w:lang w:bidi="he-IL"/>
        </w:rPr>
        <w:t xml:space="preserve"> same as the </w:t>
      </w:r>
      <w:r w:rsidR="003D56BA">
        <w:rPr>
          <w:lang w:bidi="he-IL"/>
        </w:rPr>
        <w:t>“</w:t>
      </w:r>
      <w:r w:rsidR="000850A0">
        <w:rPr>
          <w:lang w:bidi="he-IL"/>
        </w:rPr>
        <w:t>set time</w:t>
      </w:r>
      <w:r w:rsidR="003D56BA">
        <w:rPr>
          <w:lang w:bidi="he-IL"/>
        </w:rPr>
        <w:t>”</w:t>
      </w:r>
      <w:r w:rsidR="000850A0">
        <w:rPr>
          <w:lang w:bidi="he-IL"/>
        </w:rPr>
        <w:t xml:space="preserve"> of 17:21, and thus </w:t>
      </w:r>
      <w:r w:rsidR="00A2426A">
        <w:rPr>
          <w:lang w:bidi="he-IL"/>
        </w:rPr>
        <w:t xml:space="preserve">sounds like the time when </w:t>
      </w:r>
      <w:r w:rsidR="000850A0">
        <w:rPr>
          <w:lang w:bidi="he-IL"/>
        </w:rPr>
        <w:t xml:space="preserve">Sarah </w:t>
      </w:r>
      <w:r w:rsidR="00F6428F">
        <w:rPr>
          <w:lang w:bidi="he-IL"/>
        </w:rPr>
        <w:t>will give</w:t>
      </w:r>
      <w:r w:rsidR="000850A0">
        <w:rPr>
          <w:lang w:bidi="he-IL"/>
        </w:rPr>
        <w:t xml:space="preserve"> birth; he does not speak</w:t>
      </w:r>
      <w:r w:rsidR="00421582">
        <w:rPr>
          <w:lang w:bidi="he-IL"/>
        </w:rPr>
        <w:t xml:space="preserve"> </w:t>
      </w:r>
      <w:r w:rsidR="00A2426A">
        <w:rPr>
          <w:lang w:bidi="he-IL"/>
        </w:rPr>
        <w:t xml:space="preserve">of </w:t>
      </w:r>
      <w:r w:rsidR="00421582">
        <w:rPr>
          <w:lang w:bidi="he-IL"/>
        </w:rPr>
        <w:t>coming to cause her to conceive as she will need to do in a few weeks’ time</w:t>
      </w:r>
      <w:r w:rsidR="00A2426A">
        <w:rPr>
          <w:lang w:bidi="he-IL"/>
        </w:rPr>
        <w:t xml:space="preserve"> if </w:t>
      </w:r>
      <w:r w:rsidR="00CD4618">
        <w:rPr>
          <w:lang w:bidi="he-IL"/>
        </w:rPr>
        <w:t xml:space="preserve">the baby is to be born in </w:t>
      </w:r>
      <w:r w:rsidR="00A2426A">
        <w:rPr>
          <w:lang w:bidi="he-IL"/>
        </w:rPr>
        <w:t>a year’s time</w:t>
      </w:r>
      <w:r w:rsidR="00F6428F">
        <w:rPr>
          <w:lang w:bidi="he-IL"/>
        </w:rPr>
        <w:t xml:space="preserve"> (actually there will be</w:t>
      </w:r>
      <w:r w:rsidR="000850A0">
        <w:rPr>
          <w:lang w:bidi="he-IL"/>
        </w:rPr>
        <w:t xml:space="preserve"> no reference to his coming back in either connection: is one to think of him as the one who makes the birth happen</w:t>
      </w:r>
      <w:r w:rsidR="00252895">
        <w:rPr>
          <w:lang w:bidi="he-IL"/>
        </w:rPr>
        <w:t xml:space="preserve"> behind the scenes</w:t>
      </w:r>
      <w:r w:rsidR="000850A0">
        <w:rPr>
          <w:lang w:bidi="he-IL"/>
        </w:rPr>
        <w:t>?)</w:t>
      </w:r>
      <w:r w:rsidR="00421582">
        <w:rPr>
          <w:lang w:bidi="he-IL"/>
        </w:rPr>
        <w:t>.</w:t>
      </w:r>
      <w:r w:rsidR="00351735">
        <w:rPr>
          <w:lang w:bidi="he-IL"/>
        </w:rPr>
        <w:t xml:space="preserve"> </w:t>
      </w:r>
      <w:r w:rsidR="00252895">
        <w:rPr>
          <w:lang w:bidi="he-IL"/>
        </w:rPr>
        <w:t>I</w:t>
      </w:r>
      <w:r w:rsidR="000850A0">
        <w:rPr>
          <w:lang w:bidi="he-IL"/>
        </w:rPr>
        <w:t xml:space="preserve">t is these words that suggest </w:t>
      </w:r>
      <w:r w:rsidR="00252895">
        <w:rPr>
          <w:lang w:bidi="he-IL"/>
        </w:rPr>
        <w:t xml:space="preserve">we </w:t>
      </w:r>
      <w:r w:rsidR="00CD4618">
        <w:rPr>
          <w:lang w:bidi="he-IL"/>
        </w:rPr>
        <w:t>see this</w:t>
      </w:r>
      <w:r w:rsidR="00A71B79">
        <w:rPr>
          <w:lang w:bidi="he-IL"/>
        </w:rPr>
        <w:t xml:space="preserve"> giving of this promise as an alternative version of the one in Gen 17. Here as there, the promise is given to Abraha</w:t>
      </w:r>
      <w:r w:rsidR="00252895">
        <w:rPr>
          <w:lang w:bidi="he-IL"/>
        </w:rPr>
        <w:t xml:space="preserve">m, but here Sarah is </w:t>
      </w:r>
      <w:r w:rsidR="00A71B79">
        <w:rPr>
          <w:lang w:bidi="he-IL"/>
        </w:rPr>
        <w:t>within earshot, only just inside the tent.</w:t>
      </w:r>
    </w:p>
    <w:p w14:paraId="4811BDBE" w14:textId="69700952" w:rsidR="00A71B79" w:rsidRDefault="00A71B79" w:rsidP="006E6633">
      <w:pPr>
        <w:rPr>
          <w:lang w:bidi="he-IL"/>
        </w:rPr>
      </w:pPr>
      <w:r>
        <w:rPr>
          <w:lang w:bidi="he-IL"/>
        </w:rPr>
        <w:t>The statement that Sarah was beyond menopause (vv. 11-12) might seem an understatement, but we have noted that in our</w:t>
      </w:r>
      <w:r w:rsidR="00CD4618">
        <w:rPr>
          <w:lang w:bidi="he-IL"/>
        </w:rPr>
        <w:t xml:space="preserve"> terms we might see her as middle-aged</w:t>
      </w:r>
      <w:r w:rsidR="00252895">
        <w:rPr>
          <w:lang w:bidi="he-IL"/>
        </w:rPr>
        <w:t>. Whereas Abraham laughed earlier</w:t>
      </w:r>
      <w:r>
        <w:rPr>
          <w:lang w:bidi="he-IL"/>
        </w:rPr>
        <w:t xml:space="preserve"> </w:t>
      </w:r>
      <w:r w:rsidR="00252895">
        <w:rPr>
          <w:lang w:bidi="he-IL"/>
        </w:rPr>
        <w:t>(</w:t>
      </w:r>
      <w:r>
        <w:rPr>
          <w:lang w:bidi="he-IL"/>
        </w:rPr>
        <w:t>17:</w:t>
      </w:r>
      <w:r w:rsidR="00252895">
        <w:rPr>
          <w:lang w:bidi="he-IL"/>
        </w:rPr>
        <w:t>12), here Sarah</w:t>
      </w:r>
      <w:r w:rsidR="00D87850">
        <w:rPr>
          <w:lang w:bidi="he-IL"/>
        </w:rPr>
        <w:t xml:space="preserve"> laughs. </w:t>
      </w:r>
      <w:r w:rsidR="003D56BA">
        <w:rPr>
          <w:lang w:bidi="he-IL"/>
        </w:rPr>
        <w:t>“</w:t>
      </w:r>
      <w:r w:rsidR="00A6123A" w:rsidRPr="00A6123A">
        <w:rPr>
          <w:lang w:bidi="he-IL"/>
        </w:rPr>
        <w:t>Humour is the opposite of all self-admiration and self-praise</w:t>
      </w:r>
      <w:r w:rsidR="00A6123A">
        <w:rPr>
          <w:lang w:bidi="he-IL"/>
        </w:rPr>
        <w:t>,</w:t>
      </w:r>
      <w:r w:rsidR="003D56BA">
        <w:rPr>
          <w:lang w:bidi="he-IL"/>
        </w:rPr>
        <w:t>”</w:t>
      </w:r>
      <w:r w:rsidR="00A6123A">
        <w:rPr>
          <w:rStyle w:val="FootnoteReference"/>
          <w:lang w:bidi="he-IL"/>
        </w:rPr>
        <w:footnoteReference w:id="435"/>
      </w:r>
      <w:r w:rsidR="00A6123A">
        <w:rPr>
          <w:lang w:bidi="he-IL"/>
        </w:rPr>
        <w:t xml:space="preserve"> and t</w:t>
      </w:r>
      <w:r w:rsidR="00252895">
        <w:rPr>
          <w:lang w:bidi="he-IL"/>
        </w:rPr>
        <w:t>he laugh might be her</w:t>
      </w:r>
      <w:r w:rsidR="00D87850">
        <w:rPr>
          <w:lang w:bidi="he-IL"/>
        </w:rPr>
        <w:t xml:space="preserve"> expression of wonder</w:t>
      </w:r>
      <w:r w:rsidR="006E758C">
        <w:rPr>
          <w:lang w:bidi="he-IL"/>
        </w:rPr>
        <w:t xml:space="preserve"> (cf. TgNeoph</w:t>
      </w:r>
      <w:r w:rsidR="00FF2B28">
        <w:rPr>
          <w:lang w:bidi="he-IL"/>
        </w:rPr>
        <w:t>, TgPsJ</w:t>
      </w:r>
      <w:r w:rsidR="00F62D32">
        <w:rPr>
          <w:lang w:bidi="he-IL"/>
        </w:rPr>
        <w:t>; also Heb 11:11</w:t>
      </w:r>
      <w:r w:rsidR="006E758C">
        <w:rPr>
          <w:lang w:bidi="he-IL"/>
        </w:rPr>
        <w:t>)</w:t>
      </w:r>
      <w:r w:rsidR="00D87850">
        <w:rPr>
          <w:lang w:bidi="he-IL"/>
        </w:rPr>
        <w:t>, thou</w:t>
      </w:r>
      <w:r w:rsidR="00252895">
        <w:rPr>
          <w:lang w:bidi="he-IL"/>
        </w:rPr>
        <w:t>gh she</w:t>
      </w:r>
      <w:r w:rsidR="00D87850">
        <w:rPr>
          <w:lang w:bidi="he-IL"/>
        </w:rPr>
        <w:t xml:space="preserve"> becomes embarrassed about it. She describes herself as if she is a worn out garment or someone who is all wrinkly (e.g., Lam 3:4). </w:t>
      </w:r>
      <w:r w:rsidR="001B7C49">
        <w:rPr>
          <w:lang w:bidi="he-IL"/>
        </w:rPr>
        <w:t xml:space="preserve">Age has done its ravaging </w:t>
      </w:r>
      <w:r w:rsidR="00D87850">
        <w:rPr>
          <w:lang w:bidi="he-IL"/>
        </w:rPr>
        <w:t xml:space="preserve">on her </w:t>
      </w:r>
      <w:r w:rsidR="001B7C49">
        <w:rPr>
          <w:lang w:bidi="he-IL"/>
        </w:rPr>
        <w:t>body</w:t>
      </w:r>
      <w:r w:rsidR="00D87850">
        <w:rPr>
          <w:lang w:bidi="he-IL"/>
        </w:rPr>
        <w:t xml:space="preserve">, </w:t>
      </w:r>
      <w:r w:rsidR="001B7C49">
        <w:rPr>
          <w:lang w:bidi="he-IL"/>
        </w:rPr>
        <w:t>on the outside and in</w:t>
      </w:r>
      <w:r w:rsidR="00D87850">
        <w:rPr>
          <w:lang w:bidi="he-IL"/>
        </w:rPr>
        <w:t xml:space="preserve"> the shriveling of her womb.</w:t>
      </w:r>
      <w:r w:rsidR="00252895">
        <w:rPr>
          <w:lang w:bidi="he-IL"/>
        </w:rPr>
        <w:t xml:space="preserve"> Her exclamation is in effect a question expressing </w:t>
      </w:r>
      <w:r w:rsidR="002A1E5C">
        <w:rPr>
          <w:lang w:bidi="he-IL"/>
        </w:rPr>
        <w:t xml:space="preserve">astonishment at the idea that </w:t>
      </w:r>
      <w:r w:rsidR="001B7C49">
        <w:rPr>
          <w:lang w:bidi="he-IL"/>
        </w:rPr>
        <w:t xml:space="preserve">she </w:t>
      </w:r>
      <w:r w:rsidR="002A1E5C">
        <w:rPr>
          <w:lang w:bidi="he-IL"/>
        </w:rPr>
        <w:t xml:space="preserve">is </w:t>
      </w:r>
      <w:r w:rsidR="001B7C49">
        <w:rPr>
          <w:lang w:bidi="he-IL"/>
        </w:rPr>
        <w:t xml:space="preserve">going to </w:t>
      </w:r>
      <w:r w:rsidR="003300A1">
        <w:rPr>
          <w:lang w:bidi="he-IL"/>
        </w:rPr>
        <w:t>be fertile</w:t>
      </w:r>
      <w:r w:rsidR="001B7C49">
        <w:rPr>
          <w:lang w:bidi="he-IL"/>
        </w:rPr>
        <w:t xml:space="preserve">, with </w:t>
      </w:r>
      <w:r w:rsidR="002A1E5C">
        <w:rPr>
          <w:lang w:bidi="he-IL"/>
        </w:rPr>
        <w:t xml:space="preserve">her husband surely </w:t>
      </w:r>
      <w:r w:rsidR="00E157C8">
        <w:rPr>
          <w:lang w:bidi="he-IL"/>
        </w:rPr>
        <w:t xml:space="preserve">being </w:t>
      </w:r>
      <w:r w:rsidR="002A1E5C">
        <w:rPr>
          <w:lang w:bidi="he-IL"/>
        </w:rPr>
        <w:t>past it, too.</w:t>
      </w:r>
      <w:r w:rsidR="002B1252">
        <w:rPr>
          <w:lang w:bidi="he-IL"/>
        </w:rPr>
        <w:t xml:space="preserve"> </w:t>
      </w:r>
    </w:p>
    <w:p w14:paraId="6BA9024E" w14:textId="77777777" w:rsidR="00296862" w:rsidRDefault="002B1252" w:rsidP="006E6633">
      <w:pPr>
        <w:rPr>
          <w:lang w:bidi="he-IL"/>
        </w:rPr>
      </w:pPr>
      <w:r>
        <w:rPr>
          <w:b/>
          <w:lang w:bidi="he-IL"/>
        </w:rPr>
        <w:t>18:13-15</w:t>
      </w:r>
      <w:r>
        <w:rPr>
          <w:lang w:bidi="he-IL"/>
        </w:rPr>
        <w:t xml:space="preserve">. </w:t>
      </w:r>
      <w:r w:rsidR="00296862">
        <w:rPr>
          <w:lang w:bidi="he-IL"/>
        </w:rPr>
        <w:t>We remain unclear how far Abraham understands what is going on; t</w:t>
      </w:r>
      <w:r w:rsidR="00252895">
        <w:rPr>
          <w:lang w:bidi="he-IL"/>
        </w:rPr>
        <w:t xml:space="preserve">he narrator tells us Yahweh </w:t>
      </w:r>
      <w:r w:rsidR="00296862">
        <w:rPr>
          <w:lang w:bidi="he-IL"/>
        </w:rPr>
        <w:t>is spea</w:t>
      </w:r>
      <w:r w:rsidR="00E157C8">
        <w:rPr>
          <w:lang w:bidi="he-IL"/>
        </w:rPr>
        <w:t>king, but he refers to himself i</w:t>
      </w:r>
      <w:r w:rsidR="00296862">
        <w:rPr>
          <w:lang w:bidi="he-IL"/>
        </w:rPr>
        <w:t xml:space="preserve">n the third person, so it need not be clear to Abraham. </w:t>
      </w:r>
      <w:r w:rsidR="00252895">
        <w:rPr>
          <w:lang w:bidi="he-IL"/>
        </w:rPr>
        <w:t xml:space="preserve">Although </w:t>
      </w:r>
      <w:r w:rsidR="008647AF">
        <w:rPr>
          <w:lang w:bidi="he-IL"/>
        </w:rPr>
        <w:t>Sar</w:t>
      </w:r>
      <w:r w:rsidR="00252895">
        <w:rPr>
          <w:lang w:bidi="he-IL"/>
        </w:rPr>
        <w:t xml:space="preserve">ah had only laughed inside, </w:t>
      </w:r>
      <w:r w:rsidR="008647AF">
        <w:rPr>
          <w:lang w:bidi="he-IL"/>
        </w:rPr>
        <w:t xml:space="preserve">the </w:t>
      </w:r>
      <w:r w:rsidR="003D56BA">
        <w:rPr>
          <w:lang w:bidi="he-IL"/>
        </w:rPr>
        <w:t>“</w:t>
      </w:r>
      <w:r w:rsidR="008647AF">
        <w:rPr>
          <w:lang w:bidi="he-IL"/>
        </w:rPr>
        <w:t>man</w:t>
      </w:r>
      <w:r w:rsidR="003D56BA">
        <w:rPr>
          <w:lang w:bidi="he-IL"/>
        </w:rPr>
        <w:t>”</w:t>
      </w:r>
      <w:r w:rsidR="00252895">
        <w:rPr>
          <w:lang w:bidi="he-IL"/>
        </w:rPr>
        <w:t xml:space="preserve"> has prophetic insight; he kno</w:t>
      </w:r>
      <w:r w:rsidR="008647AF">
        <w:rPr>
          <w:lang w:bidi="he-IL"/>
        </w:rPr>
        <w:t>w</w:t>
      </w:r>
      <w:r w:rsidR="00252895">
        <w:rPr>
          <w:lang w:bidi="he-IL"/>
        </w:rPr>
        <w:t>s about her laugh</w:t>
      </w:r>
      <w:r w:rsidR="008647AF">
        <w:rPr>
          <w:lang w:bidi="he-IL"/>
        </w:rPr>
        <w:t xml:space="preserve">. </w:t>
      </w:r>
      <w:r w:rsidR="00252895">
        <w:rPr>
          <w:lang w:bidi="he-IL"/>
        </w:rPr>
        <w:t>Yahweh may imply</w:t>
      </w:r>
      <w:r w:rsidR="00296862">
        <w:rPr>
          <w:lang w:bidi="he-IL"/>
        </w:rPr>
        <w:t xml:space="preserve"> that Sar</w:t>
      </w:r>
      <w:r w:rsidR="00E157C8">
        <w:rPr>
          <w:lang w:bidi="he-IL"/>
        </w:rPr>
        <w:t xml:space="preserve">ah’s laugh was a laugh of </w:t>
      </w:r>
      <w:r w:rsidR="00296862">
        <w:rPr>
          <w:lang w:bidi="he-IL"/>
        </w:rPr>
        <w:t xml:space="preserve">unbelief rather than of amazement. </w:t>
      </w:r>
      <w:r w:rsidR="00E157C8">
        <w:rPr>
          <w:lang w:bidi="he-IL"/>
        </w:rPr>
        <w:t>But</w:t>
      </w:r>
      <w:r w:rsidR="00D75786">
        <w:rPr>
          <w:lang w:bidi="he-IL"/>
        </w:rPr>
        <w:t xml:space="preserve"> it won’t make any difference. Yahweh’s action is not dependent on Sarah’s faith, partly because he’s not ac</w:t>
      </w:r>
      <w:r w:rsidR="00E157C8">
        <w:rPr>
          <w:lang w:bidi="he-IL"/>
        </w:rPr>
        <w:t>ting for her and Abraham’s sake</w:t>
      </w:r>
      <w:r w:rsidR="00D75786">
        <w:rPr>
          <w:lang w:bidi="he-IL"/>
        </w:rPr>
        <w:t>, anyway.</w:t>
      </w:r>
    </w:p>
    <w:p w14:paraId="4DCA53D6" w14:textId="4A7FC49C" w:rsidR="000132E9" w:rsidRPr="000132E9" w:rsidRDefault="00296862" w:rsidP="000132E9">
      <w:pPr>
        <w:rPr>
          <w:lang w:bidi="he-IL"/>
        </w:rPr>
      </w:pPr>
      <w:r>
        <w:rPr>
          <w:lang w:bidi="he-IL"/>
        </w:rPr>
        <w:t xml:space="preserve">In a sense she would not even be entitled to </w:t>
      </w:r>
      <w:r w:rsidR="00252895">
        <w:rPr>
          <w:lang w:bidi="he-IL"/>
        </w:rPr>
        <w:t xml:space="preserve">a laugh of </w:t>
      </w:r>
      <w:r>
        <w:rPr>
          <w:lang w:bidi="he-IL"/>
        </w:rPr>
        <w:t xml:space="preserve">amazement (v. 14). </w:t>
      </w:r>
      <w:r w:rsidR="00073387">
        <w:rPr>
          <w:lang w:bidi="he-IL"/>
        </w:rPr>
        <w:t>Describing something as “extraordinary” need not imply it is</w:t>
      </w:r>
      <w:r w:rsidR="00E50F2B">
        <w:rPr>
          <w:lang w:bidi="he-IL"/>
        </w:rPr>
        <w:t xml:space="preserve"> miraculous in the sense of requiring God’s action (see e.g., 2 Sam 1:2</w:t>
      </w:r>
      <w:r w:rsidR="00E157C8">
        <w:rPr>
          <w:lang w:bidi="he-IL"/>
        </w:rPr>
        <w:t>6), but more often than not t</w:t>
      </w:r>
      <w:r w:rsidR="00E157C8" w:rsidRPr="00E157C8">
        <w:rPr>
          <w:lang w:bidi="he-IL"/>
        </w:rPr>
        <w:t xml:space="preserve">hings that are </w:t>
      </w:r>
      <w:r w:rsidR="00073387">
        <w:rPr>
          <w:lang w:bidi="he-IL"/>
        </w:rPr>
        <w:t>“</w:t>
      </w:r>
      <w:r w:rsidR="00E157C8" w:rsidRPr="00E157C8">
        <w:rPr>
          <w:lang w:bidi="he-IL"/>
        </w:rPr>
        <w:t>extraordinary</w:t>
      </w:r>
      <w:r w:rsidR="00073387">
        <w:rPr>
          <w:lang w:bidi="he-IL"/>
        </w:rPr>
        <w:t>”</w:t>
      </w:r>
      <w:r w:rsidR="00E50F2B">
        <w:rPr>
          <w:lang w:bidi="he-IL"/>
        </w:rPr>
        <w:t xml:space="preserve"> are God’s acts (e.g., Ps 29:7). So by </w:t>
      </w:r>
      <w:r w:rsidR="00E50F2B">
        <w:rPr>
          <w:lang w:bidi="he-IL"/>
        </w:rPr>
        <w:lastRenderedPageBreak/>
        <w:t xml:space="preserve">definition the answer to the question is </w:t>
      </w:r>
      <w:r w:rsidR="003D56BA">
        <w:rPr>
          <w:lang w:bidi="he-IL"/>
        </w:rPr>
        <w:t>“</w:t>
      </w:r>
      <w:r w:rsidR="00E50F2B">
        <w:rPr>
          <w:lang w:bidi="he-IL"/>
        </w:rPr>
        <w:t>No.</w:t>
      </w:r>
      <w:r w:rsidR="003D56BA">
        <w:rPr>
          <w:lang w:bidi="he-IL"/>
        </w:rPr>
        <w:t>”</w:t>
      </w:r>
      <w:r w:rsidR="00E50F2B">
        <w:rPr>
          <w:lang w:bidi="he-IL"/>
        </w:rPr>
        <w:t xml:space="preserve"> </w:t>
      </w:r>
      <w:r w:rsidR="000132E9" w:rsidRPr="000132E9">
        <w:rPr>
          <w:lang w:bidi="he-IL"/>
        </w:rPr>
        <w:t>“Israel stands before God’s word of promise but characteristically finds that word beyond reason and belief…. If the question of the Lord is answered, ‘Yes, some things are too hard, impossible for God,’ then God is not yet confessed as God. We have not yet conceded radical freedom to God.”</w:t>
      </w:r>
      <w:r w:rsidR="00727890">
        <w:rPr>
          <w:lang w:bidi="he-IL"/>
        </w:rPr>
        <w:t xml:space="preserve"> </w:t>
      </w:r>
      <w:r w:rsidR="000132E9" w:rsidRPr="000132E9">
        <w:rPr>
          <w:lang w:bidi="he-IL"/>
        </w:rPr>
        <w:t>But fortunately “the resolve of God to open a future by a new heir does not depend on the readiness of Abraham and Sarah to accept it. God keeps his own counsel and will work his own will.”</w:t>
      </w:r>
      <w:r w:rsidR="000132E9" w:rsidRPr="000132E9">
        <w:rPr>
          <w:vertAlign w:val="superscript"/>
          <w:lang w:bidi="he-IL"/>
        </w:rPr>
        <w:footnoteReference w:id="436"/>
      </w:r>
    </w:p>
    <w:p w14:paraId="65FF08FD" w14:textId="77777777" w:rsidR="002B1252" w:rsidRDefault="00E50F2B" w:rsidP="006E6633">
      <w:pPr>
        <w:rPr>
          <w:lang w:bidi="he-IL"/>
        </w:rPr>
      </w:pPr>
      <w:r>
        <w:rPr>
          <w:lang w:bidi="he-IL"/>
        </w:rPr>
        <w:t>Sarah feels rebuked (v. 15). Evidently she, at least, has no idea who she is talking with.</w:t>
      </w:r>
      <w:r w:rsidR="00D75786">
        <w:rPr>
          <w:lang w:bidi="he-IL"/>
        </w:rPr>
        <w:t xml:space="preserve"> </w:t>
      </w:r>
      <w:r w:rsidR="008647AF" w:rsidRPr="008647AF">
        <w:rPr>
          <w:lang w:bidi="he-IL"/>
        </w:rPr>
        <w:t xml:space="preserve">But she had only laughed inside, so it wasn’t a big lie. </w:t>
      </w:r>
      <w:r w:rsidR="008647AF">
        <w:rPr>
          <w:lang w:bidi="he-IL"/>
        </w:rPr>
        <w:t>And</w:t>
      </w:r>
      <w:r w:rsidR="00E157C8">
        <w:rPr>
          <w:lang w:bidi="he-IL"/>
        </w:rPr>
        <w:t xml:space="preserve"> this</w:t>
      </w:r>
      <w:r w:rsidR="00D75786">
        <w:rPr>
          <w:lang w:bidi="he-IL"/>
        </w:rPr>
        <w:t xml:space="preserve"> exchange</w:t>
      </w:r>
      <w:r w:rsidR="00E157C8">
        <w:rPr>
          <w:lang w:bidi="he-IL"/>
        </w:rPr>
        <w:t>,</w:t>
      </w:r>
      <w:r w:rsidR="00D75786">
        <w:rPr>
          <w:lang w:bidi="he-IL"/>
        </w:rPr>
        <w:t xml:space="preserve"> with the two further references to laughing</w:t>
      </w:r>
      <w:r w:rsidR="00E157C8">
        <w:rPr>
          <w:lang w:bidi="he-IL"/>
        </w:rPr>
        <w:t>,</w:t>
      </w:r>
      <w:r w:rsidR="00D75786">
        <w:rPr>
          <w:lang w:bidi="he-IL"/>
        </w:rPr>
        <w:t xml:space="preserve"> remind</w:t>
      </w:r>
      <w:r w:rsidR="008647AF">
        <w:rPr>
          <w:lang w:bidi="he-IL"/>
        </w:rPr>
        <w:t>s</w:t>
      </w:r>
      <w:r w:rsidR="00D75786">
        <w:rPr>
          <w:lang w:bidi="he-IL"/>
        </w:rPr>
        <w:t xml:space="preserve"> the audience of the name of the child who will be born and of the more unequivocal laughter that will come to Sarah then (21:6).</w:t>
      </w:r>
      <w:r w:rsidR="006226D5">
        <w:rPr>
          <w:lang w:bidi="he-IL"/>
        </w:rPr>
        <w:t xml:space="preserve"> And/or it leaves the audience with a se</w:t>
      </w:r>
      <w:r w:rsidR="00073387">
        <w:rPr>
          <w:lang w:bidi="he-IL"/>
        </w:rPr>
        <w:t>nse that we haven’t yet reached the</w:t>
      </w:r>
      <w:r w:rsidR="006226D5">
        <w:rPr>
          <w:lang w:bidi="he-IL"/>
        </w:rPr>
        <w:t xml:space="preserve"> end of the discussion of laughter that comes to a halt here.</w:t>
      </w:r>
      <w:r w:rsidR="006226D5">
        <w:rPr>
          <w:rStyle w:val="FootnoteReference"/>
          <w:lang w:bidi="he-IL"/>
        </w:rPr>
        <w:footnoteReference w:id="437"/>
      </w:r>
    </w:p>
    <w:p w14:paraId="0408C05C" w14:textId="77777777" w:rsidR="00587280" w:rsidRDefault="00587280" w:rsidP="006E6633">
      <w:pPr>
        <w:rPr>
          <w:lang w:bidi="he-IL"/>
        </w:rPr>
      </w:pPr>
      <w:r>
        <w:rPr>
          <w:b/>
          <w:lang w:bidi="he-IL"/>
        </w:rPr>
        <w:t>18:16</w:t>
      </w:r>
      <w:r w:rsidR="00CD3096">
        <w:rPr>
          <w:b/>
          <w:lang w:bidi="he-IL"/>
        </w:rPr>
        <w:t>-19</w:t>
      </w:r>
      <w:r>
        <w:rPr>
          <w:lang w:bidi="he-IL"/>
        </w:rPr>
        <w:t xml:space="preserve">. </w:t>
      </w:r>
      <w:proofErr w:type="gramStart"/>
      <w:r>
        <w:rPr>
          <w:lang w:bidi="he-IL"/>
        </w:rPr>
        <w:t>The</w:t>
      </w:r>
      <w:proofErr w:type="gramEnd"/>
      <w:r>
        <w:rPr>
          <w:lang w:bidi="he-IL"/>
        </w:rPr>
        <w:t xml:space="preserve"> visitors have completed the first stage of their mission. </w:t>
      </w:r>
      <w:r w:rsidR="00811B3E">
        <w:rPr>
          <w:lang w:bidi="he-IL"/>
        </w:rPr>
        <w:t xml:space="preserve">They are now off to stage two. From </w:t>
      </w:r>
      <w:r w:rsidR="00E157C8">
        <w:rPr>
          <w:lang w:bidi="he-IL"/>
        </w:rPr>
        <w:t>a point not far away from Mamre it would be possible to</w:t>
      </w:r>
      <w:r w:rsidR="00811B3E">
        <w:rPr>
          <w:lang w:bidi="he-IL"/>
        </w:rPr>
        <w:t xml:space="preserve"> </w:t>
      </w:r>
      <w:r>
        <w:rPr>
          <w:lang w:bidi="he-IL"/>
        </w:rPr>
        <w:t xml:space="preserve">look down </w:t>
      </w:r>
      <w:r w:rsidR="00811B3E">
        <w:rPr>
          <w:lang w:bidi="he-IL"/>
        </w:rPr>
        <w:t xml:space="preserve">towards the Dead Sea and Sodom </w:t>
      </w:r>
      <w:r>
        <w:rPr>
          <w:lang w:bidi="he-IL"/>
        </w:rPr>
        <w:t xml:space="preserve">as Abraham and Lot had </w:t>
      </w:r>
      <w:r w:rsidR="00E157C8">
        <w:rPr>
          <w:lang w:bidi="he-IL"/>
        </w:rPr>
        <w:t xml:space="preserve">looked down, </w:t>
      </w:r>
      <w:r>
        <w:rPr>
          <w:lang w:bidi="he-IL"/>
        </w:rPr>
        <w:t>back in 13:5-18.</w:t>
      </w:r>
    </w:p>
    <w:p w14:paraId="5EC832DB" w14:textId="4830F5A3" w:rsidR="00395500" w:rsidRDefault="00CD3096" w:rsidP="006E6633">
      <w:pPr>
        <w:rPr>
          <w:lang w:bidi="he-IL"/>
        </w:rPr>
      </w:pPr>
      <w:r>
        <w:rPr>
          <w:lang w:bidi="he-IL"/>
        </w:rPr>
        <w:t>But a</w:t>
      </w:r>
      <w:r w:rsidR="006B6863">
        <w:rPr>
          <w:lang w:bidi="he-IL"/>
        </w:rPr>
        <w:t>s Abraham is setting them off (</w:t>
      </w:r>
      <w:r w:rsidR="008F66F8">
        <w:rPr>
          <w:lang w:bidi="he-IL"/>
        </w:rPr>
        <w:t>v</w:t>
      </w:r>
      <w:r>
        <w:rPr>
          <w:lang w:bidi="he-IL"/>
        </w:rPr>
        <w:t>. 17), Yahweh refle</w:t>
      </w:r>
      <w:r w:rsidR="008F66F8">
        <w:rPr>
          <w:lang w:bidi="he-IL"/>
        </w:rPr>
        <w:t>cts to himself, o</w:t>
      </w:r>
      <w:r w:rsidR="00AF0FF1">
        <w:rPr>
          <w:lang w:bidi="he-IL"/>
        </w:rPr>
        <w:t>r speaks to the other two, whom he would be used to consulting as members of</w:t>
      </w:r>
      <w:r w:rsidR="00E157C8">
        <w:rPr>
          <w:lang w:bidi="he-IL"/>
        </w:rPr>
        <w:t xml:space="preserve"> the divine council (Jer 23:18).</w:t>
      </w:r>
      <w:r w:rsidR="00AF0FF1">
        <w:rPr>
          <w:rStyle w:val="FootnoteReference"/>
          <w:lang w:bidi="he-IL"/>
        </w:rPr>
        <w:footnoteReference w:id="438"/>
      </w:r>
      <w:r w:rsidR="00E157C8">
        <w:rPr>
          <w:lang w:bidi="he-IL"/>
        </w:rPr>
        <w:t xml:space="preserve"> E</w:t>
      </w:r>
      <w:r w:rsidR="008F66F8">
        <w:rPr>
          <w:lang w:bidi="he-IL"/>
        </w:rPr>
        <w:t>ither way</w:t>
      </w:r>
      <w:r w:rsidR="00AF0FF1">
        <w:rPr>
          <w:lang w:bidi="he-IL"/>
        </w:rPr>
        <w:t>,</w:t>
      </w:r>
      <w:r w:rsidR="008F66F8">
        <w:rPr>
          <w:lang w:bidi="he-IL"/>
        </w:rPr>
        <w:t xml:space="preserve"> </w:t>
      </w:r>
      <w:r w:rsidR="00AF0FF1">
        <w:rPr>
          <w:lang w:bidi="he-IL"/>
        </w:rPr>
        <w:t xml:space="preserve">they will </w:t>
      </w:r>
      <w:r w:rsidR="008F66F8">
        <w:rPr>
          <w:lang w:bidi="he-IL"/>
        </w:rPr>
        <w:t>e</w:t>
      </w:r>
      <w:r w:rsidR="006E758C">
        <w:rPr>
          <w:lang w:bidi="he-IL"/>
        </w:rPr>
        <w:t>ventually proceed on their own</w:t>
      </w:r>
      <w:r w:rsidR="00AF0FF1">
        <w:rPr>
          <w:lang w:bidi="he-IL"/>
        </w:rPr>
        <w:t xml:space="preserve"> </w:t>
      </w:r>
      <w:r w:rsidR="006E758C">
        <w:rPr>
          <w:lang w:bidi="he-IL"/>
        </w:rPr>
        <w:t>(</w:t>
      </w:r>
      <w:r w:rsidR="00AF0FF1">
        <w:rPr>
          <w:lang w:bidi="he-IL"/>
        </w:rPr>
        <w:t>see v. 22, and 19:1</w:t>
      </w:r>
      <w:r w:rsidR="006E758C">
        <w:rPr>
          <w:lang w:bidi="he-IL"/>
        </w:rPr>
        <w:t>)</w:t>
      </w:r>
      <w:r w:rsidR="003007D5">
        <w:rPr>
          <w:lang w:bidi="he-IL"/>
        </w:rPr>
        <w:t xml:space="preserve">. </w:t>
      </w:r>
      <w:r w:rsidR="00073387">
        <w:rPr>
          <w:lang w:bidi="he-IL"/>
        </w:rPr>
        <w:t>The principle behind Yahweh’s</w:t>
      </w:r>
      <w:r w:rsidR="00001E0B">
        <w:rPr>
          <w:lang w:bidi="he-IL"/>
        </w:rPr>
        <w:t xml:space="preserve"> question finds further expression in Amos 3:7, but the rationale </w:t>
      </w:r>
      <w:r w:rsidR="006B6863">
        <w:rPr>
          <w:lang w:bidi="he-IL"/>
        </w:rPr>
        <w:t xml:space="preserve">and the reference </w:t>
      </w:r>
      <w:r w:rsidR="00E157C8">
        <w:rPr>
          <w:lang w:bidi="he-IL"/>
        </w:rPr>
        <w:t xml:space="preserve">there </w:t>
      </w:r>
      <w:r w:rsidR="006B6863">
        <w:rPr>
          <w:lang w:bidi="he-IL"/>
        </w:rPr>
        <w:t>are different. H</w:t>
      </w:r>
      <w:r w:rsidR="00E157C8">
        <w:rPr>
          <w:lang w:bidi="he-IL"/>
        </w:rPr>
        <w:t>e</w:t>
      </w:r>
      <w:r w:rsidR="00001E0B">
        <w:rPr>
          <w:lang w:bidi="he-IL"/>
        </w:rPr>
        <w:t xml:space="preserve"> reveals </w:t>
      </w:r>
      <w:r w:rsidR="006B6863">
        <w:rPr>
          <w:lang w:bidi="he-IL"/>
        </w:rPr>
        <w:t xml:space="preserve">to prophets the action he intends to take </w:t>
      </w:r>
      <w:r w:rsidR="00001E0B">
        <w:rPr>
          <w:lang w:bidi="he-IL"/>
        </w:rPr>
        <w:t xml:space="preserve">so that </w:t>
      </w:r>
      <w:r w:rsidR="006B6863">
        <w:rPr>
          <w:lang w:bidi="he-IL"/>
        </w:rPr>
        <w:t xml:space="preserve">they can tell people </w:t>
      </w:r>
      <w:r w:rsidR="00001E0B">
        <w:rPr>
          <w:lang w:bidi="he-IL"/>
        </w:rPr>
        <w:t xml:space="preserve">about them. </w:t>
      </w:r>
      <w:r w:rsidR="006B6863">
        <w:rPr>
          <w:lang w:bidi="he-IL"/>
        </w:rPr>
        <w:t>Here he plans to tell Abraham about</w:t>
      </w:r>
      <w:r w:rsidR="006B6863" w:rsidRPr="006B6863">
        <w:rPr>
          <w:lang w:bidi="he-IL"/>
        </w:rPr>
        <w:t xml:space="preserve"> the investigation which he is about to undertake </w:t>
      </w:r>
      <w:r w:rsidR="006B6863">
        <w:rPr>
          <w:lang w:bidi="he-IL"/>
        </w:rPr>
        <w:t>(</w:t>
      </w:r>
      <w:r w:rsidR="006B6863" w:rsidRPr="006B6863">
        <w:rPr>
          <w:lang w:bidi="he-IL"/>
        </w:rPr>
        <w:t>vv. 20-21 imply he has not ma</w:t>
      </w:r>
      <w:r w:rsidR="00226B18">
        <w:rPr>
          <w:lang w:bidi="he-IL"/>
        </w:rPr>
        <w:t xml:space="preserve">de up his mind about </w:t>
      </w:r>
      <w:r w:rsidR="006B6863">
        <w:rPr>
          <w:lang w:bidi="he-IL"/>
        </w:rPr>
        <w:t>the action he intends in light of what he discovers)</w:t>
      </w:r>
      <w:r w:rsidR="006B6863" w:rsidRPr="006B6863">
        <w:rPr>
          <w:lang w:bidi="he-IL"/>
        </w:rPr>
        <w:t>.</w:t>
      </w:r>
      <w:r w:rsidR="0047367A">
        <w:rPr>
          <w:rStyle w:val="FootnoteReference"/>
          <w:lang w:bidi="he-IL"/>
        </w:rPr>
        <w:footnoteReference w:id="439"/>
      </w:r>
      <w:r w:rsidR="006B6863" w:rsidRPr="006B6863">
        <w:rPr>
          <w:lang w:bidi="he-IL"/>
        </w:rPr>
        <w:t xml:space="preserve"> </w:t>
      </w:r>
      <w:r w:rsidR="00E157C8" w:rsidRPr="00E157C8">
        <w:rPr>
          <w:lang w:bidi="he-IL"/>
        </w:rPr>
        <w:t>TgNeoph has him reflecting that Abr</w:t>
      </w:r>
      <w:r w:rsidR="00226B18">
        <w:rPr>
          <w:lang w:bidi="he-IL"/>
        </w:rPr>
        <w:t>aham is, after all, his friend (cf. Isa 41:8)</w:t>
      </w:r>
      <w:r w:rsidR="00E157C8" w:rsidRPr="00E157C8">
        <w:rPr>
          <w:lang w:bidi="he-IL"/>
        </w:rPr>
        <w:t>.</w:t>
      </w:r>
      <w:r w:rsidR="00001E0B">
        <w:rPr>
          <w:lang w:bidi="he-IL"/>
        </w:rPr>
        <w:t xml:space="preserve"> </w:t>
      </w:r>
    </w:p>
    <w:p w14:paraId="4153E68E" w14:textId="6AF33489" w:rsidR="00587280" w:rsidRDefault="00A41E10" w:rsidP="006E6633">
      <w:pPr>
        <w:rPr>
          <w:lang w:bidi="he-IL"/>
        </w:rPr>
      </w:pPr>
      <w:r>
        <w:rPr>
          <w:lang w:bidi="he-IL"/>
        </w:rPr>
        <w:t xml:space="preserve">The rationale for telling Abraham about the investigation </w:t>
      </w:r>
      <w:r w:rsidR="0047367A">
        <w:rPr>
          <w:lang w:bidi="he-IL"/>
        </w:rPr>
        <w:t xml:space="preserve">(v. 18) </w:t>
      </w:r>
      <w:r w:rsidR="00226B18">
        <w:rPr>
          <w:lang w:bidi="he-IL"/>
        </w:rPr>
        <w:t xml:space="preserve">is also different, though Yahweh’s logic is expressed </w:t>
      </w:r>
      <w:r w:rsidRPr="00A41E10">
        <w:rPr>
          <w:lang w:bidi="he-IL"/>
        </w:rPr>
        <w:t>allusively.</w:t>
      </w:r>
      <w:r>
        <w:rPr>
          <w:lang w:bidi="he-IL"/>
        </w:rPr>
        <w:t xml:space="preserve"> </w:t>
      </w:r>
      <w:r w:rsidR="0047367A">
        <w:rPr>
          <w:lang w:bidi="he-IL"/>
        </w:rPr>
        <w:t>The rationale lies in</w:t>
      </w:r>
      <w:r w:rsidR="00E157C8" w:rsidRPr="00E157C8">
        <w:rPr>
          <w:lang w:bidi="he-IL"/>
        </w:rPr>
        <w:t xml:space="preserve"> his promise to Abraham</w:t>
      </w:r>
      <w:r w:rsidR="0047367A">
        <w:rPr>
          <w:lang w:bidi="he-IL"/>
        </w:rPr>
        <w:t>, which he summarizes</w:t>
      </w:r>
      <w:r w:rsidR="00E157C8" w:rsidRPr="00E157C8">
        <w:rPr>
          <w:lang w:bidi="he-IL"/>
        </w:rPr>
        <w:t xml:space="preserve"> in words that virtually repeat 12:3 (</w:t>
      </w:r>
      <w:r w:rsidR="003D56BA">
        <w:rPr>
          <w:lang w:bidi="he-IL"/>
        </w:rPr>
        <w:t>“</w:t>
      </w:r>
      <w:r w:rsidR="00E157C8" w:rsidRPr="00E157C8">
        <w:rPr>
          <w:lang w:bidi="he-IL"/>
        </w:rPr>
        <w:t>numerous</w:t>
      </w:r>
      <w:r w:rsidR="003D56BA">
        <w:rPr>
          <w:lang w:bidi="he-IL"/>
        </w:rPr>
        <w:t>”</w:t>
      </w:r>
      <w:r w:rsidR="00E157C8" w:rsidRPr="00E157C8">
        <w:rPr>
          <w:lang w:bidi="he-IL"/>
        </w:rPr>
        <w:t xml:space="preserve"> is an addition, and 12:3 had </w:t>
      </w:r>
      <w:r w:rsidR="003D56BA">
        <w:rPr>
          <w:lang w:bidi="he-IL"/>
        </w:rPr>
        <w:t>“</w:t>
      </w:r>
      <w:r w:rsidR="00E157C8" w:rsidRPr="00E157C8">
        <w:rPr>
          <w:lang w:bidi="he-IL"/>
        </w:rPr>
        <w:t>kin-groups</w:t>
      </w:r>
      <w:r w:rsidR="003D56BA">
        <w:rPr>
          <w:lang w:bidi="he-IL"/>
        </w:rPr>
        <w:t>”</w:t>
      </w:r>
      <w:r w:rsidR="00E157C8" w:rsidRPr="00E157C8">
        <w:rPr>
          <w:lang w:bidi="he-IL"/>
        </w:rPr>
        <w:t xml:space="preserve"> rather than </w:t>
      </w:r>
      <w:r w:rsidR="003D56BA">
        <w:rPr>
          <w:lang w:bidi="he-IL"/>
        </w:rPr>
        <w:t>“</w:t>
      </w:r>
      <w:r w:rsidR="00E157C8" w:rsidRPr="00E157C8">
        <w:rPr>
          <w:lang w:bidi="he-IL"/>
        </w:rPr>
        <w:t>nations</w:t>
      </w:r>
      <w:r w:rsidR="003D56BA">
        <w:rPr>
          <w:lang w:bidi="he-IL"/>
        </w:rPr>
        <w:t>”</w:t>
      </w:r>
      <w:r w:rsidR="00E157C8" w:rsidRPr="00E157C8">
        <w:rPr>
          <w:lang w:bidi="he-IL"/>
        </w:rPr>
        <w:t>).</w:t>
      </w:r>
      <w:r w:rsidR="0047367A">
        <w:rPr>
          <w:lang w:bidi="he-IL"/>
        </w:rPr>
        <w:t xml:space="preserve"> N</w:t>
      </w:r>
      <w:r w:rsidR="00395500">
        <w:rPr>
          <w:lang w:bidi="he-IL"/>
        </w:rPr>
        <w:t xml:space="preserve">ations </w:t>
      </w:r>
      <w:r w:rsidR="0047367A">
        <w:rPr>
          <w:lang w:bidi="he-IL"/>
        </w:rPr>
        <w:t>are to find blessing through Abraham, and to that end, Abraham</w:t>
      </w:r>
      <w:r w:rsidR="00395500">
        <w:rPr>
          <w:lang w:bidi="he-IL"/>
        </w:rPr>
        <w:t xml:space="preserve"> needs to know the principles u</w:t>
      </w:r>
      <w:r w:rsidR="0047367A">
        <w:rPr>
          <w:lang w:bidi="he-IL"/>
        </w:rPr>
        <w:t xml:space="preserve">pon which Yahweh works with </w:t>
      </w:r>
      <w:r w:rsidR="00395500">
        <w:rPr>
          <w:lang w:bidi="he-IL"/>
        </w:rPr>
        <w:t xml:space="preserve">nations. </w:t>
      </w:r>
    </w:p>
    <w:p w14:paraId="4AC0BE1C" w14:textId="54E5CCDF" w:rsidR="00C14CB5" w:rsidRDefault="0047367A" w:rsidP="006E6633">
      <w:pPr>
        <w:rPr>
          <w:lang w:bidi="he-IL"/>
        </w:rPr>
      </w:pPr>
      <w:r>
        <w:rPr>
          <w:lang w:bidi="he-IL"/>
        </w:rPr>
        <w:t>T</w:t>
      </w:r>
      <w:r w:rsidR="00395500">
        <w:rPr>
          <w:lang w:bidi="he-IL"/>
        </w:rPr>
        <w:t xml:space="preserve">o that same end </w:t>
      </w:r>
      <w:r>
        <w:rPr>
          <w:lang w:bidi="he-IL"/>
        </w:rPr>
        <w:t xml:space="preserve">(v. 19) </w:t>
      </w:r>
      <w:r w:rsidR="00395500">
        <w:rPr>
          <w:lang w:bidi="he-IL"/>
        </w:rPr>
        <w:t xml:space="preserve">it is necessary that his household should be an embodiment of the priorities that Yahweh expects of humanity as a whole. </w:t>
      </w:r>
      <w:r w:rsidR="00C14CB5">
        <w:rPr>
          <w:lang w:bidi="he-IL"/>
        </w:rPr>
        <w:t>Yahweh</w:t>
      </w:r>
      <w:r w:rsidR="00022542">
        <w:rPr>
          <w:lang w:bidi="he-IL"/>
        </w:rPr>
        <w:t xml:space="preserve"> has </w:t>
      </w:r>
      <w:r w:rsidR="003D56BA">
        <w:rPr>
          <w:lang w:bidi="he-IL"/>
        </w:rPr>
        <w:t>“</w:t>
      </w:r>
      <w:r w:rsidR="00022542">
        <w:rPr>
          <w:lang w:bidi="he-IL"/>
        </w:rPr>
        <w:t>known</w:t>
      </w:r>
      <w:r w:rsidR="003D56BA">
        <w:rPr>
          <w:lang w:bidi="he-IL"/>
        </w:rPr>
        <w:t>”</w:t>
      </w:r>
      <w:r w:rsidR="00022542">
        <w:rPr>
          <w:lang w:bidi="he-IL"/>
        </w:rPr>
        <w:t xml:space="preserve"> Abraham in the sen</w:t>
      </w:r>
      <w:r w:rsidR="00001E0B">
        <w:rPr>
          <w:lang w:bidi="he-IL"/>
        </w:rPr>
        <w:t>se of taken notice of and paid regard to</w:t>
      </w:r>
      <w:r w:rsidR="00474446">
        <w:rPr>
          <w:lang w:bidi="he-IL"/>
        </w:rPr>
        <w:t xml:space="preserve"> him. I</w:t>
      </w:r>
      <w:r w:rsidR="00395500">
        <w:rPr>
          <w:lang w:bidi="he-IL"/>
        </w:rPr>
        <w:t xml:space="preserve">n effect </w:t>
      </w:r>
      <w:r>
        <w:rPr>
          <w:lang w:bidi="he-IL"/>
        </w:rPr>
        <w:t>he has chosen him. T</w:t>
      </w:r>
      <w:r w:rsidR="00474446">
        <w:rPr>
          <w:lang w:bidi="he-IL"/>
        </w:rPr>
        <w:t xml:space="preserve">he same verb comes in </w:t>
      </w:r>
      <w:r w:rsidR="00395500">
        <w:rPr>
          <w:lang w:bidi="he-IL"/>
        </w:rPr>
        <w:t xml:space="preserve">this connection in </w:t>
      </w:r>
      <w:r w:rsidR="00474446">
        <w:rPr>
          <w:lang w:bidi="he-IL"/>
        </w:rPr>
        <w:t>Amos 3:2</w:t>
      </w:r>
      <w:r>
        <w:rPr>
          <w:lang w:bidi="he-IL"/>
        </w:rPr>
        <w:t>, but the use of the</w:t>
      </w:r>
      <w:r w:rsidR="00474446">
        <w:rPr>
          <w:lang w:bidi="he-IL"/>
        </w:rPr>
        <w:t xml:space="preserve"> unusual verb </w:t>
      </w:r>
      <w:r w:rsidR="00AA07F9">
        <w:rPr>
          <w:lang w:bidi="he-IL"/>
        </w:rPr>
        <w:t xml:space="preserve">links with the theme of Yahweh making a pact with Abraham (Gen 15 and 17). In the political world, two parties can talk about </w:t>
      </w:r>
      <w:r w:rsidR="003D56BA">
        <w:rPr>
          <w:lang w:bidi="he-IL"/>
        </w:rPr>
        <w:t>“</w:t>
      </w:r>
      <w:r w:rsidR="00AA07F9">
        <w:rPr>
          <w:lang w:bidi="he-IL"/>
        </w:rPr>
        <w:t>acknowledging</w:t>
      </w:r>
      <w:r w:rsidR="003D56BA">
        <w:rPr>
          <w:lang w:bidi="he-IL"/>
        </w:rPr>
        <w:t>”</w:t>
      </w:r>
      <w:r w:rsidR="00AA07F9">
        <w:rPr>
          <w:lang w:bidi="he-IL"/>
        </w:rPr>
        <w:t xml:space="preserve"> on</w:t>
      </w:r>
      <w:r w:rsidR="004123F3">
        <w:rPr>
          <w:lang w:bidi="he-IL"/>
        </w:rPr>
        <w:t>e another in connection with the mutual recognition involved in a</w:t>
      </w:r>
      <w:r w:rsidR="00AA07F9">
        <w:rPr>
          <w:lang w:bidi="he-IL"/>
        </w:rPr>
        <w:t xml:space="preserve"> pact; in the religi</w:t>
      </w:r>
      <w:r w:rsidR="004123F3">
        <w:rPr>
          <w:lang w:bidi="he-IL"/>
        </w:rPr>
        <w:t xml:space="preserve">ous world, Yahweh </w:t>
      </w:r>
      <w:r w:rsidR="003D56BA">
        <w:rPr>
          <w:lang w:bidi="he-IL"/>
        </w:rPr>
        <w:t>“</w:t>
      </w:r>
      <w:r w:rsidR="004123F3">
        <w:rPr>
          <w:lang w:bidi="he-IL"/>
        </w:rPr>
        <w:t>acknowledges</w:t>
      </w:r>
      <w:r w:rsidR="003D56BA">
        <w:rPr>
          <w:lang w:bidi="he-IL"/>
        </w:rPr>
        <w:t>”</w:t>
      </w:r>
      <w:r w:rsidR="004123F3">
        <w:rPr>
          <w:lang w:bidi="he-IL"/>
        </w:rPr>
        <w:t xml:space="preserve"> </w:t>
      </w:r>
      <w:r w:rsidR="00AA07F9">
        <w:rPr>
          <w:lang w:bidi="he-IL"/>
        </w:rPr>
        <w:t xml:space="preserve">his people and they </w:t>
      </w:r>
      <w:r w:rsidR="003D56BA">
        <w:rPr>
          <w:lang w:bidi="he-IL"/>
        </w:rPr>
        <w:t>“</w:t>
      </w:r>
      <w:r w:rsidR="00AA07F9">
        <w:rPr>
          <w:lang w:bidi="he-IL"/>
        </w:rPr>
        <w:t>acknowledge</w:t>
      </w:r>
      <w:r w:rsidR="003D56BA">
        <w:rPr>
          <w:lang w:bidi="he-IL"/>
        </w:rPr>
        <w:t>”</w:t>
      </w:r>
      <w:r w:rsidR="00AA07F9">
        <w:rPr>
          <w:lang w:bidi="he-IL"/>
        </w:rPr>
        <w:t xml:space="preserve"> him.</w:t>
      </w:r>
      <w:r w:rsidR="004123F3">
        <w:rPr>
          <w:rStyle w:val="FootnoteReference"/>
          <w:lang w:bidi="he-IL"/>
        </w:rPr>
        <w:footnoteReference w:id="440"/>
      </w:r>
      <w:r w:rsidR="004123F3">
        <w:rPr>
          <w:lang w:bidi="he-IL"/>
        </w:rPr>
        <w:t xml:space="preserve"> </w:t>
      </w:r>
      <w:r w:rsidR="00474446">
        <w:rPr>
          <w:lang w:bidi="he-IL"/>
        </w:rPr>
        <w:t xml:space="preserve">One object of singling </w:t>
      </w:r>
      <w:r>
        <w:rPr>
          <w:lang w:bidi="he-IL"/>
        </w:rPr>
        <w:t xml:space="preserve">out </w:t>
      </w:r>
      <w:r w:rsidR="00474446">
        <w:rPr>
          <w:lang w:bidi="he-IL"/>
        </w:rPr>
        <w:t>Abraham</w:t>
      </w:r>
      <w:r>
        <w:rPr>
          <w:lang w:bidi="he-IL"/>
        </w:rPr>
        <w:t xml:space="preserve"> </w:t>
      </w:r>
      <w:r w:rsidR="00022542">
        <w:rPr>
          <w:lang w:bidi="he-IL"/>
        </w:rPr>
        <w:t>in that wa</w:t>
      </w:r>
      <w:r w:rsidR="002B06BA">
        <w:rPr>
          <w:lang w:bidi="he-IL"/>
        </w:rPr>
        <w:t xml:space="preserve">y is that he should give orders to </w:t>
      </w:r>
      <w:r w:rsidR="00022542">
        <w:rPr>
          <w:lang w:bidi="he-IL"/>
        </w:rPr>
        <w:t xml:space="preserve">his offspring and his </w:t>
      </w:r>
      <w:r w:rsidR="003D56BA">
        <w:rPr>
          <w:lang w:bidi="he-IL"/>
        </w:rPr>
        <w:t>“</w:t>
      </w:r>
      <w:r w:rsidR="00022542">
        <w:rPr>
          <w:lang w:bidi="he-IL"/>
        </w:rPr>
        <w:t>household</w:t>
      </w:r>
      <w:r w:rsidR="003D56BA">
        <w:rPr>
          <w:lang w:bidi="he-IL"/>
        </w:rPr>
        <w:t>”</w:t>
      </w:r>
      <w:r w:rsidR="00022542">
        <w:rPr>
          <w:lang w:bidi="he-IL"/>
        </w:rPr>
        <w:t>—here we</w:t>
      </w:r>
      <w:r w:rsidR="00F10A98">
        <w:rPr>
          <w:lang w:bidi="he-IL"/>
        </w:rPr>
        <w:t xml:space="preserve"> revert to the picture of Abraham</w:t>
      </w:r>
      <w:r w:rsidR="00022542">
        <w:rPr>
          <w:lang w:bidi="he-IL"/>
        </w:rPr>
        <w:t xml:space="preserve"> </w:t>
      </w:r>
      <w:r w:rsidR="00226B18">
        <w:rPr>
          <w:lang w:bidi="he-IL"/>
        </w:rPr>
        <w:t>as the head of a sizeable group</w:t>
      </w:r>
      <w:r w:rsidR="00022542">
        <w:rPr>
          <w:lang w:bidi="he-IL"/>
        </w:rPr>
        <w:t>, though not of course yet of a vast number of children</w:t>
      </w:r>
      <w:r w:rsidR="00474446">
        <w:rPr>
          <w:lang w:bidi="he-IL"/>
        </w:rPr>
        <w:t>.</w:t>
      </w:r>
      <w:r w:rsidR="002B06BA">
        <w:rPr>
          <w:lang w:bidi="he-IL"/>
        </w:rPr>
        <w:t xml:space="preserve"> Yahweh adds reference to generations to come. He’s not just </w:t>
      </w:r>
      <w:r w:rsidR="00474446">
        <w:rPr>
          <w:lang w:bidi="he-IL"/>
        </w:rPr>
        <w:t xml:space="preserve">going </w:t>
      </w:r>
      <w:r w:rsidR="002B06BA">
        <w:rPr>
          <w:lang w:bidi="he-IL"/>
        </w:rPr>
        <w:t>to make a difference in his lifetime. The differenc</w:t>
      </w:r>
      <w:r w:rsidR="00FA16B6">
        <w:rPr>
          <w:lang w:bidi="he-IL"/>
        </w:rPr>
        <w:t xml:space="preserve">e he is to make is that </w:t>
      </w:r>
      <w:r w:rsidR="00474446">
        <w:rPr>
          <w:lang w:bidi="he-IL"/>
        </w:rPr>
        <w:t>following Yahweh’s</w:t>
      </w:r>
      <w:r w:rsidR="002B06BA">
        <w:rPr>
          <w:lang w:bidi="he-IL"/>
        </w:rPr>
        <w:t xml:space="preserve"> instructions </w:t>
      </w:r>
      <w:r w:rsidR="00FA16B6">
        <w:rPr>
          <w:lang w:bidi="he-IL"/>
        </w:rPr>
        <w:t xml:space="preserve">will mean </w:t>
      </w:r>
      <w:r w:rsidR="00474446">
        <w:rPr>
          <w:lang w:bidi="he-IL"/>
        </w:rPr>
        <w:t>his household will</w:t>
      </w:r>
      <w:r w:rsidR="002B06BA">
        <w:rPr>
          <w:lang w:bidi="he-IL"/>
        </w:rPr>
        <w:t xml:space="preserve"> </w:t>
      </w:r>
      <w:r w:rsidR="003D56BA">
        <w:rPr>
          <w:lang w:bidi="he-IL"/>
        </w:rPr>
        <w:t>“</w:t>
      </w:r>
      <w:r w:rsidR="002B06BA">
        <w:rPr>
          <w:lang w:bidi="he-IL"/>
        </w:rPr>
        <w:t>keep Yahweh’s way.</w:t>
      </w:r>
      <w:r w:rsidR="003D56BA">
        <w:rPr>
          <w:lang w:bidi="he-IL"/>
        </w:rPr>
        <w:t>”</w:t>
      </w:r>
      <w:r w:rsidR="002B06BA">
        <w:rPr>
          <w:lang w:bidi="he-IL"/>
        </w:rPr>
        <w:t xml:space="preserve"> </w:t>
      </w:r>
      <w:r w:rsidR="00FA16B6">
        <w:rPr>
          <w:lang w:bidi="he-IL"/>
        </w:rPr>
        <w:t xml:space="preserve">That phrase can mean the unique way Yahweh acts, or the way Yahweh acts which people are to imitate, or the way Yahweh expects people to act—the latter two could be the same thing. Here it will denote one or other of them and in effect it will have the same meaning as living one’s life </w:t>
      </w:r>
      <w:r w:rsidR="00FA16B6">
        <w:rPr>
          <w:lang w:bidi="he-IL"/>
        </w:rPr>
        <w:lastRenderedPageBreak/>
        <w:t>before Yahweh</w:t>
      </w:r>
      <w:r w:rsidR="00474446">
        <w:rPr>
          <w:lang w:bidi="he-IL"/>
        </w:rPr>
        <w:t xml:space="preserve"> (17:1)</w:t>
      </w:r>
      <w:r w:rsidR="00FA16B6">
        <w:rPr>
          <w:lang w:bidi="he-IL"/>
        </w:rPr>
        <w:t>, with t</w:t>
      </w:r>
      <w:r w:rsidR="00474446">
        <w:rPr>
          <w:lang w:bidi="he-IL"/>
        </w:rPr>
        <w:t>ransparency and integrity</w:t>
      </w:r>
      <w:r w:rsidR="00FA16B6">
        <w:rPr>
          <w:lang w:bidi="he-IL"/>
        </w:rPr>
        <w:t>.</w:t>
      </w:r>
      <w:r w:rsidR="00E063A0">
        <w:rPr>
          <w:lang w:bidi="he-IL"/>
        </w:rPr>
        <w:t xml:space="preserve"> Yahweh goes on to define that </w:t>
      </w:r>
      <w:r w:rsidR="00474446">
        <w:rPr>
          <w:lang w:bidi="he-IL"/>
        </w:rPr>
        <w:t xml:space="preserve">way of life </w:t>
      </w:r>
      <w:r w:rsidR="00E063A0">
        <w:rPr>
          <w:lang w:bidi="he-IL"/>
        </w:rPr>
        <w:t xml:space="preserve">as doing </w:t>
      </w:r>
      <w:r w:rsidR="00E063A0">
        <w:rPr>
          <w:i/>
          <w:lang w:bidi="he-IL"/>
        </w:rPr>
        <w:t xml:space="preserve">ṣᵉdāqāh </w:t>
      </w:r>
      <w:r w:rsidR="00E063A0" w:rsidRPr="00E063A0">
        <w:rPr>
          <w:i/>
          <w:lang w:bidi="he-IL"/>
        </w:rPr>
        <w:t>ûmišpāṭ</w:t>
      </w:r>
      <w:r w:rsidR="00E063A0">
        <w:rPr>
          <w:lang w:bidi="he-IL"/>
        </w:rPr>
        <w:t>, the classic hendiadys that runs through the Psal</w:t>
      </w:r>
      <w:r w:rsidR="00D353EF">
        <w:rPr>
          <w:lang w:bidi="he-IL"/>
        </w:rPr>
        <w:t>ms and the Prophets. We know about</w:t>
      </w:r>
      <w:r w:rsidR="00E063A0">
        <w:rPr>
          <w:lang w:bidi="he-IL"/>
        </w:rPr>
        <w:t xml:space="preserve"> </w:t>
      </w:r>
      <w:r w:rsidR="00E063A0" w:rsidRPr="00E063A0">
        <w:rPr>
          <w:i/>
          <w:lang w:bidi="he-IL"/>
        </w:rPr>
        <w:t>ṣᵉdāqāh</w:t>
      </w:r>
      <w:r w:rsidR="00E063A0">
        <w:rPr>
          <w:lang w:bidi="he-IL"/>
        </w:rPr>
        <w:t xml:space="preserve"> </w:t>
      </w:r>
      <w:r w:rsidR="00D353EF">
        <w:rPr>
          <w:lang w:bidi="he-IL"/>
        </w:rPr>
        <w:t xml:space="preserve">from </w:t>
      </w:r>
      <w:r w:rsidR="00E063A0">
        <w:rPr>
          <w:lang w:bidi="he-IL"/>
        </w:rPr>
        <w:t>15:6</w:t>
      </w:r>
      <w:r w:rsidR="00D353EF">
        <w:rPr>
          <w:lang w:bidi="he-IL"/>
        </w:rPr>
        <w:t xml:space="preserve"> and of the root </w:t>
      </w:r>
      <w:r w:rsidR="00D353EF" w:rsidRPr="00D353EF">
        <w:rPr>
          <w:i/>
          <w:lang w:bidi="he-IL"/>
        </w:rPr>
        <w:t>š</w:t>
      </w:r>
      <w:r w:rsidR="00D353EF">
        <w:rPr>
          <w:i/>
          <w:lang w:bidi="he-IL"/>
        </w:rPr>
        <w:t>āpa</w:t>
      </w:r>
      <w:r w:rsidR="00D353EF" w:rsidRPr="00D353EF">
        <w:rPr>
          <w:i/>
          <w:lang w:bidi="he-IL"/>
        </w:rPr>
        <w:t>ṭ</w:t>
      </w:r>
      <w:r w:rsidR="00D353EF">
        <w:rPr>
          <w:lang w:bidi="he-IL"/>
        </w:rPr>
        <w:t xml:space="preserve"> from 16:6. In combination the two words suggest a commitment to faithful relationships before God and in the community which finds expression in the way one makes decisions. It is everything that the Torah, the Prophets, and the Psalms will expect by way of a life lived Yahweh’s way. It is a monumental expectation that Yahweh has of </w:t>
      </w:r>
      <w:proofErr w:type="gramStart"/>
      <w:r w:rsidR="00D353EF">
        <w:rPr>
          <w:lang w:bidi="he-IL"/>
        </w:rPr>
        <w:t>Abraham</w:t>
      </w:r>
      <w:r>
        <w:rPr>
          <w:lang w:bidi="he-IL"/>
        </w:rPr>
        <w:t>,</w:t>
      </w:r>
      <w:r w:rsidR="00D353EF">
        <w:rPr>
          <w:lang w:bidi="he-IL"/>
        </w:rPr>
        <w:t xml:space="preserve"> that</w:t>
      </w:r>
      <w:proofErr w:type="gramEnd"/>
      <w:r w:rsidR="00D353EF">
        <w:rPr>
          <w:lang w:bidi="he-IL"/>
        </w:rPr>
        <w:t xml:space="preserve"> he should not only walk before him with integrity but should ensure that his entourage walks that </w:t>
      </w:r>
      <w:r>
        <w:rPr>
          <w:lang w:bidi="he-IL"/>
        </w:rPr>
        <w:t xml:space="preserve">way. </w:t>
      </w:r>
      <w:r w:rsidR="008E0096">
        <w:rPr>
          <w:lang w:bidi="he-IL"/>
        </w:rPr>
        <w:t>Abraham must put his effort into this task if he expects Yahweh to fulfill his promises about him.</w:t>
      </w:r>
      <w:r w:rsidR="00474446">
        <w:rPr>
          <w:lang w:bidi="he-IL"/>
        </w:rPr>
        <w:t xml:space="preserve"> It is because Abraham is so important to the fulfillment of Yahweh’s purpose for the world that Abraham needs to understand the principles on which Yahweh is working.</w:t>
      </w:r>
      <w:r w:rsidR="00E43876">
        <w:rPr>
          <w:lang w:bidi="he-IL"/>
        </w:rPr>
        <w:t xml:space="preserve"> Yahweh’s hopes are only partially fulfilled in Genesis.</w:t>
      </w:r>
      <w:r w:rsidR="00E43876">
        <w:rPr>
          <w:rStyle w:val="FootnoteReference"/>
          <w:lang w:bidi="he-IL"/>
        </w:rPr>
        <w:footnoteReference w:id="441"/>
      </w:r>
    </w:p>
    <w:p w14:paraId="5F4A20EC" w14:textId="77777777" w:rsidR="008E0096" w:rsidRDefault="008E0096" w:rsidP="00FF2B28">
      <w:pPr>
        <w:rPr>
          <w:lang w:bidi="he-IL"/>
        </w:rPr>
      </w:pPr>
      <w:r>
        <w:rPr>
          <w:b/>
          <w:lang w:bidi="he-IL"/>
        </w:rPr>
        <w:t xml:space="preserve">18:20-21. </w:t>
      </w:r>
      <w:r>
        <w:rPr>
          <w:lang w:bidi="he-IL"/>
        </w:rPr>
        <w:t xml:space="preserve">If Yahweh was not speaking out loud in vv. 17-19, it seems likely that </w:t>
      </w:r>
      <w:r w:rsidR="00183E17">
        <w:rPr>
          <w:lang w:bidi="he-IL"/>
        </w:rPr>
        <w:t xml:space="preserve">the new introduction </w:t>
      </w:r>
      <w:r w:rsidR="003D56BA">
        <w:rPr>
          <w:lang w:bidi="he-IL"/>
        </w:rPr>
        <w:t>“</w:t>
      </w:r>
      <w:r w:rsidR="00183E17">
        <w:rPr>
          <w:lang w:bidi="he-IL"/>
        </w:rPr>
        <w:t>so Yahweh said</w:t>
      </w:r>
      <w:r w:rsidR="003D56BA">
        <w:rPr>
          <w:lang w:bidi="he-IL"/>
        </w:rPr>
        <w:t>”</w:t>
      </w:r>
      <w:r w:rsidR="00183E17">
        <w:rPr>
          <w:lang w:bidi="he-IL"/>
        </w:rPr>
        <w:t xml:space="preserve"> indicates that </w:t>
      </w:r>
      <w:r>
        <w:rPr>
          <w:lang w:bidi="he-IL"/>
        </w:rPr>
        <w:t>he is doing so now, since Abraham’s words will shortly presuppose that Abraham somehow knows Yahweh’s intentio</w:t>
      </w:r>
      <w:r w:rsidR="00697ADB">
        <w:rPr>
          <w:lang w:bidi="he-IL"/>
        </w:rPr>
        <w:t>ns. The reference</w:t>
      </w:r>
      <w:r w:rsidR="00572D1C">
        <w:rPr>
          <w:lang w:bidi="he-IL"/>
        </w:rPr>
        <w:t>s</w:t>
      </w:r>
      <w:r w:rsidR="00697ADB">
        <w:rPr>
          <w:lang w:bidi="he-IL"/>
        </w:rPr>
        <w:t xml:space="preserve"> to an outcry </w:t>
      </w:r>
      <w:r w:rsidR="00572D1C">
        <w:rPr>
          <w:lang w:bidi="he-IL"/>
        </w:rPr>
        <w:t>(</w:t>
      </w:r>
      <w:r w:rsidR="00572D1C" w:rsidRPr="00572D1C">
        <w:rPr>
          <w:i/>
          <w:lang w:bidi="he-IL"/>
        </w:rPr>
        <w:t>zᵉ‘āqāh</w:t>
      </w:r>
      <w:r w:rsidR="00572D1C">
        <w:rPr>
          <w:lang w:bidi="he-IL"/>
        </w:rPr>
        <w:t>/</w:t>
      </w:r>
      <w:r w:rsidR="00572D1C" w:rsidRPr="00572D1C">
        <w:rPr>
          <w:i/>
          <w:lang w:bidi="he-IL"/>
        </w:rPr>
        <w:t>ṣᵉ‘āqāh</w:t>
      </w:r>
      <w:r w:rsidR="00572D1C">
        <w:rPr>
          <w:lang w:bidi="he-IL"/>
        </w:rPr>
        <w:t>)</w:t>
      </w:r>
      <w:r w:rsidR="00572D1C" w:rsidRPr="00572D1C">
        <w:rPr>
          <w:lang w:bidi="he-IL"/>
        </w:rPr>
        <w:t xml:space="preserve"> </w:t>
      </w:r>
      <w:r w:rsidR="00183E17">
        <w:rPr>
          <w:lang w:bidi="he-IL"/>
        </w:rPr>
        <w:t>cohere</w:t>
      </w:r>
      <w:r>
        <w:rPr>
          <w:lang w:bidi="he-IL"/>
        </w:rPr>
        <w:t xml:space="preserve"> with the reference to </w:t>
      </w:r>
      <w:r w:rsidRPr="008E0096">
        <w:rPr>
          <w:i/>
          <w:lang w:bidi="he-IL"/>
        </w:rPr>
        <w:t>ṣᵉdāqāh ûmišpāṭ</w:t>
      </w:r>
      <w:r w:rsidR="00183E17">
        <w:rPr>
          <w:i/>
          <w:lang w:bidi="he-IL"/>
        </w:rPr>
        <w:t xml:space="preserve"> </w:t>
      </w:r>
      <w:r w:rsidR="00183E17">
        <w:rPr>
          <w:lang w:bidi="he-IL"/>
        </w:rPr>
        <w:t>in v. 19</w:t>
      </w:r>
      <w:r>
        <w:rPr>
          <w:lang w:bidi="he-IL"/>
        </w:rPr>
        <w:t xml:space="preserve">. </w:t>
      </w:r>
      <w:r w:rsidR="00183E17">
        <w:rPr>
          <w:lang w:bidi="he-IL"/>
        </w:rPr>
        <w:t>The classic pointer to the link</w:t>
      </w:r>
      <w:r>
        <w:rPr>
          <w:lang w:bidi="he-IL"/>
        </w:rPr>
        <w:t xml:space="preserve"> is Isa 5</w:t>
      </w:r>
      <w:r w:rsidR="00697ADB">
        <w:rPr>
          <w:lang w:bidi="he-IL"/>
        </w:rPr>
        <w:t>:7. When there is an outcry on the part of people who are being robbed of their land or who have to watch people indulging themselves when they lack enough to eat or who are deprived of their rights when the elders are supp</w:t>
      </w:r>
      <w:r w:rsidR="00183E17">
        <w:rPr>
          <w:lang w:bidi="he-IL"/>
        </w:rPr>
        <w:t>osed to be resolving disputes in a fair way</w:t>
      </w:r>
      <w:r w:rsidR="00697ADB">
        <w:rPr>
          <w:lang w:bidi="he-IL"/>
        </w:rPr>
        <w:t xml:space="preserve"> at the town gate, then the community has failed to exercise its responsibility for </w:t>
      </w:r>
      <w:r w:rsidR="00697ADB" w:rsidRPr="00697ADB">
        <w:rPr>
          <w:i/>
          <w:lang w:bidi="he-IL"/>
        </w:rPr>
        <w:t>ṣᵉdāqāh ûmišpāṭ</w:t>
      </w:r>
      <w:r w:rsidR="00697ADB">
        <w:rPr>
          <w:lang w:bidi="he-IL"/>
        </w:rPr>
        <w:t xml:space="preserve">. </w:t>
      </w:r>
      <w:r w:rsidR="00FF2B28">
        <w:rPr>
          <w:lang w:bidi="he-IL"/>
        </w:rPr>
        <w:t xml:space="preserve">TgPsJ gives as the reason for the outcry </w:t>
      </w:r>
      <w:r w:rsidR="00065786">
        <w:rPr>
          <w:lang w:bidi="he-IL"/>
        </w:rPr>
        <w:t>regarding Sodom and</w:t>
      </w:r>
      <w:r w:rsidR="00183E17">
        <w:rPr>
          <w:lang w:bidi="he-IL"/>
        </w:rPr>
        <w:t xml:space="preserve"> Gomorrah </w:t>
      </w:r>
      <w:r w:rsidR="00FF2B28">
        <w:rPr>
          <w:lang w:bidi="he-IL"/>
        </w:rPr>
        <w:t>that</w:t>
      </w:r>
      <w:r w:rsidR="00FF2B28" w:rsidRPr="00FF2B28">
        <w:rPr>
          <w:rFonts w:eastAsiaTheme="minorHAnsi" w:cs="Times New Roman"/>
          <w:iCs/>
        </w:rPr>
        <w:t xml:space="preserve"> </w:t>
      </w:r>
      <w:r w:rsidR="003D56BA">
        <w:rPr>
          <w:rFonts w:eastAsiaTheme="minorHAnsi" w:cs="Times New Roman"/>
          <w:iCs/>
        </w:rPr>
        <w:t>“</w:t>
      </w:r>
      <w:r w:rsidR="00FF2B28" w:rsidRPr="00FF2B28">
        <w:rPr>
          <w:rFonts w:eastAsiaTheme="minorHAnsi" w:cs="Times New Roman"/>
          <w:iCs/>
        </w:rPr>
        <w:t>they oppress the poor</w:t>
      </w:r>
      <w:r w:rsidR="00364473">
        <w:rPr>
          <w:rFonts w:eastAsiaTheme="minorHAnsi" w:cs="Times New Roman"/>
          <w:iCs/>
        </w:rPr>
        <w:t xml:space="preserve"> </w:t>
      </w:r>
      <w:r w:rsidR="00FF2B28" w:rsidRPr="00FF2B28">
        <w:rPr>
          <w:rFonts w:eastAsiaTheme="minorHAnsi" w:cs="Times New Roman"/>
          <w:iCs/>
        </w:rPr>
        <w:t xml:space="preserve">and decree that whoever gives a </w:t>
      </w:r>
      <w:r w:rsidR="00582D41">
        <w:rPr>
          <w:rFonts w:eastAsiaTheme="minorHAnsi" w:cs="Times New Roman"/>
          <w:iCs/>
        </w:rPr>
        <w:t>morsel of bread to the needy wi</w:t>
      </w:r>
      <w:r w:rsidR="00FF2B28" w:rsidRPr="00FF2B28">
        <w:rPr>
          <w:rFonts w:eastAsiaTheme="minorHAnsi" w:cs="Times New Roman"/>
          <w:iCs/>
        </w:rPr>
        <w:t>ll be burned by</w:t>
      </w:r>
      <w:r w:rsidR="00FF2B28">
        <w:rPr>
          <w:rFonts w:eastAsiaTheme="minorHAnsi" w:cs="Times New Roman"/>
          <w:iCs/>
        </w:rPr>
        <w:t xml:space="preserve"> fire.</w:t>
      </w:r>
      <w:r w:rsidR="003D56BA">
        <w:rPr>
          <w:rFonts w:eastAsiaTheme="minorHAnsi" w:cs="Times New Roman"/>
          <w:iCs/>
        </w:rPr>
        <w:t>”</w:t>
      </w:r>
      <w:r w:rsidR="00FF2B28">
        <w:rPr>
          <w:rFonts w:eastAsiaTheme="minorHAnsi" w:cs="Times New Roman"/>
          <w:iCs/>
        </w:rPr>
        <w:t xml:space="preserve"> </w:t>
      </w:r>
      <w:r w:rsidR="00697ADB">
        <w:rPr>
          <w:lang w:bidi="he-IL"/>
        </w:rPr>
        <w:t xml:space="preserve">Yahweh has heard tell that within Sodom and Gomorrah </w:t>
      </w:r>
      <w:r w:rsidR="00183E17">
        <w:rPr>
          <w:lang w:bidi="he-IL"/>
        </w:rPr>
        <w:t>and/</w:t>
      </w:r>
      <w:r w:rsidR="00697ADB">
        <w:rPr>
          <w:lang w:bidi="he-IL"/>
        </w:rPr>
        <w:t>or in its relationships with the people who live around the towns, there is huge wrongdoing of this kind.</w:t>
      </w:r>
      <w:r w:rsidR="00FF2B28">
        <w:rPr>
          <w:lang w:bidi="he-IL"/>
        </w:rPr>
        <w:t xml:space="preserve"> T</w:t>
      </w:r>
      <w:r w:rsidR="00572D1C">
        <w:rPr>
          <w:lang w:bidi="he-IL"/>
        </w:rPr>
        <w:t>he blood of people who have been robbed of their lives one way or another has been crying out (Gen 4:10), and Yahweh has heard it.</w:t>
      </w:r>
      <w:r w:rsidR="00183E17">
        <w:rPr>
          <w:lang w:bidi="he-IL"/>
        </w:rPr>
        <w:t xml:space="preserve"> While </w:t>
      </w:r>
      <w:r w:rsidR="00B3164B">
        <w:rPr>
          <w:lang w:bidi="he-IL"/>
        </w:rPr>
        <w:t>Gen 19 will focus on sexual waywardness in Sodom (cf. Jude 7),</w:t>
      </w:r>
      <w:r w:rsidR="0047367A">
        <w:rPr>
          <w:rStyle w:val="FootnoteReference"/>
          <w:lang w:bidi="he-IL"/>
        </w:rPr>
        <w:footnoteReference w:id="442"/>
      </w:r>
      <w:r w:rsidR="00B3164B">
        <w:rPr>
          <w:lang w:bidi="he-IL"/>
        </w:rPr>
        <w:t xml:space="preserve"> elsewhere the First Testament sees Sodom as an embodiment of this broader social and moral failure (e.g., Isa 1:10-31; Ezek 16).</w:t>
      </w:r>
    </w:p>
    <w:p w14:paraId="39DDD507" w14:textId="77777777" w:rsidR="00697ADB" w:rsidRDefault="00697ADB" w:rsidP="006E6633">
      <w:pPr>
        <w:rPr>
          <w:lang w:bidi="he-IL"/>
        </w:rPr>
      </w:pPr>
      <w:r>
        <w:rPr>
          <w:lang w:bidi="he-IL"/>
        </w:rPr>
        <w:t>But Yahweh does not act on the basis of hearsay (v. 21). He will go down and take a look, as he did at the Babel tower (11:</w:t>
      </w:r>
      <w:r w:rsidR="00A256DE">
        <w:rPr>
          <w:lang w:bidi="he-IL"/>
        </w:rPr>
        <w:t>5).</w:t>
      </w:r>
    </w:p>
    <w:p w14:paraId="0E42387A" w14:textId="77777777" w:rsidR="00673FC6" w:rsidRPr="00673FC6" w:rsidRDefault="001D7F80" w:rsidP="00673FC6">
      <w:pPr>
        <w:rPr>
          <w:lang w:bidi="he-IL"/>
        </w:rPr>
      </w:pPr>
      <w:r>
        <w:rPr>
          <w:b/>
          <w:lang w:bidi="he-IL"/>
        </w:rPr>
        <w:t>18:22-26</w:t>
      </w:r>
      <w:r w:rsidR="00A256DE">
        <w:rPr>
          <w:b/>
          <w:lang w:bidi="he-IL"/>
        </w:rPr>
        <w:t xml:space="preserve">. </w:t>
      </w:r>
      <w:r w:rsidR="00A256DE">
        <w:rPr>
          <w:lang w:bidi="he-IL"/>
        </w:rPr>
        <w:t>Abraham and the three visitors have apparently been standing at the beginning of the descent to the Dead Sea</w:t>
      </w:r>
      <w:r w:rsidR="000006FF">
        <w:rPr>
          <w:lang w:bidi="he-IL"/>
        </w:rPr>
        <w:t>. Two of the three</w:t>
      </w:r>
      <w:r w:rsidR="00D23169">
        <w:rPr>
          <w:lang w:bidi="he-IL"/>
        </w:rPr>
        <w:t xml:space="preserve"> now set off. T</w:t>
      </w:r>
      <w:r w:rsidR="00A256DE">
        <w:rPr>
          <w:lang w:bidi="he-IL"/>
        </w:rPr>
        <w:t xml:space="preserve">he short way </w:t>
      </w:r>
      <w:r w:rsidR="00D23169">
        <w:rPr>
          <w:lang w:bidi="he-IL"/>
        </w:rPr>
        <w:t xml:space="preserve">to Sodom </w:t>
      </w:r>
      <w:r w:rsidR="000006FF">
        <w:rPr>
          <w:lang w:bidi="he-IL"/>
        </w:rPr>
        <w:t xml:space="preserve">would again </w:t>
      </w:r>
      <w:r w:rsidR="00A256DE">
        <w:rPr>
          <w:lang w:bidi="he-IL"/>
        </w:rPr>
        <w:t xml:space="preserve">be via Ein Gedi </w:t>
      </w:r>
      <w:r w:rsidR="000006FF">
        <w:rPr>
          <w:lang w:bidi="he-IL"/>
        </w:rPr>
        <w:t>(</w:t>
      </w:r>
      <w:r w:rsidR="00A256DE">
        <w:rPr>
          <w:lang w:bidi="he-IL"/>
        </w:rPr>
        <w:t>though see the comment on 14:7</w:t>
      </w:r>
      <w:r w:rsidR="000006FF">
        <w:rPr>
          <w:lang w:bidi="he-IL"/>
        </w:rPr>
        <w:t>)</w:t>
      </w:r>
      <w:r w:rsidR="00A256DE">
        <w:rPr>
          <w:lang w:bidi="he-IL"/>
        </w:rPr>
        <w:t xml:space="preserve">; the more civilized </w:t>
      </w:r>
      <w:r w:rsidR="000006FF">
        <w:rPr>
          <w:lang w:bidi="he-IL"/>
        </w:rPr>
        <w:t>way for ordinary human beings would be</w:t>
      </w:r>
      <w:r w:rsidR="00A256DE">
        <w:rPr>
          <w:lang w:bidi="he-IL"/>
        </w:rPr>
        <w:t xml:space="preserve"> </w:t>
      </w:r>
      <w:r w:rsidR="00E350F6">
        <w:rPr>
          <w:lang w:bidi="he-IL"/>
        </w:rPr>
        <w:t xml:space="preserve">via Arad and Nahal Zohar or </w:t>
      </w:r>
      <w:r w:rsidR="001D27DE">
        <w:rPr>
          <w:lang w:bidi="he-IL"/>
        </w:rPr>
        <w:t>via Beer S</w:t>
      </w:r>
      <w:r w:rsidR="00A256DE">
        <w:rPr>
          <w:lang w:bidi="he-IL"/>
        </w:rPr>
        <w:t>heba and the Scorpions</w:t>
      </w:r>
      <w:r w:rsidR="00D23169">
        <w:rPr>
          <w:lang w:bidi="he-IL"/>
        </w:rPr>
        <w:t xml:space="preserve"> Ascent, south of the Dead Sea. </w:t>
      </w:r>
      <w:r w:rsidR="00E04FCF">
        <w:rPr>
          <w:lang w:bidi="he-IL"/>
        </w:rPr>
        <w:t xml:space="preserve">Meanwhile </w:t>
      </w:r>
      <w:r w:rsidR="000006FF">
        <w:rPr>
          <w:lang w:bidi="he-IL"/>
        </w:rPr>
        <w:t>Abraham is still standing in front of</w:t>
      </w:r>
      <w:r w:rsidR="00FD7DB6">
        <w:rPr>
          <w:lang w:bidi="he-IL"/>
        </w:rPr>
        <w:t xml:space="preserve"> Yahweh in the position of a servant (e.g., 41:46), the position he has been occupying sin</w:t>
      </w:r>
      <w:r w:rsidR="00FD7DB6" w:rsidRPr="00FD7DB6">
        <w:rPr>
          <w:lang w:bidi="he-IL"/>
        </w:rPr>
        <w:t>ce the three vis</w:t>
      </w:r>
      <w:r w:rsidR="00FD7DB6">
        <w:rPr>
          <w:lang w:bidi="he-IL"/>
        </w:rPr>
        <w:t>i</w:t>
      </w:r>
      <w:r w:rsidR="00FD7DB6" w:rsidRPr="00FD7DB6">
        <w:rPr>
          <w:lang w:bidi="he-IL"/>
        </w:rPr>
        <w:t>tors arrived.</w:t>
      </w:r>
      <w:r w:rsidR="00FD7DB6">
        <w:rPr>
          <w:lang w:bidi="he-IL"/>
        </w:rPr>
        <w:t xml:space="preserve"> </w:t>
      </w:r>
      <w:r w:rsidR="00673FC6" w:rsidRPr="00673FC6">
        <w:rPr>
          <w:lang w:bidi="he-IL"/>
        </w:rPr>
        <w:t>But it see</w:t>
      </w:r>
      <w:r w:rsidR="00E04FCF">
        <w:rPr>
          <w:lang w:bidi="he-IL"/>
        </w:rPr>
        <w:t>ms that he</w:t>
      </w:r>
      <w:r w:rsidR="00673FC6" w:rsidRPr="00673FC6">
        <w:rPr>
          <w:lang w:bidi="he-IL"/>
        </w:rPr>
        <w:t xml:space="preserve"> now knows who the third visitor is</w:t>
      </w:r>
      <w:r w:rsidR="00E01A1D">
        <w:rPr>
          <w:lang w:bidi="he-IL"/>
        </w:rPr>
        <w:t xml:space="preserve">, </w:t>
      </w:r>
      <w:r w:rsidR="00E01A1D" w:rsidRPr="00E01A1D">
        <w:rPr>
          <w:lang w:bidi="he-IL"/>
        </w:rPr>
        <w:t>from vv. 20-21</w:t>
      </w:r>
      <w:r w:rsidR="00673FC6" w:rsidRPr="00673FC6">
        <w:rPr>
          <w:lang w:bidi="he-IL"/>
        </w:rPr>
        <w:t xml:space="preserve">. And the nature of his servanthood </w:t>
      </w:r>
      <w:r w:rsidR="00E04FCF">
        <w:rPr>
          <w:lang w:bidi="he-IL"/>
        </w:rPr>
        <w:t xml:space="preserve">is about to change. It will </w:t>
      </w:r>
      <w:r w:rsidR="00673FC6" w:rsidRPr="00673FC6">
        <w:rPr>
          <w:lang w:bidi="he-IL"/>
        </w:rPr>
        <w:t>be</w:t>
      </w:r>
      <w:r w:rsidR="00E04FCF">
        <w:rPr>
          <w:lang w:bidi="he-IL"/>
        </w:rPr>
        <w:t>come</w:t>
      </w:r>
      <w:r w:rsidR="00673FC6" w:rsidRPr="00673FC6">
        <w:rPr>
          <w:lang w:bidi="he-IL"/>
        </w:rPr>
        <w:t xml:space="preserve"> more that of a prophet, who may ask his Lord quite confrontational qu</w:t>
      </w:r>
      <w:r w:rsidR="00581FC7">
        <w:rPr>
          <w:lang w:bidi="he-IL"/>
        </w:rPr>
        <w:t>estions—again like Amos.</w:t>
      </w:r>
      <w:r w:rsidR="00673FC6" w:rsidRPr="00673FC6">
        <w:rPr>
          <w:vertAlign w:val="superscript"/>
          <w:lang w:bidi="he-IL"/>
        </w:rPr>
        <w:footnoteReference w:id="443"/>
      </w:r>
    </w:p>
    <w:p w14:paraId="1D7D4603" w14:textId="1D6E99DA" w:rsidR="00E01A1D" w:rsidRPr="00E01A1D" w:rsidRDefault="00E01A1D" w:rsidP="00E01A1D">
      <w:pPr>
        <w:rPr>
          <w:lang w:bidi="he-IL"/>
        </w:rPr>
      </w:pPr>
      <w:r>
        <w:rPr>
          <w:lang w:bidi="he-IL"/>
        </w:rPr>
        <w:t>Thus Abraham</w:t>
      </w:r>
      <w:r w:rsidR="00D23169" w:rsidRPr="00D23169">
        <w:rPr>
          <w:lang w:bidi="he-IL"/>
        </w:rPr>
        <w:t xml:space="preserve"> comes up (</w:t>
      </w:r>
      <w:r w:rsidR="00D23169" w:rsidRPr="00D23169">
        <w:rPr>
          <w:i/>
          <w:lang w:bidi="he-IL"/>
        </w:rPr>
        <w:t>nāgaš</w:t>
      </w:r>
      <w:r w:rsidR="00D23169" w:rsidRPr="00D23169">
        <w:rPr>
          <w:lang w:bidi="he-IL"/>
        </w:rPr>
        <w:t>)</w:t>
      </w:r>
      <w:r w:rsidR="00D23169" w:rsidRPr="00D23169">
        <w:rPr>
          <w:i/>
          <w:lang w:bidi="he-IL"/>
        </w:rPr>
        <w:t xml:space="preserve"> </w:t>
      </w:r>
      <w:r w:rsidR="00D23169">
        <w:rPr>
          <w:lang w:bidi="he-IL"/>
        </w:rPr>
        <w:t xml:space="preserve">to Yahweh (v. 23). </w:t>
      </w:r>
      <w:r w:rsidR="00581FC7">
        <w:rPr>
          <w:lang w:bidi="he-IL"/>
        </w:rPr>
        <w:t>The verb</w:t>
      </w:r>
      <w:r w:rsidR="00FD7DB6">
        <w:rPr>
          <w:lang w:bidi="he-IL"/>
        </w:rPr>
        <w:t xml:space="preserve"> can denote a </w:t>
      </w:r>
      <w:r w:rsidR="00D23169">
        <w:rPr>
          <w:lang w:bidi="he-IL"/>
        </w:rPr>
        <w:t xml:space="preserve">priest </w:t>
      </w:r>
      <w:r w:rsidR="00581FC7">
        <w:rPr>
          <w:lang w:bidi="he-IL"/>
        </w:rPr>
        <w:t xml:space="preserve">or </w:t>
      </w:r>
      <w:r w:rsidR="00FD7DB6">
        <w:rPr>
          <w:lang w:bidi="he-IL"/>
        </w:rPr>
        <w:t xml:space="preserve">Levite </w:t>
      </w:r>
      <w:r>
        <w:rPr>
          <w:lang w:bidi="he-IL"/>
        </w:rPr>
        <w:t>approaching</w:t>
      </w:r>
      <w:r w:rsidR="00D23169">
        <w:rPr>
          <w:lang w:bidi="he-IL"/>
        </w:rPr>
        <w:t xml:space="preserve"> </w:t>
      </w:r>
      <w:r>
        <w:rPr>
          <w:lang w:bidi="he-IL"/>
        </w:rPr>
        <w:t>God, or approaching</w:t>
      </w:r>
      <w:r w:rsidR="003A32BC">
        <w:rPr>
          <w:lang w:bidi="he-IL"/>
        </w:rPr>
        <w:t xml:space="preserve"> </w:t>
      </w:r>
      <w:r w:rsidR="00D23169">
        <w:rPr>
          <w:lang w:bidi="he-IL"/>
        </w:rPr>
        <w:t>the altar</w:t>
      </w:r>
      <w:r w:rsidR="003A32BC">
        <w:rPr>
          <w:lang w:bidi="he-IL"/>
        </w:rPr>
        <w:t xml:space="preserve"> or the sanctuary (e.g., Exod 19:22; Num 4:19; 8:19)</w:t>
      </w:r>
      <w:r w:rsidR="00D23169">
        <w:rPr>
          <w:lang w:bidi="he-IL"/>
        </w:rPr>
        <w:t xml:space="preserve">. </w:t>
      </w:r>
      <w:r w:rsidR="003A32BC">
        <w:rPr>
          <w:lang w:bidi="he-IL"/>
        </w:rPr>
        <w:t>It’s a s</w:t>
      </w:r>
      <w:r w:rsidR="004548FA">
        <w:rPr>
          <w:lang w:bidi="he-IL"/>
        </w:rPr>
        <w:t>o</w:t>
      </w:r>
      <w:r w:rsidR="003A32BC">
        <w:rPr>
          <w:lang w:bidi="he-IL"/>
        </w:rPr>
        <w:t>lemn thing to do. But Abraham</w:t>
      </w:r>
      <w:r w:rsidR="00D23169" w:rsidRPr="00D23169">
        <w:rPr>
          <w:lang w:bidi="he-IL"/>
        </w:rPr>
        <w:t xml:space="preserve"> doesn’t fall down as he did in </w:t>
      </w:r>
      <w:r w:rsidR="001C4116">
        <w:rPr>
          <w:lang w:bidi="he-IL"/>
        </w:rPr>
        <w:t>17:1</w:t>
      </w:r>
      <w:r w:rsidR="00D23169" w:rsidRPr="00D23169">
        <w:rPr>
          <w:lang w:bidi="he-IL"/>
        </w:rPr>
        <w:t xml:space="preserve">. </w:t>
      </w:r>
      <w:r w:rsidR="00D23169">
        <w:rPr>
          <w:lang w:bidi="he-IL"/>
        </w:rPr>
        <w:t>There is a kind of confidence and</w:t>
      </w:r>
      <w:r>
        <w:rPr>
          <w:lang w:bidi="he-IL"/>
        </w:rPr>
        <w:t xml:space="preserve"> boldness about this coming up to God</w:t>
      </w:r>
      <w:r w:rsidR="00D23169">
        <w:rPr>
          <w:lang w:bidi="he-IL"/>
        </w:rPr>
        <w:t>.</w:t>
      </w:r>
      <w:r w:rsidR="0082270A">
        <w:rPr>
          <w:lang w:bidi="he-IL"/>
        </w:rPr>
        <w:t xml:space="preserve"> There is even mo</w:t>
      </w:r>
      <w:r>
        <w:rPr>
          <w:lang w:bidi="he-IL"/>
        </w:rPr>
        <w:t>re boldness about his</w:t>
      </w:r>
      <w:r w:rsidR="007A072B">
        <w:rPr>
          <w:lang w:bidi="he-IL"/>
        </w:rPr>
        <w:t xml:space="preserve"> questio</w:t>
      </w:r>
      <w:r>
        <w:rPr>
          <w:lang w:bidi="he-IL"/>
        </w:rPr>
        <w:t xml:space="preserve">n, as there was about his </w:t>
      </w:r>
      <w:r w:rsidR="007A072B">
        <w:rPr>
          <w:lang w:bidi="he-IL"/>
        </w:rPr>
        <w:t xml:space="preserve">question and wish in 17:17-18. </w:t>
      </w:r>
      <w:r w:rsidR="004548FA">
        <w:rPr>
          <w:lang w:bidi="he-IL"/>
        </w:rPr>
        <w:t xml:space="preserve">As was the case there, it’s </w:t>
      </w:r>
      <w:r>
        <w:rPr>
          <w:lang w:bidi="he-IL"/>
        </w:rPr>
        <w:t>not formal</w:t>
      </w:r>
      <w:r w:rsidR="004548FA">
        <w:rPr>
          <w:lang w:bidi="he-IL"/>
        </w:rPr>
        <w:t xml:space="preserve">ly a prayer, though </w:t>
      </w:r>
      <w:r w:rsidR="001C4116">
        <w:rPr>
          <w:lang w:bidi="he-IL"/>
        </w:rPr>
        <w:t>it likely implies one. F</w:t>
      </w:r>
      <w:r w:rsidR="004548FA">
        <w:rPr>
          <w:lang w:bidi="he-IL"/>
        </w:rPr>
        <w:t xml:space="preserve">or the audience it’s a dialogue from which they might learn both to think and to pray. </w:t>
      </w:r>
      <w:r w:rsidR="007A072B">
        <w:rPr>
          <w:lang w:bidi="he-IL"/>
        </w:rPr>
        <w:t xml:space="preserve">The </w:t>
      </w:r>
      <w:r w:rsidR="007A072B">
        <w:rPr>
          <w:lang w:bidi="he-IL"/>
        </w:rPr>
        <w:lastRenderedPageBreak/>
        <w:t>faithless (</w:t>
      </w:r>
      <w:r w:rsidR="007A072B">
        <w:rPr>
          <w:i/>
          <w:lang w:bidi="he-IL"/>
        </w:rPr>
        <w:t>rāšā‘</w:t>
      </w:r>
      <w:r w:rsidR="007A072B">
        <w:rPr>
          <w:lang w:bidi="he-IL"/>
        </w:rPr>
        <w:t>) is the o</w:t>
      </w:r>
      <w:r w:rsidR="0052555C">
        <w:rPr>
          <w:lang w:bidi="he-IL"/>
        </w:rPr>
        <w:t xml:space="preserve">pposite of the faithful, </w:t>
      </w:r>
      <w:r>
        <w:rPr>
          <w:lang w:bidi="he-IL"/>
        </w:rPr>
        <w:t>though</w:t>
      </w:r>
      <w:r w:rsidR="007A072B">
        <w:rPr>
          <w:lang w:bidi="he-IL"/>
        </w:rPr>
        <w:t xml:space="preserve"> less obviously </w:t>
      </w:r>
      <w:r>
        <w:rPr>
          <w:lang w:bidi="he-IL"/>
        </w:rPr>
        <w:t>so th</w:t>
      </w:r>
      <w:r w:rsidR="001C4116">
        <w:rPr>
          <w:lang w:bidi="he-IL"/>
        </w:rPr>
        <w:t>an is suggested by the antithetical relationship</w:t>
      </w:r>
      <w:r w:rsidR="0052555C">
        <w:rPr>
          <w:lang w:bidi="he-IL"/>
        </w:rPr>
        <w:t xml:space="preserve"> of those two words in English</w:t>
      </w:r>
      <w:r>
        <w:rPr>
          <w:lang w:bidi="he-IL"/>
        </w:rPr>
        <w:t>. The faithless ignore</w:t>
      </w:r>
      <w:r w:rsidR="001C4116">
        <w:rPr>
          <w:lang w:bidi="he-IL"/>
        </w:rPr>
        <w:t xml:space="preserve"> obligations to </w:t>
      </w:r>
      <w:r w:rsidR="007A072B">
        <w:rPr>
          <w:lang w:bidi="he-IL"/>
        </w:rPr>
        <w:t>human be</w:t>
      </w:r>
      <w:r>
        <w:rPr>
          <w:lang w:bidi="he-IL"/>
        </w:rPr>
        <w:t>ings or to God. They</w:t>
      </w:r>
      <w:r w:rsidR="007A072B">
        <w:rPr>
          <w:lang w:bidi="he-IL"/>
        </w:rPr>
        <w:t xml:space="preserve"> do what they like.</w:t>
      </w:r>
      <w:r w:rsidR="001C4116">
        <w:rPr>
          <w:lang w:bidi="he-IL"/>
        </w:rPr>
        <w:t xml:space="preserve"> They ignore the needs of </w:t>
      </w:r>
      <w:r w:rsidR="007A072B">
        <w:rPr>
          <w:lang w:bidi="he-IL"/>
        </w:rPr>
        <w:t xml:space="preserve">people who have a claim on them. </w:t>
      </w:r>
      <w:r>
        <w:rPr>
          <w:lang w:bidi="he-IL"/>
        </w:rPr>
        <w:t>I</w:t>
      </w:r>
      <w:r w:rsidR="00257B4C">
        <w:rPr>
          <w:lang w:bidi="he-IL"/>
        </w:rPr>
        <w:t>f a town is nearly ful</w:t>
      </w:r>
      <w:r>
        <w:rPr>
          <w:lang w:bidi="he-IL"/>
        </w:rPr>
        <w:t xml:space="preserve">l of such people, but </w:t>
      </w:r>
      <w:r w:rsidR="00257B4C">
        <w:rPr>
          <w:lang w:bidi="he-IL"/>
        </w:rPr>
        <w:t>there are some faithful people there, would Yahweh really sweep away the faithful with the faithless who deserve it?</w:t>
      </w:r>
      <w:r>
        <w:rPr>
          <w:lang w:bidi="he-IL"/>
        </w:rPr>
        <w:t xml:space="preserve"> </w:t>
      </w:r>
      <w:r w:rsidR="00F525EC">
        <w:rPr>
          <w:lang w:bidi="he-IL"/>
        </w:rPr>
        <w:t>Abraham is not asking a question that relates to Lot in parti</w:t>
      </w:r>
      <w:r w:rsidR="00F15DA0">
        <w:rPr>
          <w:lang w:bidi="he-IL"/>
        </w:rPr>
        <w:t>cular, or praying for Lot. He’</w:t>
      </w:r>
      <w:r w:rsidR="00F525EC">
        <w:rPr>
          <w:lang w:bidi="he-IL"/>
        </w:rPr>
        <w:t>s asking a question about a town, praying for Sodom</w:t>
      </w:r>
      <w:r w:rsidR="00F525EC" w:rsidRPr="00F525EC">
        <w:rPr>
          <w:lang w:bidi="he-IL"/>
        </w:rPr>
        <w:t>.</w:t>
      </w:r>
      <w:r w:rsidR="00F525EC" w:rsidRPr="00F525EC">
        <w:rPr>
          <w:vertAlign w:val="superscript"/>
          <w:lang w:bidi="he-IL"/>
        </w:rPr>
        <w:footnoteReference w:id="444"/>
      </w:r>
      <w:r w:rsidR="004746E4">
        <w:rPr>
          <w:lang w:bidi="he-IL"/>
        </w:rPr>
        <w:t xml:space="preserve"> He speaks about </w:t>
      </w:r>
      <w:r w:rsidR="003D56BA">
        <w:rPr>
          <w:lang w:bidi="he-IL"/>
        </w:rPr>
        <w:t>“</w:t>
      </w:r>
      <w:r w:rsidR="001C4116">
        <w:rPr>
          <w:lang w:val="en-GB" w:bidi="he-IL"/>
        </w:rPr>
        <w:t xml:space="preserve">a </w:t>
      </w:r>
      <w:r w:rsidR="004746E4" w:rsidRPr="004746E4">
        <w:rPr>
          <w:lang w:val="en-GB" w:bidi="he-IL"/>
        </w:rPr>
        <w:t>faithful person</w:t>
      </w:r>
      <w:r w:rsidR="003D56BA">
        <w:rPr>
          <w:lang w:val="en-GB" w:bidi="he-IL"/>
        </w:rPr>
        <w:t>”</w:t>
      </w:r>
      <w:r w:rsidR="004746E4">
        <w:rPr>
          <w:lang w:val="en-GB" w:bidi="he-IL"/>
        </w:rPr>
        <w:t xml:space="preserve"> and</w:t>
      </w:r>
      <w:r w:rsidR="004746E4" w:rsidRPr="004746E4">
        <w:rPr>
          <w:lang w:val="en-GB" w:bidi="he-IL"/>
        </w:rPr>
        <w:t xml:space="preserve"> </w:t>
      </w:r>
      <w:r w:rsidR="003D56BA">
        <w:rPr>
          <w:lang w:val="en-GB" w:bidi="he-IL"/>
        </w:rPr>
        <w:t>“</w:t>
      </w:r>
      <w:r w:rsidR="001C4116">
        <w:rPr>
          <w:lang w:val="en-GB" w:bidi="he-IL"/>
        </w:rPr>
        <w:t>a</w:t>
      </w:r>
      <w:r w:rsidR="004746E4" w:rsidRPr="004746E4">
        <w:rPr>
          <w:lang w:val="en-GB" w:bidi="he-IL"/>
        </w:rPr>
        <w:t xml:space="preserve"> faithless person</w:t>
      </w:r>
      <w:r w:rsidR="001C4116">
        <w:rPr>
          <w:lang w:val="en-GB" w:bidi="he-IL"/>
        </w:rPr>
        <w:t>.” T</w:t>
      </w:r>
      <w:r w:rsidR="004746E4">
        <w:rPr>
          <w:lang w:val="en-GB" w:bidi="he-IL"/>
        </w:rPr>
        <w:t>hey are types: he is not thinking of there being one individual of either type.</w:t>
      </w:r>
      <w:r w:rsidR="004746E4">
        <w:rPr>
          <w:rStyle w:val="FootnoteReference"/>
          <w:lang w:val="en-GB" w:bidi="he-IL"/>
        </w:rPr>
        <w:footnoteReference w:id="445"/>
      </w:r>
    </w:p>
    <w:p w14:paraId="69F3A293" w14:textId="5F835B0C" w:rsidR="0007539D" w:rsidRDefault="00257B4C" w:rsidP="001D6C26">
      <w:pPr>
        <w:rPr>
          <w:lang w:bidi="he-IL"/>
        </w:rPr>
      </w:pPr>
      <w:r>
        <w:rPr>
          <w:lang w:bidi="he-IL"/>
        </w:rPr>
        <w:t>After all, i</w:t>
      </w:r>
      <w:r w:rsidR="001D6C26">
        <w:rPr>
          <w:lang w:bidi="he-IL"/>
        </w:rPr>
        <w:t>t may seem unlikely that a town is 100% faithless people (v</w:t>
      </w:r>
      <w:r>
        <w:rPr>
          <w:lang w:bidi="he-IL"/>
        </w:rPr>
        <w:t>v</w:t>
      </w:r>
      <w:r w:rsidR="001D6C26">
        <w:rPr>
          <w:lang w:bidi="he-IL"/>
        </w:rPr>
        <w:t>. 24</w:t>
      </w:r>
      <w:r w:rsidR="004E6A48">
        <w:rPr>
          <w:lang w:bidi="he-IL"/>
        </w:rPr>
        <w:t>-25). If Yahweh</w:t>
      </w:r>
      <w:r w:rsidR="001C4116">
        <w:rPr>
          <w:lang w:bidi="he-IL"/>
        </w:rPr>
        <w:t xml:space="preserve"> treated</w:t>
      </w:r>
      <w:r w:rsidR="00AB3BA2" w:rsidRPr="00AB3BA2">
        <w:rPr>
          <w:lang w:bidi="he-IL"/>
        </w:rPr>
        <w:t xml:space="preserve"> the faithful and</w:t>
      </w:r>
      <w:r w:rsidR="001C4116">
        <w:rPr>
          <w:lang w:bidi="he-IL"/>
        </w:rPr>
        <w:t xml:space="preserve"> the faithless in the same way, God</w:t>
      </w:r>
      <w:r w:rsidR="00AB3BA2">
        <w:rPr>
          <w:lang w:bidi="he-IL"/>
        </w:rPr>
        <w:t xml:space="preserve"> would </w:t>
      </w:r>
      <w:r w:rsidR="00FB71A7">
        <w:rPr>
          <w:lang w:bidi="he-IL"/>
        </w:rPr>
        <w:t>be dishonoring himself. He would not be</w:t>
      </w:r>
      <w:r w:rsidR="00AB3BA2">
        <w:rPr>
          <w:lang w:bidi="he-IL"/>
        </w:rPr>
        <w:t xml:space="preserve"> being God. </w:t>
      </w:r>
      <w:r w:rsidR="00FB71A7">
        <w:rPr>
          <w:lang w:bidi="he-IL"/>
        </w:rPr>
        <w:t xml:space="preserve">He would be behaving like (say) an Israelite offering one of his children to another deity (Lev 18:21; 20:3). </w:t>
      </w:r>
      <w:r w:rsidR="004E6A48" w:rsidRPr="004E6A48">
        <w:rPr>
          <w:lang w:bidi="he-IL"/>
        </w:rPr>
        <w:t>It’s an ext</w:t>
      </w:r>
      <w:r w:rsidR="004E6A48">
        <w:rPr>
          <w:lang w:bidi="he-IL"/>
        </w:rPr>
        <w:t xml:space="preserve">raordinarily strong declaration. </w:t>
      </w:r>
      <w:r>
        <w:rPr>
          <w:lang w:bidi="he-IL"/>
        </w:rPr>
        <w:t>Abraham has no compunction about pointing out to God things that are obvious.</w:t>
      </w:r>
      <w:r w:rsidR="00AB3BA2">
        <w:rPr>
          <w:lang w:bidi="he-IL"/>
        </w:rPr>
        <w:t xml:space="preserve"> It seems necessary to do so, just in case Yahweh is not </w:t>
      </w:r>
      <w:r>
        <w:rPr>
          <w:lang w:bidi="he-IL"/>
        </w:rPr>
        <w:t>taking them into account</w:t>
      </w:r>
      <w:r w:rsidR="00F15DA0">
        <w:rPr>
          <w:lang w:bidi="he-IL"/>
        </w:rPr>
        <w:t xml:space="preserve"> as much as he might</w:t>
      </w:r>
      <w:r>
        <w:rPr>
          <w:lang w:bidi="he-IL"/>
        </w:rPr>
        <w:t xml:space="preserve">. Yahweh has been talking about Abraham’s obligation to exercise authority over his household in a faithful way. Abraham turns this talk back on God. It’s God’s job to exercise authority. Is this </w:t>
      </w:r>
      <w:r w:rsidR="00F15DA0">
        <w:rPr>
          <w:lang w:bidi="he-IL"/>
        </w:rPr>
        <w:t xml:space="preserve">action </w:t>
      </w:r>
      <w:r>
        <w:rPr>
          <w:lang w:bidi="he-IL"/>
        </w:rPr>
        <w:t xml:space="preserve">what he </w:t>
      </w:r>
      <w:r w:rsidR="00F15DA0">
        <w:rPr>
          <w:lang w:bidi="he-IL"/>
        </w:rPr>
        <w:t>would call exercising authority? T</w:t>
      </w:r>
      <w:r w:rsidR="004E6A48" w:rsidRPr="004E6A48">
        <w:rPr>
          <w:lang w:bidi="he-IL"/>
        </w:rPr>
        <w:t xml:space="preserve">he </w:t>
      </w:r>
      <w:r w:rsidR="00F15DA0">
        <w:rPr>
          <w:lang w:bidi="he-IL"/>
        </w:rPr>
        <w:t>question will also drive</w:t>
      </w:r>
      <w:r w:rsidR="004E6A48" w:rsidRPr="004E6A48">
        <w:rPr>
          <w:lang w:bidi="he-IL"/>
        </w:rPr>
        <w:t xml:space="preserve"> his audience to think about what they mean by fairness and how </w:t>
      </w:r>
      <w:r w:rsidR="00F15DA0">
        <w:rPr>
          <w:lang w:bidi="he-IL"/>
        </w:rPr>
        <w:t>they think of God and</w:t>
      </w:r>
      <w:r w:rsidR="004E6A48" w:rsidRPr="004E6A48">
        <w:rPr>
          <w:lang w:bidi="he-IL"/>
        </w:rPr>
        <w:t xml:space="preserve"> to see that God would rather acquit some guilty than condemn some innocent.</w:t>
      </w:r>
      <w:r w:rsidR="004E6A48" w:rsidRPr="004E6A48">
        <w:rPr>
          <w:vertAlign w:val="superscript"/>
          <w:lang w:bidi="he-IL"/>
        </w:rPr>
        <w:footnoteReference w:id="446"/>
      </w:r>
      <w:r w:rsidR="00BD6159">
        <w:rPr>
          <w:lang w:bidi="he-IL"/>
        </w:rPr>
        <w:t xml:space="preserve"> Like Amos, again (e.g., Amos 7:1-9), Abraham does not ask Yahweh just to save the fifty. Perhaps he simply recognizes that life </w:t>
      </w:r>
      <w:r w:rsidR="00F15DA0">
        <w:rPr>
          <w:lang w:bidi="he-IL"/>
        </w:rPr>
        <w:t xml:space="preserve">is not like that. By their </w:t>
      </w:r>
      <w:r w:rsidR="00BD6159">
        <w:rPr>
          <w:lang w:bidi="he-IL"/>
        </w:rPr>
        <w:t xml:space="preserve">nature, events like </w:t>
      </w:r>
      <w:r w:rsidR="00F15DA0">
        <w:rPr>
          <w:lang w:bidi="he-IL"/>
        </w:rPr>
        <w:t xml:space="preserve">the fall of Samaria or </w:t>
      </w:r>
      <w:r w:rsidR="00BD6159">
        <w:rPr>
          <w:lang w:bidi="he-IL"/>
        </w:rPr>
        <w:t xml:space="preserve">of Jerusalem overwhelm the town </w:t>
      </w:r>
      <w:r w:rsidR="00986F71">
        <w:rPr>
          <w:lang w:bidi="he-IL"/>
        </w:rPr>
        <w:t xml:space="preserve">as a whole. What about </w:t>
      </w:r>
      <w:r w:rsidR="00BD6159">
        <w:rPr>
          <w:lang w:bidi="he-IL"/>
        </w:rPr>
        <w:t>the destruction o</w:t>
      </w:r>
      <w:r w:rsidR="00986F71">
        <w:rPr>
          <w:lang w:bidi="he-IL"/>
        </w:rPr>
        <w:t>f Sodom?</w:t>
      </w:r>
    </w:p>
    <w:p w14:paraId="42B0D82A" w14:textId="77777777" w:rsidR="004E7E37" w:rsidRDefault="001D7F80" w:rsidP="001D6C26">
      <w:pPr>
        <w:rPr>
          <w:lang w:bidi="he-IL"/>
        </w:rPr>
      </w:pPr>
      <w:r>
        <w:rPr>
          <w:lang w:bidi="he-IL"/>
        </w:rPr>
        <w:t>Yahweh accepts the argument (v. 26).</w:t>
      </w:r>
      <w:r w:rsidR="0052555C">
        <w:rPr>
          <w:lang w:bidi="he-IL"/>
        </w:rPr>
        <w:t xml:space="preserve"> </w:t>
      </w:r>
      <w:r w:rsidR="00AB3BA2">
        <w:rPr>
          <w:lang w:bidi="he-IL"/>
        </w:rPr>
        <w:t>He</w:t>
      </w:r>
      <w:r w:rsidR="0052555C" w:rsidRPr="0052555C">
        <w:rPr>
          <w:lang w:bidi="he-IL"/>
        </w:rPr>
        <w:t xml:space="preserve"> has not declared the intention to destroy Sodom, only to investigate it—but with the implication that action will t</w:t>
      </w:r>
      <w:r w:rsidR="00AB3BA2">
        <w:rPr>
          <w:lang w:bidi="he-IL"/>
        </w:rPr>
        <w:t xml:space="preserve">hen be necessary. </w:t>
      </w:r>
      <w:r w:rsidR="00BD6159">
        <w:rPr>
          <w:lang w:bidi="he-IL"/>
        </w:rPr>
        <w:t>There is no indication that he had not thought of the possibility Abraham raises or that he needs persuading.</w:t>
      </w:r>
    </w:p>
    <w:p w14:paraId="15619947" w14:textId="4D48BF03" w:rsidR="001D7F80" w:rsidRDefault="001D7F80" w:rsidP="001D6C26">
      <w:pPr>
        <w:rPr>
          <w:lang w:bidi="he-IL"/>
        </w:rPr>
      </w:pPr>
      <w:r>
        <w:rPr>
          <w:b/>
          <w:lang w:bidi="he-IL"/>
        </w:rPr>
        <w:t>18:27-28</w:t>
      </w:r>
      <w:r>
        <w:rPr>
          <w:lang w:bidi="he-IL"/>
        </w:rPr>
        <w:t xml:space="preserve">. </w:t>
      </w:r>
      <w:r w:rsidR="00DC5220">
        <w:rPr>
          <w:lang w:bidi="he-IL"/>
        </w:rPr>
        <w:t>Abraham is thus embol</w:t>
      </w:r>
      <w:r w:rsidR="006F3049">
        <w:rPr>
          <w:lang w:bidi="he-IL"/>
        </w:rPr>
        <w:t>dened to press him further</w:t>
      </w:r>
      <w:r w:rsidR="00F81F4C">
        <w:rPr>
          <w:lang w:bidi="he-IL"/>
        </w:rPr>
        <w:t>, though to</w:t>
      </w:r>
      <w:r w:rsidR="00437954">
        <w:rPr>
          <w:lang w:bidi="he-IL"/>
        </w:rPr>
        <w:t xml:space="preserve"> </w:t>
      </w:r>
      <w:r w:rsidR="00F81F4C">
        <w:rPr>
          <w:lang w:bidi="he-IL"/>
        </w:rPr>
        <w:t>speak of bargaining or bartering is misleading</w:t>
      </w:r>
      <w:r w:rsidR="006F3049">
        <w:rPr>
          <w:lang w:bidi="he-IL"/>
        </w:rPr>
        <w:t>.</w:t>
      </w:r>
      <w:r w:rsidR="00F81F4C">
        <w:rPr>
          <w:rStyle w:val="FootnoteReference"/>
          <w:lang w:bidi="he-IL"/>
        </w:rPr>
        <w:footnoteReference w:id="447"/>
      </w:r>
      <w:r w:rsidR="006F3049">
        <w:rPr>
          <w:lang w:bidi="he-IL"/>
        </w:rPr>
        <w:t xml:space="preserve"> He recognizes </w:t>
      </w:r>
      <w:r w:rsidR="00DC5220">
        <w:rPr>
          <w:lang w:bidi="he-IL"/>
        </w:rPr>
        <w:t>that as a human being he</w:t>
      </w:r>
      <w:r w:rsidR="006F3049">
        <w:rPr>
          <w:lang w:bidi="he-IL"/>
        </w:rPr>
        <w:t xml:space="preserve"> </w:t>
      </w:r>
      <w:r w:rsidR="00DC5220">
        <w:rPr>
          <w:lang w:bidi="he-IL"/>
        </w:rPr>
        <w:t>was shaped from dirt (2:7)</w:t>
      </w:r>
      <w:r w:rsidR="00AB3BA2">
        <w:rPr>
          <w:lang w:bidi="he-IL"/>
        </w:rPr>
        <w:t>;</w:t>
      </w:r>
      <w:r w:rsidR="007B129D">
        <w:rPr>
          <w:lang w:bidi="he-IL"/>
        </w:rPr>
        <w:t xml:space="preserve"> in addition</w:t>
      </w:r>
      <w:r w:rsidR="00986F71">
        <w:rPr>
          <w:lang w:bidi="he-IL"/>
        </w:rPr>
        <w:t>,</w:t>
      </w:r>
      <w:r w:rsidR="007B129D">
        <w:rPr>
          <w:lang w:bidi="he-IL"/>
        </w:rPr>
        <w:t xml:space="preserve"> being in the dirt suggests being lowly (1 Sam 2:8; 1 Kings 16:2)</w:t>
      </w:r>
      <w:r w:rsidR="006F3049">
        <w:rPr>
          <w:lang w:bidi="he-IL"/>
        </w:rPr>
        <w:t xml:space="preserve">. Ash appears with dirt in Job 30:19; 42:6. It is usually a sign of mourning, perhaps </w:t>
      </w:r>
      <w:r w:rsidR="00AB3BA2">
        <w:rPr>
          <w:lang w:bidi="he-IL"/>
        </w:rPr>
        <w:t>because being covered in ash suggests being</w:t>
      </w:r>
      <w:r w:rsidR="006F3049">
        <w:rPr>
          <w:lang w:bidi="he-IL"/>
        </w:rPr>
        <w:t xml:space="preserve"> grimy and disheveled through proximity to or contact with the fire on which people cooke</w:t>
      </w:r>
      <w:r w:rsidR="00AB3BA2">
        <w:rPr>
          <w:lang w:bidi="he-IL"/>
        </w:rPr>
        <w:t>d and relied for warmth, and then because they deliberately smear</w:t>
      </w:r>
      <w:r w:rsidR="006F3049">
        <w:rPr>
          <w:lang w:bidi="he-IL"/>
        </w:rPr>
        <w:t xml:space="preserve"> it on themselves to enhance the impression of unkemptness. The link </w:t>
      </w:r>
      <w:r w:rsidR="00AB3BA2">
        <w:rPr>
          <w:lang w:bidi="he-IL"/>
        </w:rPr>
        <w:t xml:space="preserve">between ash and </w:t>
      </w:r>
      <w:r w:rsidR="006F3049">
        <w:rPr>
          <w:lang w:bidi="he-IL"/>
        </w:rPr>
        <w:t>mourning might also su</w:t>
      </w:r>
      <w:r w:rsidR="007B129D">
        <w:rPr>
          <w:lang w:bidi="he-IL"/>
        </w:rPr>
        <w:t>ggest mortality, which can also</w:t>
      </w:r>
      <w:r w:rsidR="006F3049">
        <w:rPr>
          <w:lang w:bidi="he-IL"/>
        </w:rPr>
        <w:t xml:space="preserve"> be an implication of being </w:t>
      </w:r>
      <w:r w:rsidR="00AB3BA2">
        <w:rPr>
          <w:lang w:bidi="he-IL"/>
        </w:rPr>
        <w:t xml:space="preserve">made from </w:t>
      </w:r>
      <w:r w:rsidR="006F3049">
        <w:rPr>
          <w:lang w:bidi="he-IL"/>
        </w:rPr>
        <w:t>dirt (Gen 3:19).</w:t>
      </w:r>
      <w:r w:rsidR="007B129D">
        <w:rPr>
          <w:lang w:bidi="he-IL"/>
        </w:rPr>
        <w:t xml:space="preserve"> So Abraham is saying, </w:t>
      </w:r>
      <w:r w:rsidR="003D56BA">
        <w:rPr>
          <w:lang w:bidi="he-IL"/>
        </w:rPr>
        <w:t>“</w:t>
      </w:r>
      <w:r w:rsidR="007B129D">
        <w:rPr>
          <w:lang w:bidi="he-IL"/>
        </w:rPr>
        <w:t>I’m just a mo</w:t>
      </w:r>
      <w:r w:rsidR="00AB3BA2">
        <w:rPr>
          <w:lang w:bidi="he-IL"/>
        </w:rPr>
        <w:t>rtal human being before the Lord</w:t>
      </w:r>
      <w:r w:rsidR="007B129D">
        <w:rPr>
          <w:lang w:bidi="he-IL"/>
        </w:rPr>
        <w:t>.</w:t>
      </w:r>
      <w:r w:rsidR="003D56BA">
        <w:rPr>
          <w:lang w:bidi="he-IL"/>
        </w:rPr>
        <w:t>”</w:t>
      </w:r>
      <w:r w:rsidR="007B129D">
        <w:rPr>
          <w:lang w:bidi="he-IL"/>
        </w:rPr>
        <w:t xml:space="preserve"> But it doesn’</w:t>
      </w:r>
      <w:r w:rsidR="001D44DC">
        <w:rPr>
          <w:lang w:bidi="he-IL"/>
        </w:rPr>
        <w:t>t stop him asking his question. Cunningly he takes up the verb</w:t>
      </w:r>
      <w:r w:rsidR="001D44DC" w:rsidRPr="001D44DC">
        <w:rPr>
          <w:lang w:bidi="he-IL"/>
        </w:rPr>
        <w:t xml:space="preserve"> </w:t>
      </w:r>
      <w:r w:rsidR="003D56BA">
        <w:rPr>
          <w:lang w:bidi="he-IL"/>
        </w:rPr>
        <w:t>“</w:t>
      </w:r>
      <w:r w:rsidR="001D44DC" w:rsidRPr="001D44DC">
        <w:rPr>
          <w:lang w:bidi="he-IL"/>
        </w:rPr>
        <w:t>devastate</w:t>
      </w:r>
      <w:r w:rsidR="003D56BA">
        <w:rPr>
          <w:lang w:bidi="he-IL"/>
        </w:rPr>
        <w:t>”</w:t>
      </w:r>
      <w:r w:rsidR="001D44DC" w:rsidRPr="001D44DC">
        <w:rPr>
          <w:lang w:bidi="he-IL"/>
        </w:rPr>
        <w:t xml:space="preserve"> </w:t>
      </w:r>
      <w:r w:rsidR="006174FC">
        <w:rPr>
          <w:lang w:bidi="he-IL"/>
        </w:rPr>
        <w:t>(</w:t>
      </w:r>
      <w:r w:rsidR="006174FC">
        <w:rPr>
          <w:i/>
          <w:lang w:bidi="he-IL"/>
        </w:rPr>
        <w:t>šāḥat</w:t>
      </w:r>
      <w:r w:rsidR="006174FC">
        <w:rPr>
          <w:lang w:bidi="he-IL"/>
        </w:rPr>
        <w:t>)</w:t>
      </w:r>
      <w:r w:rsidR="006174FC">
        <w:rPr>
          <w:i/>
          <w:lang w:bidi="he-IL"/>
        </w:rPr>
        <w:t xml:space="preserve"> </w:t>
      </w:r>
      <w:r w:rsidR="001D44DC" w:rsidRPr="001D44DC">
        <w:rPr>
          <w:lang w:bidi="he-IL"/>
        </w:rPr>
        <w:t xml:space="preserve">which </w:t>
      </w:r>
      <w:r w:rsidR="007B129D">
        <w:rPr>
          <w:lang w:bidi="he-IL"/>
        </w:rPr>
        <w:t xml:space="preserve">Yahweh </w:t>
      </w:r>
      <w:r w:rsidR="001D44DC">
        <w:rPr>
          <w:lang w:bidi="he-IL"/>
        </w:rPr>
        <w:t xml:space="preserve">had used of the deluge (e.g., 6:13), an action he had promised </w:t>
      </w:r>
      <w:r w:rsidR="006174FC">
        <w:rPr>
          <w:lang w:bidi="he-IL"/>
        </w:rPr>
        <w:t>not to repeat (9:11, 15).</w:t>
      </w:r>
      <w:r w:rsidR="006174FC">
        <w:rPr>
          <w:rStyle w:val="FootnoteReference"/>
          <w:lang w:bidi="he-IL"/>
        </w:rPr>
        <w:footnoteReference w:id="448"/>
      </w:r>
      <w:r w:rsidR="006174FC">
        <w:rPr>
          <w:lang w:bidi="he-IL"/>
        </w:rPr>
        <w:t xml:space="preserve"> </w:t>
      </w:r>
      <w:r w:rsidR="008B6F45">
        <w:rPr>
          <w:lang w:bidi="he-IL"/>
        </w:rPr>
        <w:t xml:space="preserve">Did Yahweh mean it? </w:t>
      </w:r>
      <w:r w:rsidR="001D44DC">
        <w:rPr>
          <w:lang w:bidi="he-IL"/>
        </w:rPr>
        <w:t>A</w:t>
      </w:r>
      <w:r w:rsidR="007B129D">
        <w:rPr>
          <w:lang w:bidi="he-IL"/>
        </w:rPr>
        <w:t xml:space="preserve">gain </w:t>
      </w:r>
      <w:r w:rsidR="001D44DC">
        <w:rPr>
          <w:lang w:bidi="he-IL"/>
        </w:rPr>
        <w:t xml:space="preserve">Yahweh </w:t>
      </w:r>
      <w:r w:rsidR="003174BD">
        <w:rPr>
          <w:lang w:bidi="he-IL"/>
        </w:rPr>
        <w:t>accepts the argument.</w:t>
      </w:r>
    </w:p>
    <w:p w14:paraId="5C420059" w14:textId="641746EF" w:rsidR="007B129D" w:rsidRDefault="007B129D" w:rsidP="001D6C26">
      <w:pPr>
        <w:rPr>
          <w:lang w:bidi="he-IL"/>
        </w:rPr>
      </w:pPr>
      <w:r>
        <w:rPr>
          <w:b/>
          <w:lang w:bidi="he-IL"/>
        </w:rPr>
        <w:t xml:space="preserve">18:29-32. </w:t>
      </w:r>
      <w:r>
        <w:rPr>
          <w:lang w:bidi="he-IL"/>
        </w:rPr>
        <w:t xml:space="preserve">Abraham presses on, </w:t>
      </w:r>
      <w:r w:rsidR="001D44DC">
        <w:rPr>
          <w:lang w:bidi="he-IL"/>
        </w:rPr>
        <w:t xml:space="preserve">now </w:t>
      </w:r>
      <w:r w:rsidR="00986F71">
        <w:rPr>
          <w:lang w:bidi="he-IL"/>
        </w:rPr>
        <w:t xml:space="preserve">astutely </w:t>
      </w:r>
      <w:r>
        <w:rPr>
          <w:lang w:bidi="he-IL"/>
        </w:rPr>
        <w:t>a</w:t>
      </w:r>
      <w:r w:rsidR="001D44DC">
        <w:rPr>
          <w:lang w:bidi="he-IL"/>
        </w:rPr>
        <w:t>dding the verb</w:t>
      </w:r>
      <w:r>
        <w:rPr>
          <w:lang w:bidi="he-IL"/>
        </w:rPr>
        <w:t xml:space="preserve"> </w:t>
      </w:r>
      <w:r w:rsidR="003D56BA">
        <w:rPr>
          <w:lang w:bidi="he-IL"/>
        </w:rPr>
        <w:t>“</w:t>
      </w:r>
      <w:r w:rsidR="001D44DC">
        <w:rPr>
          <w:lang w:bidi="he-IL"/>
        </w:rPr>
        <w:t>enrage</w:t>
      </w:r>
      <w:r w:rsidR="003D56BA">
        <w:rPr>
          <w:lang w:bidi="he-IL"/>
        </w:rPr>
        <w:t>”</w:t>
      </w:r>
      <w:r w:rsidR="001D44DC">
        <w:rPr>
          <w:lang w:bidi="he-IL"/>
        </w:rPr>
        <w:t xml:space="preserve"> </w:t>
      </w:r>
      <w:r>
        <w:rPr>
          <w:lang w:bidi="he-IL"/>
        </w:rPr>
        <w:t xml:space="preserve">which </w:t>
      </w:r>
      <w:r w:rsidR="001D44DC">
        <w:rPr>
          <w:lang w:bidi="he-IL"/>
        </w:rPr>
        <w:t>featured in Yahw</w:t>
      </w:r>
      <w:r w:rsidR="00AB3BA2">
        <w:rPr>
          <w:lang w:bidi="he-IL"/>
        </w:rPr>
        <w:t>eh’s rebuke of Cain (4:5-6).</w:t>
      </w:r>
      <w:r w:rsidR="001D44DC">
        <w:rPr>
          <w:lang w:bidi="he-IL"/>
        </w:rPr>
        <w:t xml:space="preserve"> Yahweh keeps agreeing. Even</w:t>
      </w:r>
      <w:r w:rsidR="00854C62">
        <w:rPr>
          <w:lang w:bidi="he-IL"/>
        </w:rPr>
        <w:t>tually they come down to ten, which perhaps implies</w:t>
      </w:r>
      <w:r w:rsidR="001D44DC">
        <w:rPr>
          <w:lang w:bidi="he-IL"/>
        </w:rPr>
        <w:t xml:space="preserve"> one family.</w:t>
      </w:r>
      <w:r w:rsidR="00AB3BA2">
        <w:rPr>
          <w:lang w:bidi="he-IL"/>
        </w:rPr>
        <w:t xml:space="preserve"> If</w:t>
      </w:r>
      <w:r w:rsidR="00FE5265">
        <w:rPr>
          <w:lang w:bidi="he-IL"/>
        </w:rPr>
        <w:t xml:space="preserve"> the audience might be asking, </w:t>
      </w:r>
      <w:r w:rsidR="003D56BA">
        <w:rPr>
          <w:lang w:bidi="he-IL"/>
        </w:rPr>
        <w:t>“</w:t>
      </w:r>
      <w:r w:rsidR="00FE5265">
        <w:rPr>
          <w:lang w:bidi="he-IL"/>
        </w:rPr>
        <w:t xml:space="preserve">what </w:t>
      </w:r>
      <w:r w:rsidR="00AB3BA2">
        <w:rPr>
          <w:lang w:bidi="he-IL"/>
        </w:rPr>
        <w:t>if there are less than ten?</w:t>
      </w:r>
      <w:r w:rsidR="003D56BA">
        <w:rPr>
          <w:lang w:bidi="he-IL"/>
        </w:rPr>
        <w:t>”</w:t>
      </w:r>
      <w:r w:rsidR="00FE5265">
        <w:rPr>
          <w:lang w:bidi="he-IL"/>
        </w:rPr>
        <w:t xml:space="preserve"> the story which follows </w:t>
      </w:r>
      <w:r w:rsidR="00A43D25">
        <w:rPr>
          <w:lang w:bidi="he-IL"/>
        </w:rPr>
        <w:t>in 19:1-29 may</w:t>
      </w:r>
      <w:r w:rsidR="00FE5265">
        <w:rPr>
          <w:lang w:bidi="he-IL"/>
        </w:rPr>
        <w:t xml:space="preserve"> give the answer</w:t>
      </w:r>
      <w:r w:rsidR="00A43D25">
        <w:rPr>
          <w:lang w:bidi="he-IL"/>
        </w:rPr>
        <w:t>, if Lot and his family count as “faithful</w:t>
      </w:r>
      <w:r w:rsidR="00FE5265">
        <w:rPr>
          <w:lang w:bidi="he-IL"/>
        </w:rPr>
        <w:t>.</w:t>
      </w:r>
      <w:r w:rsidR="00A43D25">
        <w:rPr>
          <w:lang w:bidi="he-IL"/>
        </w:rPr>
        <w:t>”</w:t>
      </w:r>
      <w:r w:rsidR="00FE5265">
        <w:rPr>
          <w:rStyle w:val="FootnoteReference"/>
          <w:lang w:bidi="he-IL"/>
        </w:rPr>
        <w:footnoteReference w:id="449"/>
      </w:r>
      <w:r w:rsidR="0049680A">
        <w:rPr>
          <w:lang w:bidi="he-IL"/>
        </w:rPr>
        <w:t xml:space="preserve"> But ten is </w:t>
      </w:r>
      <w:r w:rsidR="00AB3BA2">
        <w:rPr>
          <w:lang w:bidi="he-IL"/>
        </w:rPr>
        <w:t xml:space="preserve">also </w:t>
      </w:r>
      <w:r w:rsidR="0049680A">
        <w:rPr>
          <w:lang w:bidi="he-IL"/>
        </w:rPr>
        <w:lastRenderedPageBreak/>
        <w:t xml:space="preserve">the minimum number for a Jewish prayer meeting (cf. </w:t>
      </w:r>
      <w:r w:rsidR="0049680A">
        <w:rPr>
          <w:i/>
          <w:lang w:bidi="he-IL"/>
        </w:rPr>
        <w:t xml:space="preserve">b. Megillah </w:t>
      </w:r>
      <w:r w:rsidR="0049680A">
        <w:rPr>
          <w:lang w:bidi="he-IL"/>
        </w:rPr>
        <w:t>23b, which could usefully have claimed this passage among its prooftexts)</w:t>
      </w:r>
      <w:r w:rsidR="004674B2">
        <w:rPr>
          <w:lang w:bidi="he-IL"/>
        </w:rPr>
        <w:t>,</w:t>
      </w:r>
      <w:r w:rsidR="00DF7679">
        <w:rPr>
          <w:rStyle w:val="FootnoteReference"/>
          <w:lang w:bidi="he-IL"/>
        </w:rPr>
        <w:footnoteReference w:id="450"/>
      </w:r>
      <w:r w:rsidR="00986F71">
        <w:rPr>
          <w:lang w:bidi="he-IL"/>
        </w:rPr>
        <w:t xml:space="preserve"> and TgPsJ takes that</w:t>
      </w:r>
      <w:r w:rsidR="004674B2">
        <w:rPr>
          <w:lang w:bidi="he-IL"/>
        </w:rPr>
        <w:t xml:space="preserve"> fact a</w:t>
      </w:r>
      <w:r w:rsidR="00A43D25">
        <w:rPr>
          <w:lang w:bidi="he-IL"/>
        </w:rPr>
        <w:t>s the clue to Abraham’s numbers. They</w:t>
      </w:r>
      <w:r w:rsidR="00AB3BA2">
        <w:rPr>
          <w:lang w:bidi="he-IL"/>
        </w:rPr>
        <w:t xml:space="preserve"> had</w:t>
      </w:r>
      <w:r w:rsidR="00986F71">
        <w:rPr>
          <w:lang w:bidi="he-IL"/>
        </w:rPr>
        <w:t xml:space="preserve"> </w:t>
      </w:r>
      <w:r w:rsidR="00A43D25">
        <w:rPr>
          <w:lang w:bidi="he-IL"/>
        </w:rPr>
        <w:t>started from fifty as indicat</w:t>
      </w:r>
      <w:r w:rsidR="00AB3BA2">
        <w:rPr>
          <w:lang w:bidi="he-IL"/>
        </w:rPr>
        <w:t>ing</w:t>
      </w:r>
      <w:r w:rsidR="004674B2">
        <w:rPr>
          <w:lang w:bidi="he-IL"/>
        </w:rPr>
        <w:t xml:space="preserve"> a minyan in ea</w:t>
      </w:r>
      <w:r w:rsidR="00A43D25">
        <w:rPr>
          <w:lang w:bidi="he-IL"/>
        </w:rPr>
        <w:t>ch of the five towns, with the eventual implication that</w:t>
      </w:r>
      <w:r w:rsidR="00AB3BA2">
        <w:rPr>
          <w:lang w:bidi="he-IL"/>
        </w:rPr>
        <w:t xml:space="preserve"> ev</w:t>
      </w:r>
      <w:r w:rsidR="004674B2">
        <w:rPr>
          <w:lang w:bidi="he-IL"/>
        </w:rPr>
        <w:t>en a prayer meeting in one town could have forestalled the calamity.</w:t>
      </w:r>
      <w:r w:rsidR="002B2356">
        <w:rPr>
          <w:rStyle w:val="FootnoteReference"/>
          <w:lang w:bidi="he-IL"/>
        </w:rPr>
        <w:footnoteReference w:id="451"/>
      </w:r>
    </w:p>
    <w:p w14:paraId="6B144214" w14:textId="46C64A79" w:rsidR="001D7F80" w:rsidRDefault="001D44DC" w:rsidP="001D6C26">
      <w:pPr>
        <w:rPr>
          <w:lang w:bidi="he-IL"/>
        </w:rPr>
      </w:pPr>
      <w:r>
        <w:rPr>
          <w:b/>
          <w:lang w:bidi="he-IL"/>
        </w:rPr>
        <w:t>18:33</w:t>
      </w:r>
      <w:r w:rsidR="00AB3BA2">
        <w:rPr>
          <w:lang w:bidi="he-IL"/>
        </w:rPr>
        <w:t xml:space="preserve">. </w:t>
      </w:r>
      <w:proofErr w:type="gramStart"/>
      <w:r w:rsidR="00AB3BA2">
        <w:rPr>
          <w:lang w:bidi="he-IL"/>
        </w:rPr>
        <w:t>The</w:t>
      </w:r>
      <w:proofErr w:type="gramEnd"/>
      <w:r w:rsidR="00AB3BA2">
        <w:rPr>
          <w:lang w:bidi="he-IL"/>
        </w:rPr>
        <w:t xml:space="preserve"> conversation had been one that Yahweh </w:t>
      </w:r>
      <w:r>
        <w:rPr>
          <w:lang w:bidi="he-IL"/>
        </w:rPr>
        <w:t xml:space="preserve">wanted to initiate (vv. 17-21). </w:t>
      </w:r>
      <w:r w:rsidR="00FD7DB6">
        <w:rPr>
          <w:lang w:bidi="he-IL"/>
        </w:rPr>
        <w:t xml:space="preserve">Abraham had been standing </w:t>
      </w:r>
      <w:r w:rsidR="003A32BC">
        <w:rPr>
          <w:lang w:bidi="he-IL"/>
        </w:rPr>
        <w:t>in the manner of someone serving Yahweh, while he was confronting Yahweh, but it was Yahweh who had waited there for him to do so. He had been serving Yahweh by asking his questions for the sake of the people hearing this story. And when Yahweh is done with this service of him on Abraham’s part, Yahweh goes, as he did</w:t>
      </w:r>
      <w:r w:rsidR="00A43D25">
        <w:rPr>
          <w:lang w:bidi="he-IL"/>
        </w:rPr>
        <w:t xml:space="preserve"> in 17:22, and Abraham returns</w:t>
      </w:r>
      <w:r w:rsidR="00986F71">
        <w:rPr>
          <w:lang w:bidi="he-IL"/>
        </w:rPr>
        <w:t xml:space="preserve"> to his tent. The sidebar to episode o</w:t>
      </w:r>
      <w:r w:rsidR="003A32BC">
        <w:rPr>
          <w:lang w:bidi="he-IL"/>
        </w:rPr>
        <w:t>ne in this story is over.</w:t>
      </w:r>
      <w:r w:rsidR="00AB3BA2">
        <w:rPr>
          <w:lang w:bidi="he-IL"/>
        </w:rPr>
        <w:t xml:space="preserve"> By his prayer and his questions Abraham has fulfilled the vocation to which v.</w:t>
      </w:r>
      <w:r w:rsidR="00F513E7">
        <w:rPr>
          <w:lang w:bidi="he-IL"/>
        </w:rPr>
        <w:t xml:space="preserve"> 18 referred. </w:t>
      </w:r>
      <w:r w:rsidR="0052555C" w:rsidRPr="0052555C">
        <w:rPr>
          <w:lang w:bidi="he-IL"/>
        </w:rPr>
        <w:t>He has been being a blessing.</w:t>
      </w:r>
      <w:r w:rsidR="005074CD">
        <w:rPr>
          <w:rStyle w:val="FootnoteReference"/>
          <w:lang w:bidi="he-IL"/>
        </w:rPr>
        <w:footnoteReference w:id="452"/>
      </w:r>
    </w:p>
    <w:p w14:paraId="0337DAC0" w14:textId="6793D61F" w:rsidR="003A32BC" w:rsidRDefault="003A32BC" w:rsidP="001D6C26">
      <w:pPr>
        <w:rPr>
          <w:lang w:bidi="he-IL"/>
        </w:rPr>
      </w:pPr>
      <w:r>
        <w:rPr>
          <w:b/>
          <w:lang w:bidi="he-IL"/>
        </w:rPr>
        <w:t>19:1-3</w:t>
      </w:r>
      <w:r w:rsidR="00986F71">
        <w:rPr>
          <w:lang w:bidi="he-IL"/>
        </w:rPr>
        <w:t xml:space="preserve">. </w:t>
      </w:r>
      <w:proofErr w:type="gramStart"/>
      <w:r w:rsidR="00986F71">
        <w:rPr>
          <w:lang w:bidi="he-IL"/>
        </w:rPr>
        <w:t>So</w:t>
      </w:r>
      <w:proofErr w:type="gramEnd"/>
      <w:r w:rsidR="00986F71">
        <w:rPr>
          <w:lang w:bidi="he-IL"/>
        </w:rPr>
        <w:t xml:space="preserve"> episode two</w:t>
      </w:r>
      <w:r>
        <w:rPr>
          <w:lang w:bidi="he-IL"/>
        </w:rPr>
        <w:t xml:space="preserve"> can commence. While Yahweh and Abraham have been having their dialogue, the other two visitors have reached Sodom. </w:t>
      </w:r>
      <w:r w:rsidR="00994875">
        <w:rPr>
          <w:lang w:bidi="he-IL"/>
        </w:rPr>
        <w:t>As Abraham now knows that one visitor was Yahweh in human form, so it is now explicit that the other two are envoys</w:t>
      </w:r>
      <w:r w:rsidR="00726FE7">
        <w:rPr>
          <w:lang w:bidi="he-IL"/>
        </w:rPr>
        <w:t>,</w:t>
      </w:r>
      <w:r w:rsidR="00730791">
        <w:rPr>
          <w:rStyle w:val="FootnoteReference"/>
          <w:lang w:bidi="he-IL"/>
        </w:rPr>
        <w:footnoteReference w:id="453"/>
      </w:r>
      <w:r w:rsidR="00726FE7">
        <w:rPr>
          <w:lang w:bidi="he-IL"/>
        </w:rPr>
        <w:t xml:space="preserve"> though there is no indication that Lot r</w:t>
      </w:r>
      <w:r w:rsidR="00A43D25">
        <w:rPr>
          <w:lang w:bidi="he-IL"/>
        </w:rPr>
        <w:t>ealizes it. Like</w:t>
      </w:r>
      <w:r w:rsidR="00726FE7">
        <w:rPr>
          <w:lang w:bidi="he-IL"/>
        </w:rPr>
        <w:t xml:space="preserve"> the three </w:t>
      </w:r>
      <w:r w:rsidR="00A43D25">
        <w:rPr>
          <w:lang w:bidi="he-IL"/>
        </w:rPr>
        <w:t xml:space="preserve">when they </w:t>
      </w:r>
      <w:r w:rsidR="00726FE7">
        <w:rPr>
          <w:lang w:bidi="he-IL"/>
        </w:rPr>
        <w:t>arrived at Mamre, they seem just like human beings.</w:t>
      </w:r>
      <w:r w:rsidR="00727890">
        <w:rPr>
          <w:lang w:bidi="he-IL"/>
        </w:rPr>
        <w:t xml:space="preserve"> </w:t>
      </w:r>
      <w:r w:rsidR="006E3AAC">
        <w:rPr>
          <w:lang w:bidi="he-IL"/>
        </w:rPr>
        <w:t xml:space="preserve">As we are </w:t>
      </w:r>
      <w:r w:rsidR="00726FE7">
        <w:rPr>
          <w:lang w:bidi="he-IL"/>
        </w:rPr>
        <w:t xml:space="preserve">apparently </w:t>
      </w:r>
      <w:r>
        <w:rPr>
          <w:lang w:bidi="he-IL"/>
        </w:rPr>
        <w:t>invited to suspend disbelief about how long it would</w:t>
      </w:r>
      <w:r w:rsidR="00726FE7">
        <w:rPr>
          <w:lang w:bidi="he-IL"/>
        </w:rPr>
        <w:t xml:space="preserve"> have </w:t>
      </w:r>
      <w:r>
        <w:rPr>
          <w:lang w:bidi="he-IL"/>
        </w:rPr>
        <w:t>take</w:t>
      </w:r>
      <w:r w:rsidR="00726FE7">
        <w:rPr>
          <w:lang w:bidi="he-IL"/>
        </w:rPr>
        <w:t>n</w:t>
      </w:r>
      <w:r>
        <w:rPr>
          <w:lang w:bidi="he-IL"/>
        </w:rPr>
        <w:t xml:space="preserve"> to make the lunch </w:t>
      </w:r>
      <w:r w:rsidR="00726FE7">
        <w:rPr>
          <w:lang w:bidi="he-IL"/>
        </w:rPr>
        <w:t xml:space="preserve">that </w:t>
      </w:r>
      <w:r>
        <w:rPr>
          <w:lang w:bidi="he-IL"/>
        </w:rPr>
        <w:t xml:space="preserve">Abraham commissioned </w:t>
      </w:r>
      <w:r w:rsidR="00E350F6">
        <w:rPr>
          <w:lang w:bidi="he-IL"/>
        </w:rPr>
        <w:t>and organized in 18:6-8</w:t>
      </w:r>
      <w:r w:rsidR="006E3AAC">
        <w:rPr>
          <w:lang w:bidi="he-IL"/>
        </w:rPr>
        <w:t xml:space="preserve">, so </w:t>
      </w:r>
      <w:r w:rsidR="00A43D25">
        <w:rPr>
          <w:lang w:bidi="he-IL"/>
        </w:rPr>
        <w:t xml:space="preserve">it is </w:t>
      </w:r>
      <w:r w:rsidR="006E3AAC">
        <w:rPr>
          <w:lang w:bidi="he-IL"/>
        </w:rPr>
        <w:t>with regard to the journey</w:t>
      </w:r>
      <w:r w:rsidR="00E350F6">
        <w:rPr>
          <w:lang w:bidi="he-IL"/>
        </w:rPr>
        <w:t xml:space="preserve"> to Sodom</w:t>
      </w:r>
      <w:r w:rsidR="006E3AAC">
        <w:rPr>
          <w:lang w:bidi="he-IL"/>
        </w:rPr>
        <w:t xml:space="preserve"> (it </w:t>
      </w:r>
      <w:r w:rsidR="006E3AAC" w:rsidRPr="006E3AAC">
        <w:rPr>
          <w:lang w:bidi="he-IL"/>
        </w:rPr>
        <w:t>would have taken hu</w:t>
      </w:r>
      <w:r w:rsidR="001835A8">
        <w:rPr>
          <w:lang w:bidi="he-IL"/>
        </w:rPr>
        <w:t>man beings several</w:t>
      </w:r>
      <w:r w:rsidR="006E3AAC" w:rsidRPr="006E3AAC">
        <w:rPr>
          <w:lang w:bidi="he-IL"/>
        </w:rPr>
        <w:t xml:space="preserve"> days</w:t>
      </w:r>
      <w:r w:rsidR="006E3AAC">
        <w:rPr>
          <w:lang w:bidi="he-IL"/>
        </w:rPr>
        <w:t xml:space="preserve"> in real time)</w:t>
      </w:r>
      <w:r w:rsidR="00994875">
        <w:rPr>
          <w:lang w:bidi="he-IL"/>
        </w:rPr>
        <w:t xml:space="preserve">. </w:t>
      </w:r>
      <w:r w:rsidR="001835A8">
        <w:rPr>
          <w:lang w:bidi="he-IL"/>
        </w:rPr>
        <w:t>Lot might</w:t>
      </w:r>
      <w:r w:rsidR="00A43D25">
        <w:rPr>
          <w:lang w:bidi="he-IL"/>
        </w:rPr>
        <w:t xml:space="preserve"> be</w:t>
      </w:r>
      <w:r w:rsidR="00726FE7">
        <w:rPr>
          <w:lang w:bidi="he-IL"/>
        </w:rPr>
        <w:t xml:space="preserve"> not t</w:t>
      </w:r>
      <w:r w:rsidR="00A43D25">
        <w:rPr>
          <w:lang w:bidi="he-IL"/>
        </w:rPr>
        <w:t xml:space="preserve">he only </w:t>
      </w:r>
      <w:r w:rsidR="001835A8">
        <w:rPr>
          <w:lang w:bidi="he-IL"/>
        </w:rPr>
        <w:t>Sodom resident</w:t>
      </w:r>
      <w:r w:rsidR="00730791">
        <w:rPr>
          <w:lang w:bidi="he-IL"/>
        </w:rPr>
        <w:t xml:space="preserve"> </w:t>
      </w:r>
      <w:r w:rsidR="00726FE7">
        <w:rPr>
          <w:lang w:bidi="he-IL"/>
        </w:rPr>
        <w:t xml:space="preserve">sitting in the gate plaza </w:t>
      </w:r>
      <w:r w:rsidR="00E96AC1">
        <w:rPr>
          <w:lang w:bidi="he-IL"/>
        </w:rPr>
        <w:t xml:space="preserve">at the end of the day’s work </w:t>
      </w:r>
      <w:r w:rsidR="00726FE7">
        <w:rPr>
          <w:lang w:bidi="he-IL"/>
        </w:rPr>
        <w:t>as the cool of the evening ar</w:t>
      </w:r>
      <w:r w:rsidR="00A43D25">
        <w:rPr>
          <w:lang w:bidi="he-IL"/>
        </w:rPr>
        <w:t xml:space="preserve">rived; </w:t>
      </w:r>
      <w:r w:rsidR="00726FE7">
        <w:rPr>
          <w:lang w:bidi="he-IL"/>
        </w:rPr>
        <w:t>many of the men in the town would gather</w:t>
      </w:r>
      <w:r w:rsidR="00A43D25">
        <w:rPr>
          <w:lang w:bidi="he-IL"/>
        </w:rPr>
        <w:t xml:space="preserve"> there</w:t>
      </w:r>
      <w:r w:rsidR="00726FE7">
        <w:rPr>
          <w:lang w:bidi="he-IL"/>
        </w:rPr>
        <w:t xml:space="preserve">. </w:t>
      </w:r>
      <w:r w:rsidR="006E3AAC">
        <w:rPr>
          <w:lang w:bidi="he-IL"/>
        </w:rPr>
        <w:t>Given</w:t>
      </w:r>
      <w:r w:rsidR="00994875">
        <w:rPr>
          <w:lang w:bidi="he-IL"/>
        </w:rPr>
        <w:t xml:space="preserve"> that </w:t>
      </w:r>
      <w:r w:rsidR="006E3AAC">
        <w:rPr>
          <w:lang w:bidi="he-IL"/>
        </w:rPr>
        <w:t xml:space="preserve">it is now dinner time, the visitors’ </w:t>
      </w:r>
      <w:r w:rsidR="00994875">
        <w:rPr>
          <w:lang w:bidi="he-IL"/>
        </w:rPr>
        <w:t>arrival forms the same tes</w:t>
      </w:r>
      <w:r w:rsidR="00726FE7">
        <w:rPr>
          <w:lang w:bidi="he-IL"/>
        </w:rPr>
        <w:t>t of h</w:t>
      </w:r>
      <w:r w:rsidR="00A43D25">
        <w:rPr>
          <w:lang w:bidi="he-IL"/>
        </w:rPr>
        <w:t xml:space="preserve">ospitality as the three </w:t>
      </w:r>
      <w:r w:rsidR="00994875">
        <w:rPr>
          <w:lang w:bidi="he-IL"/>
        </w:rPr>
        <w:t xml:space="preserve">brought to Abraham, and Lot passes the test. </w:t>
      </w:r>
      <w:r w:rsidR="006E3AAC">
        <w:rPr>
          <w:lang w:bidi="he-IL"/>
        </w:rPr>
        <w:t>Sitting</w:t>
      </w:r>
      <w:r w:rsidR="005340E5">
        <w:rPr>
          <w:lang w:bidi="he-IL"/>
        </w:rPr>
        <w:t xml:space="preserve"> </w:t>
      </w:r>
      <w:r w:rsidR="006E3AAC">
        <w:rPr>
          <w:lang w:bidi="he-IL"/>
        </w:rPr>
        <w:t xml:space="preserve">near </w:t>
      </w:r>
      <w:r w:rsidR="00A43D25">
        <w:rPr>
          <w:lang w:bidi="he-IL"/>
        </w:rPr>
        <w:t xml:space="preserve">the Sodom gateway like Abraham </w:t>
      </w:r>
      <w:r w:rsidR="006E3AAC">
        <w:rPr>
          <w:lang w:bidi="he-IL"/>
        </w:rPr>
        <w:t xml:space="preserve">sitting at the tent entrance, </w:t>
      </w:r>
      <w:r w:rsidR="00726FE7">
        <w:rPr>
          <w:lang w:bidi="he-IL"/>
        </w:rPr>
        <w:t>he hasten</w:t>
      </w:r>
      <w:r w:rsidR="00A43D25">
        <w:rPr>
          <w:lang w:bidi="he-IL"/>
        </w:rPr>
        <w:t>s to meet and greet the visitors when he sees them</w:t>
      </w:r>
      <w:r w:rsidR="00A43D25" w:rsidRPr="00A43D25">
        <w:rPr>
          <w:lang w:bidi="he-IL"/>
        </w:rPr>
        <w:t xml:space="preserve">, </w:t>
      </w:r>
      <w:r w:rsidR="001835A8">
        <w:rPr>
          <w:lang w:bidi="he-IL"/>
        </w:rPr>
        <w:t>and</w:t>
      </w:r>
      <w:r w:rsidR="00726FE7">
        <w:rPr>
          <w:lang w:bidi="he-IL"/>
        </w:rPr>
        <w:t xml:space="preserve"> bows down before them</w:t>
      </w:r>
      <w:r w:rsidR="006E3AAC">
        <w:rPr>
          <w:lang w:bidi="he-IL"/>
        </w:rPr>
        <w:t xml:space="preserve"> l</w:t>
      </w:r>
      <w:r w:rsidR="006E3AAC" w:rsidRPr="006E3AAC">
        <w:rPr>
          <w:lang w:bidi="he-IL"/>
        </w:rPr>
        <w:t>ike Abra</w:t>
      </w:r>
      <w:r w:rsidR="006E3AAC">
        <w:rPr>
          <w:lang w:bidi="he-IL"/>
        </w:rPr>
        <w:t>ham. While h</w:t>
      </w:r>
      <w:r w:rsidR="00726FE7">
        <w:rPr>
          <w:lang w:bidi="he-IL"/>
        </w:rPr>
        <w:t>e doe</w:t>
      </w:r>
      <w:r w:rsidR="00A43D25">
        <w:rPr>
          <w:lang w:bidi="he-IL"/>
        </w:rPr>
        <w:t>sn’t run as Abraham did, he</w:t>
      </w:r>
      <w:r w:rsidR="006E3AAC">
        <w:rPr>
          <w:lang w:bidi="he-IL"/>
        </w:rPr>
        <w:t xml:space="preserve"> </w:t>
      </w:r>
      <w:r w:rsidR="00726FE7">
        <w:rPr>
          <w:lang w:bidi="he-IL"/>
        </w:rPr>
        <w:t>does bow even lower than Abraham, face to the ground.</w:t>
      </w:r>
    </w:p>
    <w:p w14:paraId="10CFB75E" w14:textId="0F4E18D0" w:rsidR="002B60F7" w:rsidRDefault="003D56BA" w:rsidP="001D6C26">
      <w:pPr>
        <w:rPr>
          <w:lang w:bidi="he-IL"/>
        </w:rPr>
      </w:pPr>
      <w:r>
        <w:rPr>
          <w:lang w:bidi="he-IL"/>
        </w:rPr>
        <w:t>“</w:t>
      </w:r>
      <w:r w:rsidR="005340E5">
        <w:rPr>
          <w:lang w:bidi="he-IL"/>
        </w:rPr>
        <w:t>Sirs,</w:t>
      </w:r>
      <w:r>
        <w:rPr>
          <w:lang w:bidi="he-IL"/>
        </w:rPr>
        <w:t>”</w:t>
      </w:r>
      <w:r w:rsidR="005340E5">
        <w:rPr>
          <w:lang w:bidi="he-IL"/>
        </w:rPr>
        <w:t xml:space="preserve"> he begins (v. 2), like Abraham.</w:t>
      </w:r>
      <w:r w:rsidR="006E3AAC">
        <w:rPr>
          <w:rStyle w:val="FootnoteReference"/>
          <w:lang w:bidi="he-IL"/>
        </w:rPr>
        <w:footnoteReference w:id="454"/>
      </w:r>
      <w:r w:rsidR="005340E5">
        <w:rPr>
          <w:lang w:bidi="he-IL"/>
        </w:rPr>
        <w:t xml:space="preserve"> His invitation </w:t>
      </w:r>
      <w:r w:rsidR="002B60F7">
        <w:rPr>
          <w:lang w:bidi="he-IL"/>
        </w:rPr>
        <w:t>again includes the chance to bathe the muck off their feet</w:t>
      </w:r>
      <w:r w:rsidR="005340E5">
        <w:rPr>
          <w:lang w:bidi="he-IL"/>
        </w:rPr>
        <w:t xml:space="preserve"> and in due course </w:t>
      </w:r>
      <w:r w:rsidR="001835A8">
        <w:rPr>
          <w:lang w:bidi="he-IL"/>
        </w:rPr>
        <w:t xml:space="preserve">to </w:t>
      </w:r>
      <w:r w:rsidR="005340E5">
        <w:rPr>
          <w:lang w:bidi="he-IL"/>
        </w:rPr>
        <w:t>be on their way</w:t>
      </w:r>
      <w:r w:rsidR="006E3AAC">
        <w:rPr>
          <w:lang w:bidi="he-IL"/>
        </w:rPr>
        <w:t>, but otherwise it is the invitation</w:t>
      </w:r>
      <w:r w:rsidR="002B60F7">
        <w:rPr>
          <w:lang w:bidi="he-IL"/>
        </w:rPr>
        <w:t xml:space="preserve"> appropriate to the evening rather than to lunchtime—not a san</w:t>
      </w:r>
      <w:r w:rsidR="00A43D25">
        <w:rPr>
          <w:lang w:bidi="he-IL"/>
        </w:rPr>
        <w:t>dwich and some water but somewhere</w:t>
      </w:r>
      <w:r w:rsidR="002B60F7">
        <w:rPr>
          <w:lang w:bidi="he-IL"/>
        </w:rPr>
        <w:t xml:space="preserve"> to stay for the night and the chance to make an early start in the morning. It was not imp</w:t>
      </w:r>
      <w:r w:rsidR="00A43D25">
        <w:rPr>
          <w:lang w:bidi="he-IL"/>
        </w:rPr>
        <w:t>ossible to shelter</w:t>
      </w:r>
      <w:r w:rsidR="002B60F7">
        <w:rPr>
          <w:lang w:bidi="he-IL"/>
        </w:rPr>
        <w:t xml:space="preserve"> in the town square (it would feel safer than in the open country</w:t>
      </w:r>
      <w:r w:rsidR="00552FDD">
        <w:rPr>
          <w:lang w:bidi="he-IL"/>
        </w:rPr>
        <w:t xml:space="preserve">), </w:t>
      </w:r>
      <w:r w:rsidR="006E3AAC">
        <w:rPr>
          <w:lang w:bidi="he-IL"/>
        </w:rPr>
        <w:t xml:space="preserve">though it was not ideal: </w:t>
      </w:r>
      <w:r w:rsidR="002B60F7">
        <w:rPr>
          <w:lang w:bidi="he-IL"/>
        </w:rPr>
        <w:t>see Judg 19</w:t>
      </w:r>
      <w:r w:rsidR="006E3AAC">
        <w:rPr>
          <w:lang w:bidi="he-IL"/>
        </w:rPr>
        <w:t>, which as a whole make</w:t>
      </w:r>
      <w:r w:rsidR="001835A8">
        <w:rPr>
          <w:lang w:bidi="he-IL"/>
        </w:rPr>
        <w:t>s</w:t>
      </w:r>
      <w:r w:rsidR="006E3AAC">
        <w:rPr>
          <w:lang w:bidi="he-IL"/>
        </w:rPr>
        <w:t xml:space="preserve"> for horrifying comparison and contrast with Gen 19</w:t>
      </w:r>
      <w:r w:rsidR="002B60F7">
        <w:rPr>
          <w:lang w:bidi="he-IL"/>
        </w:rPr>
        <w:t xml:space="preserve">. </w:t>
      </w:r>
      <w:r w:rsidR="006D25CC">
        <w:rPr>
          <w:lang w:bidi="he-IL"/>
        </w:rPr>
        <w:t>The envoys</w:t>
      </w:r>
      <w:r w:rsidR="00413861">
        <w:rPr>
          <w:lang w:bidi="he-IL"/>
        </w:rPr>
        <w:t xml:space="preserve"> politely refuse (as they di</w:t>
      </w:r>
      <w:r w:rsidR="006D25CC">
        <w:rPr>
          <w:lang w:bidi="he-IL"/>
        </w:rPr>
        <w:t>d not in 18:3-5); it is the appropriate response, though one does not expect the</w:t>
      </w:r>
      <w:r w:rsidR="00CC65B2">
        <w:rPr>
          <w:lang w:bidi="he-IL"/>
        </w:rPr>
        <w:t xml:space="preserve"> refusal to be accepted.</w:t>
      </w:r>
    </w:p>
    <w:p w14:paraId="0BBA4CCC" w14:textId="77777777" w:rsidR="00552FDD" w:rsidRDefault="00552FDD" w:rsidP="001D6C26">
      <w:pPr>
        <w:rPr>
          <w:lang w:bidi="he-IL"/>
        </w:rPr>
      </w:pPr>
      <w:r>
        <w:rPr>
          <w:lang w:bidi="he-IL"/>
        </w:rPr>
        <w:t xml:space="preserve">Lot </w:t>
      </w:r>
      <w:r w:rsidR="00413861">
        <w:rPr>
          <w:lang w:bidi="he-IL"/>
        </w:rPr>
        <w:t xml:space="preserve">duly </w:t>
      </w:r>
      <w:r>
        <w:rPr>
          <w:lang w:bidi="he-IL"/>
        </w:rPr>
        <w:t>coerces them (v. 3). Like Abraham with his fatted calf, he goes beyond the call of duty. Indeed, he emulates Abraham with his banquet a</w:t>
      </w:r>
      <w:r w:rsidR="006D25CC">
        <w:rPr>
          <w:lang w:bidi="he-IL"/>
        </w:rPr>
        <w:t xml:space="preserve">nd his flat bread, which </w:t>
      </w:r>
      <w:r>
        <w:rPr>
          <w:lang w:bidi="he-IL"/>
        </w:rPr>
        <w:t xml:space="preserve">they </w:t>
      </w:r>
      <w:r w:rsidR="006D25CC">
        <w:rPr>
          <w:lang w:bidi="he-IL"/>
        </w:rPr>
        <w:t xml:space="preserve">would </w:t>
      </w:r>
      <w:r>
        <w:rPr>
          <w:lang w:bidi="he-IL"/>
        </w:rPr>
        <w:t>hardly need after that gargantuan lunch. What a worthy nephew of Abraham Lot is!</w:t>
      </w:r>
      <w:r w:rsidR="0091334A">
        <w:rPr>
          <w:rStyle w:val="FootnoteReference"/>
          <w:lang w:bidi="he-IL"/>
        </w:rPr>
        <w:footnoteReference w:id="455"/>
      </w:r>
    </w:p>
    <w:p w14:paraId="0520E8B5" w14:textId="47127BBF" w:rsidR="001F35A0" w:rsidRDefault="001F35A0" w:rsidP="001D6C26">
      <w:pPr>
        <w:rPr>
          <w:lang w:bidi="he-IL"/>
        </w:rPr>
      </w:pPr>
      <w:r>
        <w:rPr>
          <w:b/>
          <w:lang w:bidi="he-IL"/>
        </w:rPr>
        <w:t>19:4-5</w:t>
      </w:r>
      <w:r w:rsidR="00552FDD">
        <w:rPr>
          <w:b/>
          <w:lang w:bidi="he-IL"/>
        </w:rPr>
        <w:t xml:space="preserve">. </w:t>
      </w:r>
      <w:proofErr w:type="gramStart"/>
      <w:r w:rsidR="004C338E">
        <w:rPr>
          <w:lang w:bidi="he-IL"/>
        </w:rPr>
        <w:t>T</w:t>
      </w:r>
      <w:r w:rsidR="00552FDD">
        <w:rPr>
          <w:lang w:bidi="he-IL"/>
        </w:rPr>
        <w:t>hen</w:t>
      </w:r>
      <w:proofErr w:type="gramEnd"/>
      <w:r w:rsidR="00552FDD">
        <w:rPr>
          <w:lang w:bidi="he-IL"/>
        </w:rPr>
        <w:t xml:space="preserve"> things fall apart. </w:t>
      </w:r>
      <w:r w:rsidR="003C1E27">
        <w:rPr>
          <w:lang w:bidi="he-IL"/>
        </w:rPr>
        <w:t>Perhaps the men of the town</w:t>
      </w:r>
      <w:r w:rsidR="006D25CC">
        <w:rPr>
          <w:lang w:bidi="he-IL"/>
        </w:rPr>
        <w:t>, in particular</w:t>
      </w:r>
      <w:r w:rsidR="004C338E">
        <w:rPr>
          <w:lang w:bidi="he-IL"/>
        </w:rPr>
        <w:t>,</w:t>
      </w:r>
      <w:r w:rsidR="003C1E27">
        <w:rPr>
          <w:lang w:bidi="he-IL"/>
        </w:rPr>
        <w:t xml:space="preserve"> were indeed in the square when the visitors arrived and Lot invited them in</w:t>
      </w:r>
      <w:r w:rsidR="004C338E">
        <w:rPr>
          <w:lang w:bidi="he-IL"/>
        </w:rPr>
        <w:t>, though the story did not say so</w:t>
      </w:r>
      <w:r w:rsidR="003C1E27">
        <w:rPr>
          <w:lang w:bidi="he-IL"/>
        </w:rPr>
        <w:t xml:space="preserve">. </w:t>
      </w:r>
      <w:r w:rsidR="0033166A">
        <w:rPr>
          <w:lang w:bidi="he-IL"/>
        </w:rPr>
        <w:t xml:space="preserve">But </w:t>
      </w:r>
      <w:r w:rsidR="006D25CC">
        <w:rPr>
          <w:lang w:bidi="he-IL"/>
        </w:rPr>
        <w:t>when the story</w:t>
      </w:r>
      <w:r w:rsidR="004C338E">
        <w:rPr>
          <w:lang w:bidi="he-IL"/>
        </w:rPr>
        <w:t xml:space="preserve"> now refers to</w:t>
      </w:r>
      <w:r w:rsidR="0033166A">
        <w:rPr>
          <w:lang w:bidi="he-IL"/>
        </w:rPr>
        <w:t xml:space="preserve"> the </w:t>
      </w:r>
      <w:r w:rsidR="0033166A">
        <w:rPr>
          <w:i/>
          <w:lang w:bidi="he-IL"/>
        </w:rPr>
        <w:t xml:space="preserve">’ănāšîm </w:t>
      </w:r>
      <w:r w:rsidR="0033166A">
        <w:rPr>
          <w:lang w:bidi="he-IL"/>
        </w:rPr>
        <w:t xml:space="preserve">of the town, </w:t>
      </w:r>
      <w:r w:rsidR="00CC65B2" w:rsidRPr="00CC65B2">
        <w:rPr>
          <w:lang w:bidi="he-IL"/>
        </w:rPr>
        <w:t xml:space="preserve">the </w:t>
      </w:r>
      <w:r w:rsidR="00CC65B2" w:rsidRPr="00CC65B2">
        <w:rPr>
          <w:i/>
          <w:lang w:bidi="he-IL"/>
        </w:rPr>
        <w:t xml:space="preserve">’ănāšîm </w:t>
      </w:r>
      <w:r w:rsidR="0033166A">
        <w:rPr>
          <w:lang w:bidi="he-IL"/>
        </w:rPr>
        <w:t>of So</w:t>
      </w:r>
      <w:r w:rsidR="00CC65B2">
        <w:rPr>
          <w:lang w:bidi="he-IL"/>
        </w:rPr>
        <w:t xml:space="preserve">dom, </w:t>
      </w:r>
      <w:r w:rsidR="004C338E">
        <w:rPr>
          <w:lang w:bidi="he-IL"/>
        </w:rPr>
        <w:t xml:space="preserve">there is no particular reason to think that they </w:t>
      </w:r>
      <w:r w:rsidR="006D25CC">
        <w:rPr>
          <w:lang w:bidi="he-IL"/>
        </w:rPr>
        <w:t xml:space="preserve">are </w:t>
      </w:r>
      <w:r w:rsidR="00CC65B2">
        <w:rPr>
          <w:lang w:bidi="he-IL"/>
        </w:rPr>
        <w:t xml:space="preserve">just the men. While there are </w:t>
      </w:r>
      <w:r w:rsidR="00953DC8">
        <w:rPr>
          <w:lang w:bidi="he-IL"/>
        </w:rPr>
        <w:t xml:space="preserve">passages </w:t>
      </w:r>
      <w:r w:rsidR="00CC65B2">
        <w:rPr>
          <w:lang w:bidi="he-IL"/>
        </w:rPr>
        <w:t>that use</w:t>
      </w:r>
      <w:r w:rsidR="00953DC8">
        <w:rPr>
          <w:lang w:bidi="he-IL"/>
        </w:rPr>
        <w:t xml:space="preserve"> phrases such as </w:t>
      </w:r>
      <w:r w:rsidR="00953DC8">
        <w:rPr>
          <w:i/>
          <w:lang w:bidi="he-IL"/>
        </w:rPr>
        <w:t>hā’ănāšîm ‘al-</w:t>
      </w:r>
      <w:r w:rsidR="00953DC8" w:rsidRPr="00953DC8">
        <w:rPr>
          <w:i/>
          <w:lang w:bidi="he-IL"/>
        </w:rPr>
        <w:t>hannāšîm</w:t>
      </w:r>
      <w:r w:rsidR="00953DC8">
        <w:rPr>
          <w:lang w:bidi="he-IL"/>
        </w:rPr>
        <w:t xml:space="preserve"> </w:t>
      </w:r>
      <w:r w:rsidR="00CC65B2">
        <w:rPr>
          <w:lang w:bidi="he-IL"/>
        </w:rPr>
        <w:t>(</w:t>
      </w:r>
      <w:r w:rsidR="00953DC8">
        <w:rPr>
          <w:lang w:bidi="he-IL"/>
        </w:rPr>
        <w:t>Exod 35:22)</w:t>
      </w:r>
      <w:r w:rsidR="004C338E">
        <w:rPr>
          <w:lang w:bidi="he-IL"/>
        </w:rPr>
        <w:t xml:space="preserve"> to refer to </w:t>
      </w:r>
      <w:r w:rsidR="00CC65B2">
        <w:rPr>
          <w:lang w:bidi="he-IL"/>
        </w:rPr>
        <w:t>men and women</w:t>
      </w:r>
      <w:r w:rsidR="004C338E">
        <w:rPr>
          <w:lang w:bidi="he-IL"/>
        </w:rPr>
        <w:t xml:space="preserve"> respectively</w:t>
      </w:r>
      <w:r w:rsidR="00CC65B2">
        <w:rPr>
          <w:lang w:bidi="he-IL"/>
        </w:rPr>
        <w:t>, e</w:t>
      </w:r>
      <w:r w:rsidR="00CC65B2" w:rsidRPr="00CC65B2">
        <w:rPr>
          <w:lang w:bidi="he-IL"/>
        </w:rPr>
        <w:t xml:space="preserve">xpressions such as </w:t>
      </w:r>
      <w:r w:rsidR="00CC65B2" w:rsidRPr="00CC65B2">
        <w:rPr>
          <w:i/>
          <w:lang w:bidi="he-IL"/>
        </w:rPr>
        <w:t>’anšê hā’āreṣ</w:t>
      </w:r>
      <w:r w:rsidR="00CC65B2" w:rsidRPr="00CC65B2">
        <w:rPr>
          <w:lang w:bidi="he-IL"/>
        </w:rPr>
        <w:t xml:space="preserve">, the people of </w:t>
      </w:r>
      <w:r w:rsidR="00CC65B2" w:rsidRPr="00CC65B2">
        <w:rPr>
          <w:lang w:bidi="he-IL"/>
        </w:rPr>
        <w:lastRenderedPageBreak/>
        <w:t>the country (Lev 18:11)</w:t>
      </w:r>
      <w:r w:rsidR="00CC65B2">
        <w:rPr>
          <w:lang w:bidi="he-IL"/>
        </w:rPr>
        <w:t>,</w:t>
      </w:r>
      <w:r w:rsidR="00CC65B2" w:rsidRPr="00CC65B2">
        <w:rPr>
          <w:lang w:bidi="he-IL"/>
        </w:rPr>
        <w:t xml:space="preserve"> denote the community as a whole</w:t>
      </w:r>
      <w:r w:rsidR="0033166A">
        <w:rPr>
          <w:lang w:bidi="he-IL"/>
        </w:rPr>
        <w:t xml:space="preserve">. </w:t>
      </w:r>
      <w:r w:rsidR="00CC65B2">
        <w:rPr>
          <w:lang w:bidi="he-IL"/>
        </w:rPr>
        <w:t>Here, t</w:t>
      </w:r>
      <w:r w:rsidR="003C1E27">
        <w:rPr>
          <w:lang w:bidi="he-IL"/>
        </w:rPr>
        <w:t>he emphatic terminology (</w:t>
      </w:r>
      <w:r w:rsidR="003D56BA">
        <w:rPr>
          <w:lang w:bidi="he-IL"/>
        </w:rPr>
        <w:t>“</w:t>
      </w:r>
      <w:r w:rsidR="003C1E27">
        <w:rPr>
          <w:lang w:bidi="he-IL"/>
        </w:rPr>
        <w:t>the entire people, from every part</w:t>
      </w:r>
      <w:r w:rsidR="003D56BA">
        <w:rPr>
          <w:lang w:bidi="he-IL"/>
        </w:rPr>
        <w:t>”</w:t>
      </w:r>
      <w:r w:rsidR="003C1E27">
        <w:rPr>
          <w:lang w:bidi="he-IL"/>
        </w:rPr>
        <w:t xml:space="preserve">) </w:t>
      </w:r>
      <w:r w:rsidR="004C338E">
        <w:rPr>
          <w:lang w:bidi="he-IL"/>
        </w:rPr>
        <w:t>suggests that t</w:t>
      </w:r>
      <w:r w:rsidR="004C338E" w:rsidRPr="004C338E">
        <w:rPr>
          <w:lang w:bidi="he-IL"/>
        </w:rPr>
        <w:t>he whole community is there, not just the men.</w:t>
      </w:r>
      <w:r w:rsidR="004C338E" w:rsidRPr="004C338E">
        <w:rPr>
          <w:vertAlign w:val="superscript"/>
          <w:lang w:bidi="he-IL"/>
        </w:rPr>
        <w:footnoteReference w:id="456"/>
      </w:r>
      <w:r w:rsidR="001A10FB">
        <w:rPr>
          <w:lang w:bidi="he-IL"/>
        </w:rPr>
        <w:t xml:space="preserve"> It</w:t>
      </w:r>
      <w:r w:rsidR="004C338E">
        <w:rPr>
          <w:lang w:bidi="he-IL"/>
        </w:rPr>
        <w:t xml:space="preserve"> </w:t>
      </w:r>
      <w:r w:rsidR="003C1E27">
        <w:rPr>
          <w:lang w:bidi="he-IL"/>
        </w:rPr>
        <w:t xml:space="preserve">indicates that there are not going to be ten people here to make Yahweh spare the town if </w:t>
      </w:r>
      <w:r w:rsidR="002C14ED">
        <w:rPr>
          <w:lang w:bidi="he-IL"/>
        </w:rPr>
        <w:t>the question arises, as it is about to</w:t>
      </w:r>
      <w:r>
        <w:rPr>
          <w:lang w:bidi="he-IL"/>
        </w:rPr>
        <w:t xml:space="preserve">. </w:t>
      </w:r>
      <w:r w:rsidR="00D50670" w:rsidRPr="00D50670">
        <w:rPr>
          <w:lang w:bidi="he-IL"/>
        </w:rPr>
        <w:t>“The text focuses on communal responsibility, on what happens when sin and its effects become systemic, that is, so pervasive that an entire community is caught up in them.”</w:t>
      </w:r>
      <w:r w:rsidR="00D50670" w:rsidRPr="00D50670">
        <w:rPr>
          <w:vertAlign w:val="superscript"/>
          <w:lang w:bidi="he-IL"/>
        </w:rPr>
        <w:footnoteReference w:id="457"/>
      </w:r>
    </w:p>
    <w:p w14:paraId="5A8C1CE0" w14:textId="080DF482" w:rsidR="00552FDD" w:rsidRDefault="001F35A0" w:rsidP="001D6C26">
      <w:pPr>
        <w:rPr>
          <w:lang w:bidi="he-IL"/>
        </w:rPr>
      </w:pPr>
      <w:r>
        <w:rPr>
          <w:lang w:bidi="he-IL"/>
        </w:rPr>
        <w:t xml:space="preserve">Because the town proposes </w:t>
      </w:r>
      <w:r w:rsidR="009C211F">
        <w:rPr>
          <w:lang w:bidi="he-IL"/>
        </w:rPr>
        <w:t xml:space="preserve">something like </w:t>
      </w:r>
      <w:r w:rsidR="003D0625">
        <w:rPr>
          <w:lang w:bidi="he-IL"/>
        </w:rPr>
        <w:t xml:space="preserve">gang rape (v. 5). Given that </w:t>
      </w:r>
      <w:r>
        <w:rPr>
          <w:lang w:bidi="he-IL"/>
        </w:rPr>
        <w:t>the vi</w:t>
      </w:r>
      <w:r w:rsidR="003D0625">
        <w:rPr>
          <w:lang w:bidi="he-IL"/>
        </w:rPr>
        <w:t>sitors are (apparently) men, the proposal might imply homose</w:t>
      </w:r>
      <w:r w:rsidR="001A10FB">
        <w:rPr>
          <w:lang w:bidi="he-IL"/>
        </w:rPr>
        <w:t xml:space="preserve">xual rape, but it might just as likely </w:t>
      </w:r>
      <w:r w:rsidR="003D0625">
        <w:rPr>
          <w:lang w:bidi="he-IL"/>
        </w:rPr>
        <w:t>imply that it will</w:t>
      </w:r>
      <w:r>
        <w:rPr>
          <w:lang w:bidi="he-IL"/>
        </w:rPr>
        <w:t xml:space="preserve"> be women who will have sex wit</w:t>
      </w:r>
      <w:r w:rsidR="003D0625">
        <w:rPr>
          <w:lang w:bidi="he-IL"/>
        </w:rPr>
        <w:t>h them,</w:t>
      </w:r>
      <w:r w:rsidR="007B6FAC" w:rsidRPr="007B6FAC">
        <w:rPr>
          <w:vertAlign w:val="superscript"/>
          <w:lang w:bidi="he-IL"/>
        </w:rPr>
        <w:footnoteReference w:id="458"/>
      </w:r>
      <w:r w:rsidR="007B6FAC">
        <w:rPr>
          <w:lang w:bidi="he-IL"/>
        </w:rPr>
        <w:t xml:space="preserve"> </w:t>
      </w:r>
      <w:r w:rsidR="001A10FB">
        <w:rPr>
          <w:lang w:bidi="he-IL"/>
        </w:rPr>
        <w:t>which would also make</w:t>
      </w:r>
      <w:r w:rsidR="003D0625">
        <w:rPr>
          <w:lang w:bidi="he-IL"/>
        </w:rPr>
        <w:t xml:space="preserve"> for a link with vv. 30-38. </w:t>
      </w:r>
      <w:r w:rsidR="009C211F">
        <w:rPr>
          <w:lang w:bidi="he-IL"/>
        </w:rPr>
        <w:t>Whereas Western readers are inclin</w:t>
      </w:r>
      <w:r w:rsidR="003D0625">
        <w:rPr>
          <w:lang w:bidi="he-IL"/>
        </w:rPr>
        <w:t xml:space="preserve">ed to think of sex as </w:t>
      </w:r>
      <w:r w:rsidR="009C211F">
        <w:rPr>
          <w:lang w:bidi="he-IL"/>
        </w:rPr>
        <w:t>related to lo</w:t>
      </w:r>
      <w:r w:rsidR="003D0625">
        <w:rPr>
          <w:lang w:bidi="he-IL"/>
        </w:rPr>
        <w:t xml:space="preserve">ve and commitment or </w:t>
      </w:r>
      <w:r w:rsidR="009C211F">
        <w:rPr>
          <w:lang w:bidi="he-IL"/>
        </w:rPr>
        <w:t>to sensual pleasure (or both), the phenomenon of rape generally presupposes that it relates to power and humiliation or shaming.</w:t>
      </w:r>
      <w:r w:rsidR="009C211F">
        <w:rPr>
          <w:rStyle w:val="FootnoteReference"/>
          <w:lang w:bidi="he-IL"/>
        </w:rPr>
        <w:footnoteReference w:id="459"/>
      </w:r>
      <w:r w:rsidR="004D403B">
        <w:rPr>
          <w:lang w:bidi="he-IL"/>
        </w:rPr>
        <w:t xml:space="preserve"> </w:t>
      </w:r>
      <w:r w:rsidR="001D4ADD">
        <w:rPr>
          <w:lang w:bidi="he-IL"/>
        </w:rPr>
        <w:t>Here, at least, it is a response to fear.</w:t>
      </w:r>
      <w:r w:rsidR="001D4ADD">
        <w:rPr>
          <w:rStyle w:val="FootnoteReference"/>
          <w:lang w:bidi="he-IL"/>
        </w:rPr>
        <w:footnoteReference w:id="460"/>
      </w:r>
      <w:r w:rsidR="001D4ADD">
        <w:rPr>
          <w:lang w:bidi="he-IL"/>
        </w:rPr>
        <w:t xml:space="preserve"> </w:t>
      </w:r>
      <w:r w:rsidR="003D0625">
        <w:rPr>
          <w:lang w:bidi="he-IL"/>
        </w:rPr>
        <w:t>The whole town is afraid of these strangers</w:t>
      </w:r>
      <w:r>
        <w:rPr>
          <w:lang w:bidi="he-IL"/>
        </w:rPr>
        <w:t xml:space="preserve">. </w:t>
      </w:r>
    </w:p>
    <w:p w14:paraId="4C3CB543" w14:textId="77777777" w:rsidR="001F35A0" w:rsidRDefault="001F35A0" w:rsidP="001D6C26">
      <w:pPr>
        <w:rPr>
          <w:lang w:bidi="he-IL"/>
        </w:rPr>
      </w:pPr>
      <w:r>
        <w:rPr>
          <w:b/>
          <w:lang w:bidi="he-IL"/>
        </w:rPr>
        <w:t xml:space="preserve">19:6-8. </w:t>
      </w:r>
      <w:proofErr w:type="gramStart"/>
      <w:r w:rsidR="003D0625">
        <w:rPr>
          <w:lang w:bidi="he-IL"/>
        </w:rPr>
        <w:t>T</w:t>
      </w:r>
      <w:r w:rsidR="00CC65B2">
        <w:rPr>
          <w:lang w:bidi="he-IL"/>
        </w:rPr>
        <w:t>he</w:t>
      </w:r>
      <w:proofErr w:type="gramEnd"/>
      <w:r w:rsidR="00CC65B2">
        <w:rPr>
          <w:lang w:bidi="he-IL"/>
        </w:rPr>
        <w:t xml:space="preserve"> reason </w:t>
      </w:r>
      <w:r w:rsidR="002C14ED">
        <w:rPr>
          <w:lang w:bidi="he-IL"/>
        </w:rPr>
        <w:t xml:space="preserve">Lot shut the door </w:t>
      </w:r>
      <w:r w:rsidR="00CC65B2">
        <w:rPr>
          <w:lang w:bidi="he-IL"/>
        </w:rPr>
        <w:t xml:space="preserve">was </w:t>
      </w:r>
      <w:r w:rsidR="002C14ED">
        <w:rPr>
          <w:lang w:bidi="he-IL"/>
        </w:rPr>
        <w:t>to protect the envoys.</w:t>
      </w:r>
      <w:r w:rsidR="00083CED">
        <w:rPr>
          <w:lang w:bidi="he-IL"/>
        </w:rPr>
        <w:t xml:space="preserve"> </w:t>
      </w:r>
      <w:r w:rsidR="00083CED" w:rsidRPr="00083CED">
        <w:rPr>
          <w:lang w:bidi="he-IL"/>
        </w:rPr>
        <w:t>If vv. 4-5 seems hard to believe, what follows is more so.</w:t>
      </w:r>
      <w:r w:rsidR="00083CED">
        <w:rPr>
          <w:lang w:bidi="he-IL"/>
        </w:rPr>
        <w:t xml:space="preserve"> C</w:t>
      </w:r>
      <w:r w:rsidR="00CC65B2">
        <w:rPr>
          <w:lang w:bidi="he-IL"/>
        </w:rPr>
        <w:t>ommendably, Lot wants to keep</w:t>
      </w:r>
      <w:r w:rsidR="00083CED">
        <w:rPr>
          <w:lang w:bidi="he-IL"/>
        </w:rPr>
        <w:t xml:space="preserve"> the Sodomites</w:t>
      </w:r>
      <w:r w:rsidR="00534F9D">
        <w:rPr>
          <w:lang w:bidi="he-IL"/>
        </w:rPr>
        <w:t xml:space="preserve">, his </w:t>
      </w:r>
      <w:r w:rsidR="003D56BA">
        <w:rPr>
          <w:lang w:bidi="he-IL"/>
        </w:rPr>
        <w:t>“</w:t>
      </w:r>
      <w:r w:rsidR="00534F9D">
        <w:rPr>
          <w:lang w:bidi="he-IL"/>
        </w:rPr>
        <w:t>brothers,</w:t>
      </w:r>
      <w:r w:rsidR="003D56BA">
        <w:rPr>
          <w:lang w:bidi="he-IL"/>
        </w:rPr>
        <w:t>”</w:t>
      </w:r>
      <w:r w:rsidR="00083CED">
        <w:rPr>
          <w:lang w:bidi="he-IL"/>
        </w:rPr>
        <w:t xml:space="preserve"> from doing someth</w:t>
      </w:r>
      <w:r w:rsidR="00CC65B2">
        <w:rPr>
          <w:lang w:bidi="he-IL"/>
        </w:rPr>
        <w:t xml:space="preserve">ing bad. Genesis picks up </w:t>
      </w:r>
      <w:r w:rsidR="00083CED">
        <w:rPr>
          <w:lang w:bidi="he-IL"/>
        </w:rPr>
        <w:t xml:space="preserve">the word </w:t>
      </w:r>
      <w:r w:rsidR="003D56BA">
        <w:rPr>
          <w:lang w:bidi="he-IL"/>
        </w:rPr>
        <w:t>“</w:t>
      </w:r>
      <w:r w:rsidR="00083CED">
        <w:rPr>
          <w:lang w:bidi="he-IL"/>
        </w:rPr>
        <w:t>bad</w:t>
      </w:r>
      <w:r w:rsidR="003D56BA">
        <w:rPr>
          <w:lang w:bidi="he-IL"/>
        </w:rPr>
        <w:t>”</w:t>
      </w:r>
      <w:r w:rsidR="00083CED">
        <w:rPr>
          <w:lang w:bidi="he-IL"/>
        </w:rPr>
        <w:t xml:space="preserve"> </w:t>
      </w:r>
      <w:r w:rsidR="00CC65B2">
        <w:rPr>
          <w:lang w:bidi="he-IL"/>
        </w:rPr>
        <w:t xml:space="preserve">which came </w:t>
      </w:r>
      <w:r w:rsidR="00083CED">
        <w:rPr>
          <w:lang w:bidi="he-IL"/>
        </w:rPr>
        <w:t xml:space="preserve">in 6:5; 8:21; he is in the midst of proving that Yahweh’s assessment still applies (cf. also 13:13). </w:t>
      </w:r>
    </w:p>
    <w:p w14:paraId="0E5FC037" w14:textId="2E025851" w:rsidR="009A2301" w:rsidRDefault="00A302BC" w:rsidP="001D6C26">
      <w:pPr>
        <w:rPr>
          <w:lang w:bidi="he-IL"/>
        </w:rPr>
      </w:pPr>
      <w:r>
        <w:rPr>
          <w:lang w:bidi="he-IL"/>
        </w:rPr>
        <w:t xml:space="preserve">Lot thinks he might be able to protect the envoys by offering the Sodomites his daughters (v. 8). But what is the point of the offer? </w:t>
      </w:r>
      <w:r w:rsidR="003D0625">
        <w:rPr>
          <w:lang w:bidi="he-IL"/>
        </w:rPr>
        <w:t xml:space="preserve">While it has been suggested that </w:t>
      </w:r>
      <w:r w:rsidR="002D6B50">
        <w:rPr>
          <w:lang w:bidi="he-IL"/>
        </w:rPr>
        <w:t xml:space="preserve">he </w:t>
      </w:r>
      <w:r w:rsidR="003D0625">
        <w:rPr>
          <w:lang w:bidi="he-IL"/>
        </w:rPr>
        <w:t xml:space="preserve">is </w:t>
      </w:r>
      <w:r w:rsidR="009F72BF">
        <w:rPr>
          <w:lang w:bidi="he-IL"/>
        </w:rPr>
        <w:t>fulfill</w:t>
      </w:r>
      <w:r w:rsidR="00103436">
        <w:rPr>
          <w:lang w:bidi="he-IL"/>
        </w:rPr>
        <w:t>ing the expectations of Israelite</w:t>
      </w:r>
      <w:r>
        <w:rPr>
          <w:lang w:bidi="he-IL"/>
        </w:rPr>
        <w:t xml:space="preserve"> hospitality</w:t>
      </w:r>
      <w:r w:rsidR="00727890">
        <w:rPr>
          <w:lang w:bidi="he-IL"/>
        </w:rPr>
        <w:t xml:space="preserve"> </w:t>
      </w:r>
      <w:r>
        <w:rPr>
          <w:lang w:bidi="he-IL"/>
        </w:rPr>
        <w:t>by</w:t>
      </w:r>
      <w:r w:rsidR="00727890">
        <w:rPr>
          <w:lang w:bidi="he-IL"/>
        </w:rPr>
        <w:t xml:space="preserve"> </w:t>
      </w:r>
      <w:r>
        <w:rPr>
          <w:lang w:bidi="he-IL"/>
        </w:rPr>
        <w:t>offering them for sex</w:t>
      </w:r>
      <w:r w:rsidR="003D0625">
        <w:rPr>
          <w:lang w:bidi="he-IL"/>
        </w:rPr>
        <w:t>,</w:t>
      </w:r>
      <w:r w:rsidR="00103436">
        <w:rPr>
          <w:rStyle w:val="FootnoteReference"/>
          <w:lang w:bidi="he-IL"/>
        </w:rPr>
        <w:footnoteReference w:id="461"/>
      </w:r>
      <w:r w:rsidR="003D0625">
        <w:rPr>
          <w:lang w:bidi="he-IL"/>
        </w:rPr>
        <w:t xml:space="preserve"> c</w:t>
      </w:r>
      <w:r w:rsidR="00103436">
        <w:rPr>
          <w:lang w:bidi="he-IL"/>
        </w:rPr>
        <w:t xml:space="preserve">ommentators do not provide </w:t>
      </w:r>
      <w:r w:rsidR="009F72BF">
        <w:rPr>
          <w:lang w:bidi="he-IL"/>
        </w:rPr>
        <w:t>evidence for this interpretation</w:t>
      </w:r>
      <w:r w:rsidR="00103436">
        <w:rPr>
          <w:lang w:bidi="he-IL"/>
        </w:rPr>
        <w:t xml:space="preserve"> bey</w:t>
      </w:r>
      <w:r w:rsidR="001A10FB">
        <w:rPr>
          <w:lang w:bidi="he-IL"/>
        </w:rPr>
        <w:t xml:space="preserve">ond a reference to </w:t>
      </w:r>
      <w:r w:rsidR="00103436">
        <w:rPr>
          <w:lang w:bidi="he-IL"/>
        </w:rPr>
        <w:t>Judg 19</w:t>
      </w:r>
      <w:r w:rsidR="009A2301">
        <w:rPr>
          <w:lang w:bidi="he-IL"/>
        </w:rPr>
        <w:t>, which is hardly narrated</w:t>
      </w:r>
      <w:r w:rsidR="00103436">
        <w:rPr>
          <w:lang w:bidi="he-IL"/>
        </w:rPr>
        <w:t xml:space="preserve"> as a positive expression of Israelite values</w:t>
      </w:r>
      <w:r w:rsidR="009F72BF">
        <w:rPr>
          <w:lang w:bidi="he-IL"/>
        </w:rPr>
        <w:t xml:space="preserve">. </w:t>
      </w:r>
      <w:r>
        <w:rPr>
          <w:lang w:bidi="he-IL"/>
        </w:rPr>
        <w:t xml:space="preserve">Admittedly, an </w:t>
      </w:r>
      <w:r w:rsidR="00952A7F">
        <w:rPr>
          <w:lang w:bidi="he-IL"/>
        </w:rPr>
        <w:t xml:space="preserve">offer </w:t>
      </w:r>
      <w:r>
        <w:rPr>
          <w:lang w:bidi="he-IL"/>
        </w:rPr>
        <w:t xml:space="preserve">of sex with his virgin daughters </w:t>
      </w:r>
      <w:r w:rsidR="00952A7F" w:rsidRPr="00952A7F">
        <w:rPr>
          <w:lang w:bidi="he-IL"/>
        </w:rPr>
        <w:t>might interes</w:t>
      </w:r>
      <w:r>
        <w:rPr>
          <w:lang w:bidi="he-IL"/>
        </w:rPr>
        <w:t xml:space="preserve">t the </w:t>
      </w:r>
      <w:r w:rsidR="00952A7F" w:rsidRPr="00952A7F">
        <w:rPr>
          <w:lang w:bidi="he-IL"/>
        </w:rPr>
        <w:t>men</w:t>
      </w:r>
      <w:r w:rsidR="00952A7F">
        <w:rPr>
          <w:lang w:bidi="he-IL"/>
        </w:rPr>
        <w:t xml:space="preserve"> in the crowd.</w:t>
      </w:r>
      <w:r w:rsidR="00952A7F" w:rsidRPr="00952A7F">
        <w:rPr>
          <w:lang w:bidi="he-IL"/>
        </w:rPr>
        <w:t xml:space="preserve"> </w:t>
      </w:r>
      <w:r>
        <w:rPr>
          <w:lang w:bidi="he-IL"/>
        </w:rPr>
        <w:t>But i</w:t>
      </w:r>
      <w:r w:rsidR="002D6B50">
        <w:rPr>
          <w:lang w:bidi="he-IL"/>
        </w:rPr>
        <w:t>s Lot</w:t>
      </w:r>
      <w:r w:rsidR="001A10FB">
        <w:rPr>
          <w:lang w:bidi="he-IL"/>
        </w:rPr>
        <w:t xml:space="preserve"> </w:t>
      </w:r>
      <w:r>
        <w:rPr>
          <w:lang w:bidi="he-IL"/>
        </w:rPr>
        <w:t xml:space="preserve">then </w:t>
      </w:r>
      <w:r w:rsidR="001A10FB">
        <w:rPr>
          <w:lang w:bidi="he-IL"/>
        </w:rPr>
        <w:t xml:space="preserve">serious </w:t>
      </w:r>
      <w:r w:rsidR="002D6B50" w:rsidRPr="002D6B50">
        <w:rPr>
          <w:lang w:bidi="he-IL"/>
        </w:rPr>
        <w:t>or is he trying to jolt the community to</w:t>
      </w:r>
      <w:r w:rsidR="002D6B50">
        <w:rPr>
          <w:lang w:bidi="he-IL"/>
        </w:rPr>
        <w:t xml:space="preserve"> its</w:t>
      </w:r>
      <w:r w:rsidR="001A10FB">
        <w:rPr>
          <w:lang w:bidi="he-IL"/>
        </w:rPr>
        <w:t xml:space="preserve"> senses? Can</w:t>
      </w:r>
      <w:r w:rsidR="002D6B50" w:rsidRPr="002D6B50">
        <w:rPr>
          <w:lang w:bidi="he-IL"/>
        </w:rPr>
        <w:t xml:space="preserve"> </w:t>
      </w:r>
      <w:r w:rsidR="002D6B50">
        <w:rPr>
          <w:lang w:bidi="he-IL"/>
        </w:rPr>
        <w:t>the Sodomites</w:t>
      </w:r>
      <w:r w:rsidR="001A10FB">
        <w:rPr>
          <w:lang w:bidi="he-IL"/>
        </w:rPr>
        <w:t xml:space="preserve"> tell </w:t>
      </w:r>
      <w:r w:rsidR="002D6B50" w:rsidRPr="002D6B50">
        <w:rPr>
          <w:lang w:bidi="he-IL"/>
        </w:rPr>
        <w:t>the difference between what is bad and what is go</w:t>
      </w:r>
      <w:r w:rsidR="001A10FB">
        <w:rPr>
          <w:lang w:bidi="he-IL"/>
        </w:rPr>
        <w:t>od in their eyes?</w:t>
      </w:r>
      <w:r>
        <w:rPr>
          <w:lang w:bidi="he-IL"/>
        </w:rPr>
        <w:t xml:space="preserve"> T</w:t>
      </w:r>
      <w:r w:rsidR="002D6B50" w:rsidRPr="002D6B50">
        <w:rPr>
          <w:lang w:bidi="he-IL"/>
        </w:rPr>
        <w:t xml:space="preserve">he word for </w:t>
      </w:r>
      <w:r w:rsidR="003D56BA">
        <w:rPr>
          <w:lang w:bidi="he-IL"/>
        </w:rPr>
        <w:t>“</w:t>
      </w:r>
      <w:r w:rsidR="002D6B50" w:rsidRPr="002D6B50">
        <w:rPr>
          <w:lang w:bidi="he-IL"/>
        </w:rPr>
        <w:t>sleeping with</w:t>
      </w:r>
      <w:r w:rsidR="003D56BA">
        <w:rPr>
          <w:lang w:bidi="he-IL"/>
        </w:rPr>
        <w:t>”</w:t>
      </w:r>
      <w:r w:rsidR="002D6B50" w:rsidRPr="002D6B50">
        <w:rPr>
          <w:lang w:bidi="he-IL"/>
        </w:rPr>
        <w:t xml:space="preserve"> </w:t>
      </w:r>
      <w:r w:rsidR="006C7328">
        <w:rPr>
          <w:lang w:bidi="he-IL"/>
        </w:rPr>
        <w:t xml:space="preserve">again </w:t>
      </w:r>
      <w:r w:rsidR="002D6B50" w:rsidRPr="002D6B50">
        <w:rPr>
          <w:lang w:bidi="he-IL"/>
        </w:rPr>
        <w:t xml:space="preserve">more literally means </w:t>
      </w:r>
      <w:r w:rsidR="003D56BA">
        <w:rPr>
          <w:lang w:bidi="he-IL"/>
        </w:rPr>
        <w:t>“</w:t>
      </w:r>
      <w:r w:rsidR="002D6B50" w:rsidRPr="002D6B50">
        <w:rPr>
          <w:lang w:bidi="he-IL"/>
        </w:rPr>
        <w:t>knowing</w:t>
      </w:r>
      <w:r w:rsidR="00952A7F">
        <w:rPr>
          <w:lang w:bidi="he-IL"/>
        </w:rPr>
        <w:t>.</w:t>
      </w:r>
      <w:r w:rsidR="003D56BA">
        <w:rPr>
          <w:lang w:bidi="he-IL"/>
        </w:rPr>
        <w:t>”</w:t>
      </w:r>
      <w:r w:rsidR="00952A7F">
        <w:rPr>
          <w:lang w:bidi="he-IL"/>
        </w:rPr>
        <w:t xml:space="preserve"> Ha</w:t>
      </w:r>
      <w:r w:rsidR="002D6B50" w:rsidRPr="002D6B50">
        <w:rPr>
          <w:lang w:bidi="he-IL"/>
        </w:rPr>
        <w:t xml:space="preserve">ve they profited at all from their ultimate parents’ eating from the </w:t>
      </w:r>
      <w:r w:rsidR="002D6B50" w:rsidRPr="002D6B50">
        <w:rPr>
          <w:i/>
          <w:lang w:bidi="he-IL"/>
        </w:rPr>
        <w:t>good</w:t>
      </w:r>
      <w:r w:rsidR="002D6B50" w:rsidRPr="002D6B50">
        <w:rPr>
          <w:lang w:bidi="he-IL"/>
        </w:rPr>
        <w:t>-and-</w:t>
      </w:r>
      <w:r w:rsidR="002D6B50" w:rsidRPr="002D6B50">
        <w:rPr>
          <w:i/>
          <w:lang w:bidi="he-IL"/>
        </w:rPr>
        <w:t>bad</w:t>
      </w:r>
      <w:r w:rsidR="002D6B50" w:rsidRPr="002D6B50">
        <w:rPr>
          <w:lang w:bidi="he-IL"/>
        </w:rPr>
        <w:t>-</w:t>
      </w:r>
      <w:r w:rsidR="002D6B50" w:rsidRPr="002D6B50">
        <w:rPr>
          <w:i/>
          <w:lang w:bidi="he-IL"/>
        </w:rPr>
        <w:t>knowledge</w:t>
      </w:r>
      <w:r w:rsidR="002D6B50" w:rsidRPr="002D6B50">
        <w:rPr>
          <w:lang w:bidi="he-IL"/>
        </w:rPr>
        <w:t>-tree?</w:t>
      </w:r>
      <w:r>
        <w:rPr>
          <w:lang w:bidi="he-IL"/>
        </w:rPr>
        <w:t xml:space="preserve"> But anyway, </w:t>
      </w:r>
      <w:r w:rsidR="009A2301">
        <w:rPr>
          <w:lang w:bidi="he-IL"/>
        </w:rPr>
        <w:t>Lot does not invite the crowd to sleep with his daughters, and it’s not obvious why this would satisfy their reasons for wa</w:t>
      </w:r>
      <w:r>
        <w:rPr>
          <w:lang w:bidi="he-IL"/>
        </w:rPr>
        <w:t>nting to “know” the strangers. Maybe Lot is rather offer</w:t>
      </w:r>
      <w:r w:rsidR="009A2301">
        <w:rPr>
          <w:lang w:bidi="he-IL"/>
        </w:rPr>
        <w:t>ing them as hostages.</w:t>
      </w:r>
      <w:r w:rsidR="009A2301">
        <w:rPr>
          <w:rStyle w:val="FootnoteReference"/>
          <w:lang w:bidi="he-IL"/>
        </w:rPr>
        <w:footnoteReference w:id="462"/>
      </w:r>
    </w:p>
    <w:p w14:paraId="0A5DC8FD" w14:textId="77777777" w:rsidR="009F72BF" w:rsidRDefault="009F72BF" w:rsidP="001D6C26">
      <w:pPr>
        <w:rPr>
          <w:lang w:bidi="he-IL"/>
        </w:rPr>
      </w:pPr>
      <w:r>
        <w:rPr>
          <w:b/>
          <w:lang w:bidi="he-IL"/>
        </w:rPr>
        <w:t xml:space="preserve">19:9-11. </w:t>
      </w:r>
      <w:r w:rsidR="00B94B49" w:rsidRPr="00B94B49">
        <w:rPr>
          <w:lang w:bidi="he-IL"/>
        </w:rPr>
        <w:t>If Lot had been sitting</w:t>
      </w:r>
      <w:r w:rsidR="00B94B49">
        <w:rPr>
          <w:b/>
          <w:lang w:bidi="he-IL"/>
        </w:rPr>
        <w:t xml:space="preserve"> </w:t>
      </w:r>
      <w:r w:rsidR="00B94B49">
        <w:rPr>
          <w:lang w:bidi="he-IL"/>
        </w:rPr>
        <w:t>in the gateway like the citizens of Sodo</w:t>
      </w:r>
      <w:r w:rsidR="006C7328">
        <w:rPr>
          <w:lang w:bidi="he-IL"/>
        </w:rPr>
        <w:t xml:space="preserve">m, the actual citizens </w:t>
      </w:r>
      <w:r w:rsidR="00B94B49">
        <w:rPr>
          <w:lang w:bidi="he-IL"/>
        </w:rPr>
        <w:t xml:space="preserve">now put him in his place. </w:t>
      </w:r>
      <w:r w:rsidR="00D519B4">
        <w:rPr>
          <w:lang w:bidi="he-IL"/>
        </w:rPr>
        <w:t xml:space="preserve">And if he thinks they are his </w:t>
      </w:r>
      <w:r w:rsidR="003D56BA">
        <w:rPr>
          <w:lang w:bidi="he-IL"/>
        </w:rPr>
        <w:t>“</w:t>
      </w:r>
      <w:r w:rsidR="00D519B4">
        <w:rPr>
          <w:lang w:bidi="he-IL"/>
        </w:rPr>
        <w:t>brothers,</w:t>
      </w:r>
      <w:r w:rsidR="003D56BA">
        <w:rPr>
          <w:lang w:bidi="he-IL"/>
        </w:rPr>
        <w:t>”</w:t>
      </w:r>
      <w:r w:rsidR="00D519B4">
        <w:rPr>
          <w:lang w:bidi="he-IL"/>
        </w:rPr>
        <w:t xml:space="preserve"> they will remind him of his actual status</w:t>
      </w:r>
      <w:r w:rsidR="00551F18">
        <w:rPr>
          <w:lang w:bidi="he-IL"/>
        </w:rPr>
        <w:t xml:space="preserve"> as a resident alien whose green card could be withdrawn at any moment</w:t>
      </w:r>
      <w:r w:rsidR="00D519B4">
        <w:rPr>
          <w:lang w:bidi="he-IL"/>
        </w:rPr>
        <w:t>.</w:t>
      </w:r>
      <w:r w:rsidR="00551F18">
        <w:rPr>
          <w:rStyle w:val="FootnoteReference"/>
          <w:lang w:bidi="he-IL"/>
        </w:rPr>
        <w:footnoteReference w:id="463"/>
      </w:r>
      <w:r w:rsidR="00D519B4">
        <w:rPr>
          <w:lang w:bidi="he-IL"/>
        </w:rPr>
        <w:t xml:space="preserve"> </w:t>
      </w:r>
      <w:r w:rsidR="002C14ED">
        <w:rPr>
          <w:lang w:bidi="he-IL"/>
        </w:rPr>
        <w:t>First they tell him to get away from the door that he had shut. Then u</w:t>
      </w:r>
      <w:r w:rsidR="00B94B49">
        <w:rPr>
          <w:lang w:bidi="he-IL"/>
        </w:rPr>
        <w:t xml:space="preserve">nbeknown to themselves, they pay him a compliment. The </w:t>
      </w:r>
      <w:r w:rsidR="00B94B49">
        <w:rPr>
          <w:lang w:bidi="he-IL"/>
        </w:rPr>
        <w:lastRenderedPageBreak/>
        <w:t>audience knows Yahweh’s expectation that Abraham should exercise authority in accordance with faithfulness</w:t>
      </w:r>
      <w:r w:rsidR="002C14ED">
        <w:rPr>
          <w:lang w:bidi="he-IL"/>
        </w:rPr>
        <w:t xml:space="preserve">, and in connection with Yahweh’s intentions for Sodom, Abraham has been challenging Yahweh about the proper exercise of authority. </w:t>
      </w:r>
      <w:r w:rsidR="000A7E99">
        <w:rPr>
          <w:lang w:bidi="he-IL"/>
        </w:rPr>
        <w:t>Lot has been faithful in his exercise</w:t>
      </w:r>
      <w:r w:rsidR="0029330D">
        <w:rPr>
          <w:lang w:bidi="he-IL"/>
        </w:rPr>
        <w:t xml:space="preserve"> of hospitality to the two </w:t>
      </w:r>
      <w:r w:rsidR="003D56BA">
        <w:rPr>
          <w:lang w:bidi="he-IL"/>
        </w:rPr>
        <w:t>“</w:t>
      </w:r>
      <w:r w:rsidR="0029330D">
        <w:rPr>
          <w:lang w:bidi="he-IL"/>
        </w:rPr>
        <w:t>men</w:t>
      </w:r>
      <w:r w:rsidR="003D56BA">
        <w:rPr>
          <w:lang w:bidi="he-IL"/>
        </w:rPr>
        <w:t>”</w:t>
      </w:r>
      <w:r w:rsidR="000A7E99">
        <w:rPr>
          <w:lang w:bidi="he-IL"/>
        </w:rPr>
        <w:t xml:space="preserve"> </w:t>
      </w:r>
      <w:r w:rsidR="0029330D">
        <w:rPr>
          <w:lang w:bidi="he-IL"/>
        </w:rPr>
        <w:t xml:space="preserve">(2 Peter 2:6 describes him as </w:t>
      </w:r>
      <w:r w:rsidR="0029330D">
        <w:rPr>
          <w:i/>
          <w:lang w:bidi="he-IL"/>
        </w:rPr>
        <w:t>dikaios</w:t>
      </w:r>
      <w:r w:rsidR="0029330D">
        <w:rPr>
          <w:lang w:bidi="he-IL"/>
        </w:rPr>
        <w:t>, the equivalent Greek word</w:t>
      </w:r>
      <w:r w:rsidR="00952A7F">
        <w:rPr>
          <w:lang w:bidi="he-IL"/>
        </w:rPr>
        <w:t xml:space="preserve"> to </w:t>
      </w:r>
      <w:r w:rsidR="00952A7F">
        <w:rPr>
          <w:i/>
          <w:lang w:bidi="he-IL"/>
        </w:rPr>
        <w:t>ṣaddîq</w:t>
      </w:r>
      <w:r w:rsidR="0029330D">
        <w:rPr>
          <w:lang w:bidi="he-IL"/>
        </w:rPr>
        <w:t>),</w:t>
      </w:r>
      <w:r w:rsidR="0029330D">
        <w:rPr>
          <w:i/>
          <w:lang w:bidi="he-IL"/>
        </w:rPr>
        <w:t xml:space="preserve"> </w:t>
      </w:r>
      <w:r w:rsidR="000A7E99">
        <w:rPr>
          <w:lang w:bidi="he-IL"/>
        </w:rPr>
        <w:t>and now ironically</w:t>
      </w:r>
      <w:r w:rsidR="002C14ED">
        <w:rPr>
          <w:lang w:bidi="he-IL"/>
        </w:rPr>
        <w:t xml:space="preserve"> the Sod</w:t>
      </w:r>
      <w:r w:rsidR="000A7E99">
        <w:rPr>
          <w:lang w:bidi="he-IL"/>
        </w:rPr>
        <w:t xml:space="preserve">omites </w:t>
      </w:r>
      <w:r w:rsidR="003D56BA">
        <w:rPr>
          <w:lang w:bidi="he-IL"/>
        </w:rPr>
        <w:t>“</w:t>
      </w:r>
      <w:r w:rsidR="000A7E99">
        <w:rPr>
          <w:lang w:bidi="he-IL"/>
        </w:rPr>
        <w:t>accuse</w:t>
      </w:r>
      <w:r w:rsidR="003D56BA">
        <w:rPr>
          <w:lang w:bidi="he-IL"/>
        </w:rPr>
        <w:t>”</w:t>
      </w:r>
      <w:r w:rsidR="000A7E99">
        <w:rPr>
          <w:lang w:bidi="he-IL"/>
        </w:rPr>
        <w:t xml:space="preserve"> him</w:t>
      </w:r>
      <w:r w:rsidR="002C14ED">
        <w:rPr>
          <w:lang w:bidi="he-IL"/>
        </w:rPr>
        <w:t xml:space="preserve"> of daring to behave as if </w:t>
      </w:r>
      <w:r w:rsidR="002C14ED">
        <w:rPr>
          <w:i/>
          <w:lang w:bidi="he-IL"/>
        </w:rPr>
        <w:t>mišpāṭ</w:t>
      </w:r>
      <w:r w:rsidR="002C14ED">
        <w:rPr>
          <w:lang w:bidi="he-IL"/>
        </w:rPr>
        <w:t xml:space="preserve"> in Sodom is his business.</w:t>
      </w:r>
      <w:r w:rsidR="005C5B45">
        <w:rPr>
          <w:lang w:bidi="he-IL"/>
        </w:rPr>
        <w:t xml:space="preserve"> </w:t>
      </w:r>
      <w:r w:rsidR="003D56BA">
        <w:rPr>
          <w:lang w:bidi="he-IL"/>
        </w:rPr>
        <w:t>“</w:t>
      </w:r>
      <w:r w:rsidR="00952A7F" w:rsidRPr="00952A7F">
        <w:rPr>
          <w:lang w:bidi="he-IL"/>
        </w:rPr>
        <w:t>Up to this point in the Genesis story, Lot has enjoyed a measure of peace and stability alongside the Sodomites, as long as he did not challenge the social hierarchy. Now that he seeks to defend two strangers, whose social status is even lower than his own, he is to suffer the same aggression that the visitors have attracted.</w:t>
      </w:r>
      <w:r w:rsidR="003D56BA">
        <w:rPr>
          <w:lang w:bidi="he-IL"/>
        </w:rPr>
        <w:t>”</w:t>
      </w:r>
      <w:r w:rsidR="00952A7F" w:rsidRPr="00952A7F">
        <w:rPr>
          <w:vertAlign w:val="superscript"/>
          <w:lang w:bidi="he-IL"/>
        </w:rPr>
        <w:footnoteReference w:id="464"/>
      </w:r>
      <w:r w:rsidR="00FB7EEB">
        <w:rPr>
          <w:lang w:bidi="he-IL"/>
        </w:rPr>
        <w:t xml:space="preserve"> </w:t>
      </w:r>
      <w:r w:rsidR="005C5B45">
        <w:rPr>
          <w:lang w:bidi="he-IL"/>
        </w:rPr>
        <w:t>L</w:t>
      </w:r>
      <w:r w:rsidR="00FB7EEB">
        <w:rPr>
          <w:lang w:bidi="he-IL"/>
        </w:rPr>
        <w:t>ike good postmodern people, the Sodomites</w:t>
      </w:r>
      <w:r w:rsidR="005C5B45">
        <w:rPr>
          <w:lang w:bidi="he-IL"/>
        </w:rPr>
        <w:t xml:space="preserve"> suggest that </w:t>
      </w:r>
      <w:r w:rsidR="003D56BA">
        <w:rPr>
          <w:lang w:bidi="he-IL"/>
        </w:rPr>
        <w:t>“</w:t>
      </w:r>
      <w:r w:rsidR="005C5B45">
        <w:rPr>
          <w:lang w:bidi="he-IL"/>
        </w:rPr>
        <w:t>Lot should not presume to force his social values on them.</w:t>
      </w:r>
      <w:r w:rsidR="003D56BA">
        <w:rPr>
          <w:lang w:bidi="he-IL"/>
        </w:rPr>
        <w:t>”</w:t>
      </w:r>
      <w:r w:rsidR="005C5B45">
        <w:rPr>
          <w:rStyle w:val="FootnoteReference"/>
          <w:lang w:bidi="he-IL"/>
        </w:rPr>
        <w:footnoteReference w:id="465"/>
      </w:r>
      <w:r w:rsidR="005C5B45">
        <w:rPr>
          <w:lang w:bidi="he-IL"/>
        </w:rPr>
        <w:t xml:space="preserve"> </w:t>
      </w:r>
      <w:r w:rsidR="00952A7F">
        <w:rPr>
          <w:lang w:bidi="he-IL"/>
        </w:rPr>
        <w:t>If he resists their doing something that</w:t>
      </w:r>
      <w:r w:rsidR="002C14ED">
        <w:rPr>
          <w:lang w:bidi="he-IL"/>
        </w:rPr>
        <w:t xml:space="preserve"> he says is bad, they will show him what bad dealing feels like.</w:t>
      </w:r>
      <w:r w:rsidR="00E234E1">
        <w:rPr>
          <w:rStyle w:val="FootnoteReference"/>
          <w:lang w:bidi="he-IL"/>
        </w:rPr>
        <w:footnoteReference w:id="466"/>
      </w:r>
    </w:p>
    <w:p w14:paraId="4AF43E91" w14:textId="77777777" w:rsidR="002C14ED" w:rsidRDefault="002C14ED" w:rsidP="001D6C26">
      <w:pPr>
        <w:rPr>
          <w:lang w:bidi="he-IL"/>
        </w:rPr>
      </w:pPr>
      <w:r>
        <w:rPr>
          <w:lang w:bidi="he-IL"/>
        </w:rPr>
        <w:t>In the event (v</w:t>
      </w:r>
      <w:r w:rsidR="005024EE">
        <w:rPr>
          <w:lang w:bidi="he-IL"/>
        </w:rPr>
        <w:t>v</w:t>
      </w:r>
      <w:r>
        <w:rPr>
          <w:lang w:bidi="he-IL"/>
        </w:rPr>
        <w:t>. 10</w:t>
      </w:r>
      <w:r w:rsidR="005024EE">
        <w:rPr>
          <w:lang w:bidi="he-IL"/>
        </w:rPr>
        <w:t>-11</w:t>
      </w:r>
      <w:r>
        <w:rPr>
          <w:lang w:bidi="he-IL"/>
        </w:rPr>
        <w:t xml:space="preserve">), the two </w:t>
      </w:r>
      <w:r w:rsidR="003D56BA">
        <w:rPr>
          <w:lang w:bidi="he-IL"/>
        </w:rPr>
        <w:t>“</w:t>
      </w:r>
      <w:r>
        <w:rPr>
          <w:lang w:bidi="he-IL"/>
        </w:rPr>
        <w:t>men</w:t>
      </w:r>
      <w:r w:rsidR="003D56BA">
        <w:rPr>
          <w:lang w:bidi="he-IL"/>
        </w:rPr>
        <w:t>”</w:t>
      </w:r>
      <w:r>
        <w:rPr>
          <w:lang w:bidi="he-IL"/>
        </w:rPr>
        <w:t xml:space="preserve"> </w:t>
      </w:r>
      <w:r w:rsidR="006C7328">
        <w:rPr>
          <w:lang w:bidi="he-IL"/>
        </w:rPr>
        <w:t>protect Lot, shut the door again, and</w:t>
      </w:r>
      <w:r w:rsidR="005024EE">
        <w:rPr>
          <w:lang w:bidi="he-IL"/>
        </w:rPr>
        <w:t xml:space="preserve"> show that they are more than </w:t>
      </w:r>
      <w:r w:rsidR="00065786">
        <w:rPr>
          <w:lang w:bidi="he-IL"/>
        </w:rPr>
        <w:t xml:space="preserve">ordinary men by terminating for a while </w:t>
      </w:r>
      <w:r w:rsidR="005024EE">
        <w:rPr>
          <w:lang w:bidi="he-IL"/>
        </w:rPr>
        <w:t xml:space="preserve">the Sodomites’ capacity to fulfill their aims. Again Genesis notes that the whole community was involved, </w:t>
      </w:r>
      <w:r w:rsidR="003D56BA">
        <w:rPr>
          <w:lang w:bidi="he-IL"/>
        </w:rPr>
        <w:t>“</w:t>
      </w:r>
      <w:r w:rsidR="005024EE">
        <w:rPr>
          <w:lang w:bidi="he-IL"/>
        </w:rPr>
        <w:t>from young right to old.</w:t>
      </w:r>
      <w:r w:rsidR="003D56BA">
        <w:rPr>
          <w:lang w:bidi="he-IL"/>
        </w:rPr>
        <w:t>”</w:t>
      </w:r>
    </w:p>
    <w:p w14:paraId="17112468" w14:textId="77777777" w:rsidR="009761C9" w:rsidRDefault="005024EE" w:rsidP="001D6C26">
      <w:pPr>
        <w:rPr>
          <w:lang w:bidi="he-IL"/>
        </w:rPr>
      </w:pPr>
      <w:r>
        <w:rPr>
          <w:b/>
          <w:lang w:bidi="he-IL"/>
        </w:rPr>
        <w:t>19:12-14.</w:t>
      </w:r>
      <w:r w:rsidR="009761C9">
        <w:rPr>
          <w:lang w:bidi="he-IL"/>
        </w:rPr>
        <w:t xml:space="preserve"> </w:t>
      </w:r>
      <w:proofErr w:type="gramStart"/>
      <w:r w:rsidR="009761C9">
        <w:rPr>
          <w:lang w:bidi="he-IL"/>
        </w:rPr>
        <w:t>The</w:t>
      </w:r>
      <w:proofErr w:type="gramEnd"/>
      <w:r w:rsidR="00297054">
        <w:rPr>
          <w:lang w:bidi="he-IL"/>
        </w:rPr>
        <w:t xml:space="preserve"> story </w:t>
      </w:r>
      <w:r w:rsidR="009761C9">
        <w:rPr>
          <w:lang w:bidi="he-IL"/>
        </w:rPr>
        <w:t>jump</w:t>
      </w:r>
      <w:r w:rsidR="00297054">
        <w:rPr>
          <w:lang w:bidi="he-IL"/>
        </w:rPr>
        <w:t>s forward: i</w:t>
      </w:r>
      <w:r w:rsidR="009761C9">
        <w:rPr>
          <w:lang w:bidi="he-IL"/>
        </w:rPr>
        <w:t>t would be logical to have the intention which comes as v. 13 preceding the exhortation to action</w:t>
      </w:r>
      <w:r w:rsidR="00297054">
        <w:rPr>
          <w:lang w:bidi="he-IL"/>
        </w:rPr>
        <w:t xml:space="preserve"> which comes in v. 12. But</w:t>
      </w:r>
      <w:r w:rsidR="009761C9">
        <w:rPr>
          <w:lang w:bidi="he-IL"/>
        </w:rPr>
        <w:t xml:space="preserve"> the action is what is required</w:t>
      </w:r>
      <w:r w:rsidR="00297054">
        <w:rPr>
          <w:lang w:bidi="he-IL"/>
        </w:rPr>
        <w:t>,</w:t>
      </w:r>
      <w:r w:rsidR="009761C9">
        <w:rPr>
          <w:lang w:bidi="he-IL"/>
        </w:rPr>
        <w:t xml:space="preserve"> s</w:t>
      </w:r>
      <w:r w:rsidR="00297054">
        <w:rPr>
          <w:lang w:bidi="he-IL"/>
        </w:rPr>
        <w:t>o it comes</w:t>
      </w:r>
      <w:r w:rsidR="009761C9">
        <w:rPr>
          <w:lang w:bidi="he-IL"/>
        </w:rPr>
        <w:t xml:space="preserve"> first. </w:t>
      </w:r>
      <w:r w:rsidR="00A93EB3">
        <w:rPr>
          <w:lang w:bidi="he-IL"/>
        </w:rPr>
        <w:t>The envoys again show a mixture of prophetic knowledge and ignorance</w:t>
      </w:r>
      <w:r w:rsidR="002F57D5">
        <w:rPr>
          <w:lang w:bidi="he-IL"/>
        </w:rPr>
        <w:t>.</w:t>
      </w:r>
      <w:r w:rsidR="00A93EB3">
        <w:rPr>
          <w:lang w:bidi="he-IL"/>
        </w:rPr>
        <w:t xml:space="preserve"> </w:t>
      </w:r>
      <w:r w:rsidR="009761C9">
        <w:rPr>
          <w:lang w:bidi="he-IL"/>
        </w:rPr>
        <w:t>The answer to the question in v. 12 is two daughters and two virtual sons-in-law</w:t>
      </w:r>
      <w:r w:rsidR="00297054">
        <w:rPr>
          <w:lang w:bidi="he-IL"/>
        </w:rPr>
        <w:t>,</w:t>
      </w:r>
      <w:r w:rsidR="00803B0B">
        <w:rPr>
          <w:lang w:bidi="he-IL"/>
        </w:rPr>
        <w:t xml:space="preserve"> </w:t>
      </w:r>
      <w:r w:rsidR="00297054">
        <w:rPr>
          <w:lang w:bidi="he-IL"/>
        </w:rPr>
        <w:t xml:space="preserve">and/or </w:t>
      </w:r>
      <w:r w:rsidR="00777481">
        <w:rPr>
          <w:lang w:bidi="he-IL"/>
        </w:rPr>
        <w:t>one or more actual sons-in-law; i</w:t>
      </w:r>
      <w:r w:rsidR="00297054">
        <w:rPr>
          <w:lang w:bidi="he-IL"/>
        </w:rPr>
        <w:t xml:space="preserve">n the latter case there are </w:t>
      </w:r>
      <w:r w:rsidR="002F57D5">
        <w:rPr>
          <w:lang w:bidi="he-IL"/>
        </w:rPr>
        <w:t>more dau</w:t>
      </w:r>
      <w:r w:rsidR="00777481">
        <w:rPr>
          <w:lang w:bidi="he-IL"/>
        </w:rPr>
        <w:t>ghters to take into account</w:t>
      </w:r>
      <w:r w:rsidR="00803B0B">
        <w:rPr>
          <w:lang w:bidi="he-IL"/>
        </w:rPr>
        <w:t>. In addition, there is</w:t>
      </w:r>
      <w:r w:rsidR="009761C9">
        <w:rPr>
          <w:lang w:bidi="he-IL"/>
        </w:rPr>
        <w:t xml:space="preserve"> a wife who is taken for granted. </w:t>
      </w:r>
      <w:r w:rsidR="006C7328">
        <w:rPr>
          <w:lang w:bidi="he-IL"/>
        </w:rPr>
        <w:t xml:space="preserve">The fact that </w:t>
      </w:r>
      <w:r w:rsidR="00297054">
        <w:rPr>
          <w:lang w:bidi="he-IL"/>
        </w:rPr>
        <w:t xml:space="preserve">they </w:t>
      </w:r>
      <w:r w:rsidR="006C7328">
        <w:rPr>
          <w:lang w:bidi="he-IL"/>
        </w:rPr>
        <w:t>total rather less than</w:t>
      </w:r>
      <w:r w:rsidR="009761C9">
        <w:rPr>
          <w:lang w:bidi="he-IL"/>
        </w:rPr>
        <w:t xml:space="preserve"> the ten at which Abraham stopped in h</w:t>
      </w:r>
      <w:r w:rsidR="006C7328">
        <w:rPr>
          <w:lang w:bidi="he-IL"/>
        </w:rPr>
        <w:t>is quizzing of Yahweh might link with that stopping point. T</w:t>
      </w:r>
      <w:r w:rsidR="009761C9">
        <w:rPr>
          <w:lang w:bidi="he-IL"/>
        </w:rPr>
        <w:t xml:space="preserve">hey need to get out rather than thinking that Yahweh </w:t>
      </w:r>
      <w:r w:rsidR="003177D0">
        <w:rPr>
          <w:lang w:bidi="he-IL"/>
        </w:rPr>
        <w:t>may hold back from acting</w:t>
      </w:r>
      <w:r w:rsidR="009761C9">
        <w:rPr>
          <w:lang w:bidi="he-IL"/>
        </w:rPr>
        <w:t xml:space="preserve"> against the town.</w:t>
      </w:r>
    </w:p>
    <w:p w14:paraId="07AE7A8F" w14:textId="77777777" w:rsidR="005024EE" w:rsidRDefault="009761C9" w:rsidP="001D6C26">
      <w:pPr>
        <w:rPr>
          <w:lang w:bidi="he-IL"/>
        </w:rPr>
      </w:pPr>
      <w:r>
        <w:rPr>
          <w:lang w:bidi="he-IL"/>
        </w:rPr>
        <w:t>Be</w:t>
      </w:r>
      <w:r w:rsidR="003177D0">
        <w:rPr>
          <w:lang w:bidi="he-IL"/>
        </w:rPr>
        <w:t>cause he is going to act</w:t>
      </w:r>
      <w:r>
        <w:rPr>
          <w:lang w:bidi="he-IL"/>
        </w:rPr>
        <w:t xml:space="preserve"> (v. 13). </w:t>
      </w:r>
      <w:r w:rsidR="00872C03">
        <w:rPr>
          <w:lang w:bidi="he-IL"/>
        </w:rPr>
        <w:t>Perhaps the townspeople’s behavior</w:t>
      </w:r>
      <w:r>
        <w:rPr>
          <w:lang w:bidi="he-IL"/>
        </w:rPr>
        <w:t xml:space="preserve"> and their refusal to respond to Lot is the last straw. </w:t>
      </w:r>
      <w:r w:rsidR="00E46720">
        <w:rPr>
          <w:lang w:bidi="he-IL"/>
        </w:rPr>
        <w:t>M</w:t>
      </w:r>
      <w:r w:rsidR="00E46720" w:rsidRPr="00E46720">
        <w:rPr>
          <w:lang w:bidi="he-IL"/>
        </w:rPr>
        <w:t>ore precisely</w:t>
      </w:r>
      <w:r w:rsidR="003177D0">
        <w:rPr>
          <w:lang w:bidi="he-IL"/>
        </w:rPr>
        <w:t xml:space="preserve">, the </w:t>
      </w:r>
      <w:r w:rsidR="006C7328">
        <w:rPr>
          <w:lang w:bidi="he-IL"/>
        </w:rPr>
        <w:t xml:space="preserve">two </w:t>
      </w:r>
      <w:r w:rsidR="003D56BA">
        <w:rPr>
          <w:lang w:bidi="he-IL"/>
        </w:rPr>
        <w:t>“</w:t>
      </w:r>
      <w:r w:rsidR="003177D0">
        <w:rPr>
          <w:lang w:bidi="he-IL"/>
        </w:rPr>
        <w:t>men</w:t>
      </w:r>
      <w:r w:rsidR="003D56BA">
        <w:rPr>
          <w:lang w:bidi="he-IL"/>
        </w:rPr>
        <w:t>”</w:t>
      </w:r>
      <w:r w:rsidR="003177D0">
        <w:rPr>
          <w:lang w:bidi="he-IL"/>
        </w:rPr>
        <w:t xml:space="preserve"> are going to act</w:t>
      </w:r>
      <w:r w:rsidR="000A7E99">
        <w:rPr>
          <w:lang w:bidi="he-IL"/>
        </w:rPr>
        <w:t xml:space="preserve"> on Yahweh’s behalf—i</w:t>
      </w:r>
      <w:r w:rsidR="00E46720">
        <w:rPr>
          <w:lang w:bidi="he-IL"/>
        </w:rPr>
        <w:t xml:space="preserve">t is part of what envoys are for. They </w:t>
      </w:r>
      <w:r w:rsidR="000A7E99">
        <w:rPr>
          <w:lang w:bidi="he-IL"/>
        </w:rPr>
        <w:t xml:space="preserve">explicitly </w:t>
      </w:r>
      <w:r w:rsidR="00E46720">
        <w:rPr>
          <w:lang w:bidi="he-IL"/>
        </w:rPr>
        <w:t>pick up th</w:t>
      </w:r>
      <w:r w:rsidR="003177D0">
        <w:rPr>
          <w:lang w:bidi="he-IL"/>
        </w:rPr>
        <w:t xml:space="preserve">e talk of outcry and </w:t>
      </w:r>
      <w:r w:rsidR="00E46720">
        <w:rPr>
          <w:lang w:bidi="he-IL"/>
        </w:rPr>
        <w:t>devastation from Yahwe</w:t>
      </w:r>
      <w:r w:rsidR="000A7E99">
        <w:rPr>
          <w:lang w:bidi="he-IL"/>
        </w:rPr>
        <w:t>h’s words and from the dialogue</w:t>
      </w:r>
      <w:r w:rsidR="002F28B9">
        <w:rPr>
          <w:lang w:bidi="he-IL"/>
        </w:rPr>
        <w:t xml:space="preserve"> in 18:20-32</w:t>
      </w:r>
      <w:r w:rsidR="000A7E99">
        <w:rPr>
          <w:lang w:bidi="he-IL"/>
        </w:rPr>
        <w:t>, as the reference to family members implicitly takes up the reference to the possibility of there being ten faithful people in Sodom.</w:t>
      </w:r>
    </w:p>
    <w:p w14:paraId="4BA06C15" w14:textId="1DD1DB7C" w:rsidR="00572D1C" w:rsidRDefault="00777481" w:rsidP="001D6C26">
      <w:pPr>
        <w:rPr>
          <w:lang w:bidi="he-IL"/>
        </w:rPr>
      </w:pPr>
      <w:r>
        <w:rPr>
          <w:lang w:bidi="he-IL"/>
        </w:rPr>
        <w:t>T</w:t>
      </w:r>
      <w:r w:rsidR="00572D1C">
        <w:rPr>
          <w:lang w:bidi="he-IL"/>
        </w:rPr>
        <w:t xml:space="preserve">he </w:t>
      </w:r>
      <w:r w:rsidR="003D56BA">
        <w:rPr>
          <w:lang w:bidi="he-IL"/>
        </w:rPr>
        <w:t>“</w:t>
      </w:r>
      <w:r w:rsidR="00572D1C">
        <w:rPr>
          <w:lang w:bidi="he-IL"/>
        </w:rPr>
        <w:t>sons</w:t>
      </w:r>
      <w:r w:rsidR="005340E5">
        <w:rPr>
          <w:lang w:bidi="he-IL"/>
        </w:rPr>
        <w:t>-in-law</w:t>
      </w:r>
      <w:r w:rsidR="003D56BA">
        <w:rPr>
          <w:lang w:bidi="he-IL"/>
        </w:rPr>
        <w:t>”</w:t>
      </w:r>
      <w:r w:rsidR="005340E5">
        <w:rPr>
          <w:lang w:bidi="he-IL"/>
        </w:rPr>
        <w:t xml:space="preserve"> (v. 14) </w:t>
      </w:r>
      <w:r w:rsidR="00803B0B">
        <w:rPr>
          <w:lang w:bidi="he-IL"/>
        </w:rPr>
        <w:t>might have been young men</w:t>
      </w:r>
      <w:r w:rsidR="005340E5">
        <w:rPr>
          <w:lang w:bidi="he-IL"/>
        </w:rPr>
        <w:t xml:space="preserve"> </w:t>
      </w:r>
      <w:r w:rsidR="00572D1C">
        <w:rPr>
          <w:lang w:bidi="he-IL"/>
        </w:rPr>
        <w:t>in the position of Mary’s almost-husb</w:t>
      </w:r>
      <w:r w:rsidR="00803B0B">
        <w:rPr>
          <w:lang w:bidi="he-IL"/>
        </w:rPr>
        <w:t>and Joseph</w:t>
      </w:r>
      <w:r w:rsidR="00572D1C">
        <w:rPr>
          <w:lang w:bidi="he-IL"/>
        </w:rPr>
        <w:t>—</w:t>
      </w:r>
      <w:r w:rsidR="003D56BA">
        <w:rPr>
          <w:lang w:bidi="he-IL"/>
        </w:rPr>
        <w:t>”</w:t>
      </w:r>
      <w:r>
        <w:rPr>
          <w:lang w:bidi="he-IL"/>
        </w:rPr>
        <w:t>virtual sons-in-law</w:t>
      </w:r>
      <w:r w:rsidR="003D56BA">
        <w:rPr>
          <w:lang w:bidi="he-IL"/>
        </w:rPr>
        <w:t>”</w:t>
      </w:r>
      <w:r>
        <w:rPr>
          <w:lang w:bidi="he-IL"/>
        </w:rPr>
        <w:t xml:space="preserve"> in that </w:t>
      </w:r>
      <w:r w:rsidR="00572D1C">
        <w:rPr>
          <w:lang w:bidi="he-IL"/>
        </w:rPr>
        <w:t xml:space="preserve">they are legally </w:t>
      </w:r>
      <w:r>
        <w:rPr>
          <w:lang w:bidi="he-IL"/>
        </w:rPr>
        <w:t xml:space="preserve">yoked to Lot’s daughters, but the </w:t>
      </w:r>
      <w:r w:rsidR="00572D1C">
        <w:rPr>
          <w:lang w:bidi="he-IL"/>
        </w:rPr>
        <w:t xml:space="preserve">marriage has not </w:t>
      </w:r>
      <w:r>
        <w:rPr>
          <w:lang w:bidi="he-IL"/>
        </w:rPr>
        <w:t xml:space="preserve">yet taken place. But </w:t>
      </w:r>
      <w:r w:rsidR="00803B0B">
        <w:rPr>
          <w:lang w:bidi="he-IL"/>
        </w:rPr>
        <w:t xml:space="preserve">the reference in v. 15 </w:t>
      </w:r>
      <w:r w:rsidR="00872C03">
        <w:rPr>
          <w:lang w:bidi="he-IL"/>
        </w:rPr>
        <w:t>to daughters in Lot’s house, which implie</w:t>
      </w:r>
      <w:r>
        <w:rPr>
          <w:lang w:bidi="he-IL"/>
        </w:rPr>
        <w:t xml:space="preserve">s there were other daughters who were no longer there, </w:t>
      </w:r>
      <w:r w:rsidR="00D15F08">
        <w:rPr>
          <w:lang w:bidi="he-IL"/>
        </w:rPr>
        <w:t>suggests that rather the sons-in-law</w:t>
      </w:r>
      <w:r w:rsidR="00803B0B">
        <w:rPr>
          <w:lang w:bidi="he-IL"/>
        </w:rPr>
        <w:t xml:space="preserve"> are the husbands of Lot’s older daughters</w:t>
      </w:r>
      <w:r>
        <w:rPr>
          <w:lang w:bidi="he-IL"/>
        </w:rPr>
        <w:t>.</w:t>
      </w:r>
      <w:r w:rsidR="00D15F08">
        <w:rPr>
          <w:lang w:bidi="he-IL"/>
        </w:rPr>
        <w:t xml:space="preserve"> Lot g</w:t>
      </w:r>
      <w:r>
        <w:rPr>
          <w:lang w:bidi="he-IL"/>
        </w:rPr>
        <w:t>oes to talk to the husbands as</w:t>
      </w:r>
      <w:r w:rsidR="004674B2">
        <w:rPr>
          <w:lang w:bidi="he-IL"/>
        </w:rPr>
        <w:t xml:space="preserve"> the head</w:t>
      </w:r>
      <w:r>
        <w:rPr>
          <w:lang w:bidi="he-IL"/>
        </w:rPr>
        <w:t>s</w:t>
      </w:r>
      <w:r w:rsidR="004674B2">
        <w:rPr>
          <w:lang w:bidi="he-IL"/>
        </w:rPr>
        <w:t xml:space="preserve"> of the ho</w:t>
      </w:r>
      <w:r w:rsidR="00D15F08">
        <w:rPr>
          <w:lang w:bidi="he-IL"/>
        </w:rPr>
        <w:t>u</w:t>
      </w:r>
      <w:r w:rsidR="004674B2">
        <w:rPr>
          <w:lang w:bidi="he-IL"/>
        </w:rPr>
        <w:t>s</w:t>
      </w:r>
      <w:r w:rsidR="00D15F08">
        <w:rPr>
          <w:lang w:bidi="he-IL"/>
        </w:rPr>
        <w:t>e</w:t>
      </w:r>
      <w:r>
        <w:rPr>
          <w:lang w:bidi="he-IL"/>
        </w:rPr>
        <w:t>holds</w:t>
      </w:r>
      <w:r w:rsidR="00D15F08">
        <w:rPr>
          <w:lang w:bidi="he-IL"/>
        </w:rPr>
        <w:t xml:space="preserve"> where his</w:t>
      </w:r>
      <w:r>
        <w:rPr>
          <w:lang w:bidi="he-IL"/>
        </w:rPr>
        <w:t xml:space="preserve"> older</w:t>
      </w:r>
      <w:r w:rsidR="00D15F08">
        <w:rPr>
          <w:lang w:bidi="he-IL"/>
        </w:rPr>
        <w:t xml:space="preserve"> daughters now live</w:t>
      </w:r>
      <w:r w:rsidR="00572D1C">
        <w:rPr>
          <w:lang w:bidi="he-IL"/>
        </w:rPr>
        <w:t>.</w:t>
      </w:r>
      <w:r w:rsidR="005340E5">
        <w:rPr>
          <w:lang w:bidi="he-IL"/>
        </w:rPr>
        <w:t xml:space="preserve"> Laughter again features in the </w:t>
      </w:r>
      <w:r w:rsidR="00D914E2">
        <w:rPr>
          <w:lang w:bidi="he-IL"/>
        </w:rPr>
        <w:t xml:space="preserve">story, </w:t>
      </w:r>
      <w:r w:rsidR="006A0AEC">
        <w:rPr>
          <w:lang w:bidi="he-IL"/>
        </w:rPr>
        <w:t xml:space="preserve">but </w:t>
      </w:r>
      <w:r w:rsidR="00D914E2">
        <w:rPr>
          <w:lang w:bidi="he-IL"/>
        </w:rPr>
        <w:t>with unfortunate implications.</w:t>
      </w:r>
    </w:p>
    <w:p w14:paraId="645F3AF1" w14:textId="36911BB3" w:rsidR="0029330D" w:rsidRDefault="00E1016C" w:rsidP="001D6C26">
      <w:pPr>
        <w:rPr>
          <w:lang w:bidi="he-IL"/>
        </w:rPr>
      </w:pPr>
      <w:r>
        <w:rPr>
          <w:b/>
          <w:lang w:bidi="he-IL"/>
        </w:rPr>
        <w:t>19:15-26</w:t>
      </w:r>
      <w:r w:rsidR="0029330D">
        <w:rPr>
          <w:b/>
          <w:lang w:bidi="he-IL"/>
        </w:rPr>
        <w:t>.</w:t>
      </w:r>
      <w:r w:rsidR="00C26964">
        <w:rPr>
          <w:lang w:bidi="he-IL"/>
        </w:rPr>
        <w:t xml:space="preserve"> </w:t>
      </w:r>
      <w:r w:rsidR="006A0AEC">
        <w:rPr>
          <w:lang w:bidi="he-IL"/>
        </w:rPr>
        <w:t>Lot</w:t>
      </w:r>
      <w:r w:rsidR="0029330D">
        <w:rPr>
          <w:lang w:bidi="he-IL"/>
        </w:rPr>
        <w:t xml:space="preserve"> is dithering.</w:t>
      </w:r>
      <w:r w:rsidR="006C3525">
        <w:rPr>
          <w:rStyle w:val="FootnoteReference"/>
          <w:lang w:bidi="he-IL"/>
        </w:rPr>
        <w:footnoteReference w:id="467"/>
      </w:r>
      <w:r w:rsidR="0029330D">
        <w:rPr>
          <w:lang w:bidi="he-IL"/>
        </w:rPr>
        <w:t xml:space="preserve"> It’s another expression of his ambivalent relationship with Sodom, which had attracted him because of its positive qualities.</w:t>
      </w:r>
      <w:r w:rsidR="006A0AEC">
        <w:rPr>
          <w:lang w:bidi="he-IL"/>
        </w:rPr>
        <w:t xml:space="preserve"> In some ways he </w:t>
      </w:r>
      <w:r w:rsidR="00D914E2">
        <w:rPr>
          <w:lang w:bidi="he-IL"/>
        </w:rPr>
        <w:t xml:space="preserve">is </w:t>
      </w:r>
      <w:r w:rsidR="00B94A3C">
        <w:rPr>
          <w:lang w:bidi="he-IL"/>
        </w:rPr>
        <w:t xml:space="preserve">a </w:t>
      </w:r>
      <w:r w:rsidR="00D914E2">
        <w:rPr>
          <w:lang w:bidi="he-IL"/>
        </w:rPr>
        <w:t xml:space="preserve">faithful </w:t>
      </w:r>
      <w:r w:rsidR="00B94A3C">
        <w:rPr>
          <w:lang w:bidi="he-IL"/>
        </w:rPr>
        <w:t>man</w:t>
      </w:r>
      <w:r w:rsidR="006A0AEC">
        <w:rPr>
          <w:lang w:bidi="he-IL"/>
        </w:rPr>
        <w:t>,</w:t>
      </w:r>
      <w:r w:rsidR="00B94A3C">
        <w:rPr>
          <w:lang w:bidi="he-IL"/>
        </w:rPr>
        <w:t xml:space="preserve"> </w:t>
      </w:r>
      <w:r w:rsidR="002F28B9">
        <w:rPr>
          <w:lang w:bidi="he-IL"/>
        </w:rPr>
        <w:t xml:space="preserve">though </w:t>
      </w:r>
      <w:r w:rsidR="00B94A3C">
        <w:rPr>
          <w:lang w:bidi="he-IL"/>
        </w:rPr>
        <w:t>dim-witted</w:t>
      </w:r>
      <w:r w:rsidR="000660AD">
        <w:rPr>
          <w:lang w:bidi="he-IL"/>
        </w:rPr>
        <w:t xml:space="preserve"> pragmatically as well as morally</w:t>
      </w:r>
      <w:r w:rsidR="00B34D51">
        <w:rPr>
          <w:lang w:bidi="he-IL"/>
        </w:rPr>
        <w:t>—a Jekyll and Hide character.</w:t>
      </w:r>
      <w:r w:rsidR="00B34D51">
        <w:rPr>
          <w:rStyle w:val="FootnoteReference"/>
          <w:lang w:bidi="he-IL"/>
        </w:rPr>
        <w:footnoteReference w:id="468"/>
      </w:r>
      <w:r w:rsidR="000660AD">
        <w:rPr>
          <w:lang w:bidi="he-IL"/>
        </w:rPr>
        <w:t xml:space="preserve"> F</w:t>
      </w:r>
      <w:r w:rsidR="00B94A3C">
        <w:rPr>
          <w:lang w:bidi="he-IL"/>
        </w:rPr>
        <w:t>ortunately for him</w:t>
      </w:r>
      <w:r w:rsidR="00D914E2">
        <w:rPr>
          <w:lang w:bidi="he-IL"/>
        </w:rPr>
        <w:t xml:space="preserve"> </w:t>
      </w:r>
      <w:r w:rsidR="000660AD">
        <w:rPr>
          <w:lang w:bidi="he-IL"/>
        </w:rPr>
        <w:t xml:space="preserve">the envoys roll their </w:t>
      </w:r>
      <w:r w:rsidR="00B94A3C">
        <w:rPr>
          <w:lang w:bidi="he-IL"/>
        </w:rPr>
        <w:t>eyes and</w:t>
      </w:r>
      <w:r w:rsidR="000660AD">
        <w:rPr>
          <w:lang w:bidi="he-IL"/>
        </w:rPr>
        <w:t xml:space="preserve"> have</w:t>
      </w:r>
      <w:r w:rsidR="006A0AEC">
        <w:rPr>
          <w:lang w:bidi="he-IL"/>
        </w:rPr>
        <w:t xml:space="preserve"> pity on him</w:t>
      </w:r>
      <w:r w:rsidR="000660AD">
        <w:rPr>
          <w:lang w:bidi="he-IL"/>
        </w:rPr>
        <w:t>, and strong-arm and his family</w:t>
      </w:r>
      <w:r w:rsidR="00B94A3C" w:rsidRPr="00B94A3C">
        <w:rPr>
          <w:lang w:bidi="he-IL"/>
        </w:rPr>
        <w:t xml:space="preserve"> out of the town</w:t>
      </w:r>
      <w:r w:rsidR="005E719B">
        <w:rPr>
          <w:lang w:bidi="he-IL"/>
        </w:rPr>
        <w:t xml:space="preserve"> so </w:t>
      </w:r>
      <w:r w:rsidR="002F28B9">
        <w:rPr>
          <w:lang w:bidi="he-IL"/>
        </w:rPr>
        <w:t>they don’t get swept away (the verb picked up from 18:23, 24)</w:t>
      </w:r>
      <w:r w:rsidR="005E719B">
        <w:rPr>
          <w:lang w:bidi="he-IL"/>
        </w:rPr>
        <w:t>. The envoys don’</w:t>
      </w:r>
      <w:r w:rsidR="00B94A3C">
        <w:rPr>
          <w:lang w:bidi="he-IL"/>
        </w:rPr>
        <w:t xml:space="preserve">t intend </w:t>
      </w:r>
      <w:r w:rsidR="006A0AEC">
        <w:rPr>
          <w:lang w:bidi="he-IL"/>
        </w:rPr>
        <w:t xml:space="preserve">then </w:t>
      </w:r>
      <w:r w:rsidR="00B94A3C">
        <w:rPr>
          <w:lang w:bidi="he-IL"/>
        </w:rPr>
        <w:t>t</w:t>
      </w:r>
      <w:r w:rsidR="0024580A">
        <w:rPr>
          <w:lang w:bidi="he-IL"/>
        </w:rPr>
        <w:t>o transport them to safety. Lot</w:t>
      </w:r>
      <w:r w:rsidR="00B94A3C">
        <w:rPr>
          <w:lang w:bidi="he-IL"/>
        </w:rPr>
        <w:t xml:space="preserve"> need</w:t>
      </w:r>
      <w:r w:rsidR="0024580A">
        <w:rPr>
          <w:lang w:bidi="he-IL"/>
        </w:rPr>
        <w:t>s</w:t>
      </w:r>
      <w:r w:rsidR="00B94A3C">
        <w:rPr>
          <w:lang w:bidi="he-IL"/>
        </w:rPr>
        <w:t xml:space="preserve"> to take responsibility for </w:t>
      </w:r>
      <w:r w:rsidR="0024580A">
        <w:rPr>
          <w:lang w:bidi="he-IL"/>
        </w:rPr>
        <w:t xml:space="preserve">himself (the </w:t>
      </w:r>
      <w:r w:rsidR="003D56BA">
        <w:rPr>
          <w:lang w:bidi="he-IL"/>
        </w:rPr>
        <w:t>“</w:t>
      </w:r>
      <w:r w:rsidR="0024580A">
        <w:rPr>
          <w:lang w:bidi="he-IL"/>
        </w:rPr>
        <w:t>you</w:t>
      </w:r>
      <w:r w:rsidR="003D56BA">
        <w:rPr>
          <w:lang w:bidi="he-IL"/>
        </w:rPr>
        <w:t>”</w:t>
      </w:r>
      <w:r w:rsidR="0024580A">
        <w:rPr>
          <w:lang w:bidi="he-IL"/>
        </w:rPr>
        <w:t xml:space="preserve"> in v. 17 is s</w:t>
      </w:r>
      <w:r w:rsidR="006A0AEC">
        <w:rPr>
          <w:lang w:bidi="he-IL"/>
        </w:rPr>
        <w:t>ingular) and presumably for his family</w:t>
      </w:r>
      <w:r w:rsidR="00B94A3C">
        <w:rPr>
          <w:lang w:bidi="he-IL"/>
        </w:rPr>
        <w:t>.</w:t>
      </w:r>
    </w:p>
    <w:p w14:paraId="34651D2C" w14:textId="77777777" w:rsidR="00B94A3C" w:rsidRDefault="00B94A3C" w:rsidP="001D6C26">
      <w:pPr>
        <w:rPr>
          <w:lang w:bidi="he-IL"/>
        </w:rPr>
      </w:pPr>
      <w:r>
        <w:rPr>
          <w:lang w:bidi="he-IL"/>
        </w:rPr>
        <w:lastRenderedPageBreak/>
        <w:t>There is still little prospect</w:t>
      </w:r>
      <w:r w:rsidR="0024580A">
        <w:rPr>
          <w:lang w:bidi="he-IL"/>
        </w:rPr>
        <w:t xml:space="preserve"> of his doing so (vv. 18-20). He has</w:t>
      </w:r>
      <w:r>
        <w:rPr>
          <w:lang w:bidi="he-IL"/>
        </w:rPr>
        <w:t xml:space="preserve"> indeed experienced grace and commitment (</w:t>
      </w:r>
      <w:r>
        <w:rPr>
          <w:i/>
          <w:lang w:bidi="he-IL"/>
        </w:rPr>
        <w:t xml:space="preserve">ḥēn </w:t>
      </w:r>
      <w:r>
        <w:rPr>
          <w:lang w:bidi="he-IL"/>
        </w:rPr>
        <w:t xml:space="preserve">and </w:t>
      </w:r>
      <w:r>
        <w:rPr>
          <w:i/>
          <w:lang w:bidi="he-IL"/>
        </w:rPr>
        <w:t>ḥesed</w:t>
      </w:r>
      <w:r w:rsidR="006A0AEC">
        <w:rPr>
          <w:lang w:bidi="he-IL"/>
        </w:rPr>
        <w:t>). The former nicely puts him in the same ca</w:t>
      </w:r>
      <w:r w:rsidR="005E719B">
        <w:rPr>
          <w:lang w:bidi="he-IL"/>
        </w:rPr>
        <w:t>tegory as Noah (6:8) and also Abraham (18:3). He</w:t>
      </w:r>
      <w:r w:rsidR="006A0AEC">
        <w:rPr>
          <w:lang w:bidi="he-IL"/>
        </w:rPr>
        <w:t xml:space="preserve"> </w:t>
      </w:r>
      <w:r w:rsidR="005E719B">
        <w:rPr>
          <w:lang w:bidi="he-IL"/>
        </w:rPr>
        <w:t xml:space="preserve">then </w:t>
      </w:r>
      <w:r w:rsidR="006A0AEC">
        <w:rPr>
          <w:lang w:bidi="he-IL"/>
        </w:rPr>
        <w:t>has the distinction of being the f</w:t>
      </w:r>
      <w:r w:rsidR="005E719B">
        <w:rPr>
          <w:lang w:bidi="he-IL"/>
        </w:rPr>
        <w:t>irst person in the Scriptures to talk</w:t>
      </w:r>
      <w:r w:rsidR="006A0AEC">
        <w:rPr>
          <w:lang w:bidi="he-IL"/>
        </w:rPr>
        <w:t xml:space="preserve"> about </w:t>
      </w:r>
      <w:r w:rsidR="006A0AEC" w:rsidRPr="006A0AEC">
        <w:rPr>
          <w:i/>
          <w:lang w:bidi="he-IL"/>
        </w:rPr>
        <w:t>ḥesed</w:t>
      </w:r>
      <w:r w:rsidR="006A0AEC">
        <w:rPr>
          <w:lang w:bidi="he-IL"/>
        </w:rPr>
        <w:t>, which denotes the kind of commitment that ant</w:t>
      </w:r>
      <w:r w:rsidR="005E719B">
        <w:rPr>
          <w:lang w:bidi="he-IL"/>
        </w:rPr>
        <w:t xml:space="preserve">icipates faithfulness and is </w:t>
      </w:r>
      <w:r w:rsidR="006A0AEC">
        <w:rPr>
          <w:lang w:bidi="he-IL"/>
        </w:rPr>
        <w:t xml:space="preserve">itself </w:t>
      </w:r>
      <w:r w:rsidR="008C4222">
        <w:rPr>
          <w:lang w:bidi="he-IL"/>
        </w:rPr>
        <w:t xml:space="preserve">thus an expression of grace, and </w:t>
      </w:r>
      <w:r w:rsidR="005E719B">
        <w:rPr>
          <w:lang w:bidi="he-IL"/>
        </w:rPr>
        <w:t xml:space="preserve">also </w:t>
      </w:r>
      <w:r w:rsidR="008C4222">
        <w:rPr>
          <w:lang w:bidi="he-IL"/>
        </w:rPr>
        <w:t>the kind of commitment that keep going when its recipient has behaved in a way that forfeits any right to expect faithfulness. B</w:t>
      </w:r>
      <w:r>
        <w:rPr>
          <w:lang w:bidi="he-IL"/>
        </w:rPr>
        <w:t xml:space="preserve">y definition </w:t>
      </w:r>
      <w:r w:rsidR="008C4222">
        <w:rPr>
          <w:lang w:bidi="he-IL"/>
        </w:rPr>
        <w:t xml:space="preserve">grace and commitment are undeserved but </w:t>
      </w:r>
      <w:r>
        <w:rPr>
          <w:lang w:bidi="he-IL"/>
        </w:rPr>
        <w:t xml:space="preserve">by definition </w:t>
      </w:r>
      <w:r w:rsidR="005E719B">
        <w:rPr>
          <w:lang w:bidi="he-IL"/>
        </w:rPr>
        <w:t xml:space="preserve">they </w:t>
      </w:r>
      <w:r>
        <w:rPr>
          <w:lang w:bidi="he-IL"/>
        </w:rPr>
        <w:t>then look for a response</w:t>
      </w:r>
      <w:r w:rsidR="005E719B">
        <w:rPr>
          <w:lang w:bidi="he-IL"/>
        </w:rPr>
        <w:t>.</w:t>
      </w:r>
      <w:r w:rsidR="008C4222">
        <w:rPr>
          <w:lang w:bidi="he-IL"/>
        </w:rPr>
        <w:t xml:space="preserve"> Lot</w:t>
      </w:r>
      <w:r w:rsidR="006A0AEC">
        <w:rPr>
          <w:lang w:bidi="he-IL"/>
        </w:rPr>
        <w:t xml:space="preserve"> doesn’t understand that implication</w:t>
      </w:r>
      <w:r w:rsidR="008C4222">
        <w:rPr>
          <w:lang w:bidi="he-IL"/>
        </w:rPr>
        <w:t>. He would just like more of them</w:t>
      </w:r>
      <w:r w:rsidR="0024580A">
        <w:rPr>
          <w:lang w:bidi="he-IL"/>
        </w:rPr>
        <w:t>. Apparently he thinks he won’t be able to get to the mountains in time to escape the effects of the catastrophe, and illogically thinks he could be safe in a nearby town that won’t be affected by the disast</w:t>
      </w:r>
      <w:r w:rsidR="005E719B">
        <w:rPr>
          <w:lang w:bidi="he-IL"/>
        </w:rPr>
        <w:t>er, like people</w:t>
      </w:r>
      <w:r w:rsidR="0024580A">
        <w:rPr>
          <w:lang w:bidi="he-IL"/>
        </w:rPr>
        <w:t xml:space="preserve"> who ignore instructions to evacuate when a hurricane is forecast</w:t>
      </w:r>
      <w:r w:rsidR="008C4222">
        <w:rPr>
          <w:lang w:bidi="he-IL"/>
        </w:rPr>
        <w:t xml:space="preserve"> and take refuge in their attic</w:t>
      </w:r>
      <w:r w:rsidR="0024580A">
        <w:rPr>
          <w:lang w:bidi="he-IL"/>
        </w:rPr>
        <w:t>.</w:t>
      </w:r>
    </w:p>
    <w:p w14:paraId="261CF0DC" w14:textId="7736C543" w:rsidR="0024580A" w:rsidRDefault="0024580A" w:rsidP="001D6C26">
      <w:pPr>
        <w:rPr>
          <w:lang w:val="en-GB" w:bidi="he-IL"/>
        </w:rPr>
      </w:pPr>
      <w:r>
        <w:rPr>
          <w:lang w:bidi="he-IL"/>
        </w:rPr>
        <w:t>Again the envoy (or is it Yahweh, who has now arrived?) rolls his eyes</w:t>
      </w:r>
      <w:r w:rsidR="00D57890">
        <w:rPr>
          <w:lang w:bidi="he-IL"/>
        </w:rPr>
        <w:t xml:space="preserve"> (vv. 21-22) and Lot finds that sometimes God grants unreasonable request</w:t>
      </w:r>
      <w:r w:rsidR="006F7A37">
        <w:rPr>
          <w:lang w:bidi="he-IL"/>
        </w:rPr>
        <w:t>s for more grace and commitment.</w:t>
      </w:r>
      <w:r w:rsidR="00076CC0">
        <w:rPr>
          <w:rStyle w:val="FootnoteReference"/>
          <w:lang w:bidi="he-IL"/>
        </w:rPr>
        <w:footnoteReference w:id="469"/>
      </w:r>
      <w:r w:rsidR="006F7A37">
        <w:rPr>
          <w:lang w:bidi="he-IL"/>
        </w:rPr>
        <w:t xml:space="preserve"> </w:t>
      </w:r>
      <w:r w:rsidR="00677D3D">
        <w:rPr>
          <w:lang w:val="en-GB" w:bidi="he-IL"/>
        </w:rPr>
        <w:t>Indeed, the e</w:t>
      </w:r>
      <w:r w:rsidR="00875D61">
        <w:rPr>
          <w:lang w:val="en-GB" w:bidi="he-IL"/>
        </w:rPr>
        <w:t>nvoy or Yahweh says he can’t take action</w:t>
      </w:r>
      <w:r w:rsidR="00677D3D">
        <w:rPr>
          <w:lang w:val="en-GB" w:bidi="he-IL"/>
        </w:rPr>
        <w:t xml:space="preserve"> until Lot gets his act together.</w:t>
      </w:r>
      <w:r w:rsidR="00677D3D" w:rsidRPr="00677D3D">
        <w:rPr>
          <w:vertAlign w:val="superscript"/>
          <w:lang w:val="en-GB" w:bidi="he-IL"/>
        </w:rPr>
        <w:footnoteReference w:id="470"/>
      </w:r>
      <w:r w:rsidR="00677D3D">
        <w:rPr>
          <w:lang w:val="en-GB" w:bidi="he-IL"/>
        </w:rPr>
        <w:t xml:space="preserve"> It would be unfitting for him as God. His statement is the converse of Abraham’s challenges about exercising authority in the way proper to the God of all the earth, and ab</w:t>
      </w:r>
      <w:r w:rsidR="000660AD">
        <w:rPr>
          <w:lang w:val="en-GB" w:bidi="he-IL"/>
        </w:rPr>
        <w:t>out what desecrates Yahweh (18:</w:t>
      </w:r>
      <w:r w:rsidR="00677D3D">
        <w:rPr>
          <w:lang w:val="en-GB" w:bidi="he-IL"/>
        </w:rPr>
        <w:t>25). Ther</w:t>
      </w:r>
      <w:r w:rsidR="005E719B">
        <w:rPr>
          <w:lang w:val="en-GB" w:bidi="he-IL"/>
        </w:rPr>
        <w:t>e is nothing outside God that bi</w:t>
      </w:r>
      <w:r w:rsidR="00677D3D">
        <w:rPr>
          <w:lang w:val="en-GB" w:bidi="he-IL"/>
        </w:rPr>
        <w:t xml:space="preserve">nds God; but God is bound by who he is. </w:t>
      </w:r>
      <w:r w:rsidR="005E719B" w:rsidRPr="005E719B">
        <w:rPr>
          <w:i/>
          <w:lang w:bidi="he-IL"/>
        </w:rPr>
        <w:t>Ṣ</w:t>
      </w:r>
      <w:r w:rsidR="006F7A37" w:rsidRPr="005E719B">
        <w:rPr>
          <w:i/>
          <w:lang w:bidi="he-IL"/>
        </w:rPr>
        <w:t>ā</w:t>
      </w:r>
      <w:r w:rsidR="006F7A37">
        <w:rPr>
          <w:i/>
          <w:lang w:bidi="he-IL"/>
        </w:rPr>
        <w:t>‘îr</w:t>
      </w:r>
      <w:r w:rsidR="006F7A37">
        <w:rPr>
          <w:lang w:bidi="he-IL"/>
        </w:rPr>
        <w:t xml:space="preserve"> means </w:t>
      </w:r>
      <w:r w:rsidR="003D56BA">
        <w:rPr>
          <w:lang w:bidi="he-IL"/>
        </w:rPr>
        <w:t>“</w:t>
      </w:r>
      <w:r w:rsidR="006F7A37">
        <w:rPr>
          <w:lang w:bidi="he-IL"/>
        </w:rPr>
        <w:t>small</w:t>
      </w:r>
      <w:r w:rsidR="003D56BA">
        <w:rPr>
          <w:lang w:bidi="he-IL"/>
        </w:rPr>
        <w:t>”</w:t>
      </w:r>
      <w:r w:rsidR="005E719B">
        <w:rPr>
          <w:lang w:bidi="he-IL"/>
        </w:rPr>
        <w:t xml:space="preserve"> (it comes</w:t>
      </w:r>
      <w:r w:rsidR="006F7A37">
        <w:rPr>
          <w:lang w:bidi="he-IL"/>
        </w:rPr>
        <w:t xml:space="preserve"> four times in vv. 30-38 to describe Lot’s younger daughter as opp</w:t>
      </w:r>
      <w:r w:rsidR="005E719B">
        <w:rPr>
          <w:lang w:bidi="he-IL"/>
        </w:rPr>
        <w:t xml:space="preserve">osed to his elder daughter). </w:t>
      </w:r>
      <w:r w:rsidR="006F7A37" w:rsidRPr="008C4222">
        <w:rPr>
          <w:i/>
          <w:lang w:val="en-GB" w:bidi="he-IL"/>
        </w:rPr>
        <w:t>Ṣ</w:t>
      </w:r>
      <w:r w:rsidR="005E719B">
        <w:rPr>
          <w:i/>
          <w:lang w:val="en-GB" w:bidi="he-IL"/>
        </w:rPr>
        <w:t>o‘</w:t>
      </w:r>
      <w:r w:rsidR="006F7A37" w:rsidRPr="008C4222">
        <w:rPr>
          <w:i/>
          <w:lang w:val="en-GB" w:bidi="he-IL"/>
        </w:rPr>
        <w:t>ar</w:t>
      </w:r>
      <w:r w:rsidR="006F7A37">
        <w:rPr>
          <w:lang w:val="en-GB" w:bidi="he-IL"/>
        </w:rPr>
        <w:t xml:space="preserve"> is Little</w:t>
      </w:r>
      <w:r w:rsidR="00065786">
        <w:rPr>
          <w:lang w:val="en-GB" w:bidi="he-IL"/>
        </w:rPr>
        <w:t>-</w:t>
      </w:r>
      <w:r w:rsidR="006F7A37">
        <w:rPr>
          <w:lang w:val="en-GB" w:bidi="he-IL"/>
        </w:rPr>
        <w:t>ton.</w:t>
      </w:r>
      <w:r w:rsidR="008C4222">
        <w:rPr>
          <w:lang w:val="en-GB" w:bidi="he-IL"/>
        </w:rPr>
        <w:t xml:space="preserve"> </w:t>
      </w:r>
    </w:p>
    <w:p w14:paraId="3F50F386" w14:textId="7EBD173C" w:rsidR="00702372" w:rsidRDefault="00EB1E80" w:rsidP="001D6C26">
      <w:pPr>
        <w:rPr>
          <w:lang w:val="en-GB" w:bidi="he-IL"/>
        </w:rPr>
      </w:pPr>
      <w:r>
        <w:rPr>
          <w:lang w:val="en-GB" w:bidi="he-IL"/>
        </w:rPr>
        <w:t xml:space="preserve">Apparently </w:t>
      </w:r>
      <w:r w:rsidR="00C3488A">
        <w:rPr>
          <w:lang w:bidi="he-IL"/>
        </w:rPr>
        <w:t>Lot and company</w:t>
      </w:r>
      <w:r w:rsidR="00C3488A" w:rsidRPr="00C3488A">
        <w:rPr>
          <w:lang w:bidi="he-IL"/>
        </w:rPr>
        <w:t xml:space="preserve"> get themselves to </w:t>
      </w:r>
      <w:r w:rsidR="00C3488A" w:rsidRPr="00C3488A">
        <w:rPr>
          <w:lang w:val="en-GB" w:bidi="he-IL"/>
        </w:rPr>
        <w:t>Ṣ</w:t>
      </w:r>
      <w:r w:rsidR="005E719B">
        <w:rPr>
          <w:lang w:val="en-GB" w:bidi="he-IL"/>
        </w:rPr>
        <w:t>o‘</w:t>
      </w:r>
      <w:r w:rsidR="00C3488A" w:rsidRPr="00C3488A">
        <w:rPr>
          <w:lang w:val="en-GB" w:bidi="he-IL"/>
        </w:rPr>
        <w:t>ar</w:t>
      </w:r>
      <w:r w:rsidR="00C3488A">
        <w:rPr>
          <w:lang w:bidi="he-IL"/>
        </w:rPr>
        <w:t xml:space="preserve"> (vv. 23-25)</w:t>
      </w:r>
      <w:r>
        <w:rPr>
          <w:lang w:bidi="he-IL"/>
        </w:rPr>
        <w:t xml:space="preserve"> between first light and sunup</w:t>
      </w:r>
      <w:r w:rsidR="00677D3D">
        <w:rPr>
          <w:lang w:bidi="he-IL"/>
        </w:rPr>
        <w:t>, which is hardly more than half an hour or so</w:t>
      </w:r>
      <w:r w:rsidR="0074317D">
        <w:rPr>
          <w:lang w:bidi="he-IL"/>
        </w:rPr>
        <w:t xml:space="preserve"> </w:t>
      </w:r>
      <w:r w:rsidR="0074317D" w:rsidRPr="0074317D">
        <w:rPr>
          <w:lang w:val="en-GB" w:bidi="he-IL"/>
        </w:rPr>
        <w:t>(TgPsJ gives them three hours for the journey</w:t>
      </w:r>
      <w:r w:rsidR="0074317D">
        <w:rPr>
          <w:lang w:val="en-GB" w:bidi="he-IL"/>
        </w:rPr>
        <w:t>)</w:t>
      </w:r>
      <w:r w:rsidR="004674B2">
        <w:rPr>
          <w:lang w:val="en-GB" w:bidi="he-IL"/>
        </w:rPr>
        <w:t>. W</w:t>
      </w:r>
      <w:r w:rsidR="00C3488A">
        <w:rPr>
          <w:lang w:val="en-GB" w:bidi="he-IL"/>
        </w:rPr>
        <w:t>e don’t know exactly where any of the towns ar</w:t>
      </w:r>
      <w:r w:rsidR="004674B2">
        <w:rPr>
          <w:lang w:val="en-GB" w:bidi="he-IL"/>
        </w:rPr>
        <w:t>e so we don’t know the distance</w:t>
      </w:r>
      <w:r w:rsidR="00677D3D">
        <w:rPr>
          <w:lang w:val="en-GB" w:bidi="he-IL"/>
        </w:rPr>
        <w:t xml:space="preserve"> but the story is again talking dramatic</w:t>
      </w:r>
      <w:r w:rsidR="003A5FAF">
        <w:rPr>
          <w:lang w:val="en-GB" w:bidi="he-IL"/>
        </w:rPr>
        <w:t xml:space="preserve"> time rather than real time, though</w:t>
      </w:r>
      <w:r w:rsidR="00677D3D">
        <w:rPr>
          <w:lang w:val="en-GB" w:bidi="he-IL"/>
        </w:rPr>
        <w:t xml:space="preserve"> </w:t>
      </w:r>
      <w:r w:rsidR="0074317D">
        <w:rPr>
          <w:lang w:val="en-GB" w:bidi="he-IL"/>
        </w:rPr>
        <w:t xml:space="preserve">it is </w:t>
      </w:r>
      <w:r w:rsidR="005E719B">
        <w:rPr>
          <w:lang w:val="en-GB" w:bidi="he-IL"/>
        </w:rPr>
        <w:t>now doing so in connection with</w:t>
      </w:r>
      <w:r w:rsidR="00677D3D">
        <w:rPr>
          <w:lang w:val="en-GB" w:bidi="he-IL"/>
        </w:rPr>
        <w:t xml:space="preserve"> </w:t>
      </w:r>
      <w:r w:rsidR="0074317D">
        <w:rPr>
          <w:lang w:val="en-GB" w:bidi="he-IL"/>
        </w:rPr>
        <w:t>the travel time required by human beings as well by</w:t>
      </w:r>
      <w:r w:rsidR="00677D3D">
        <w:rPr>
          <w:lang w:val="en-GB" w:bidi="he-IL"/>
        </w:rPr>
        <w:t xml:space="preserve"> supernatural visitors</w:t>
      </w:r>
      <w:r w:rsidR="00445475">
        <w:rPr>
          <w:lang w:val="en-GB" w:bidi="he-IL"/>
        </w:rPr>
        <w:t xml:space="preserve">. </w:t>
      </w:r>
      <w:r w:rsidR="0074317D">
        <w:rPr>
          <w:lang w:val="en-GB" w:bidi="he-IL"/>
        </w:rPr>
        <w:t>Lot and family</w:t>
      </w:r>
      <w:r>
        <w:rPr>
          <w:lang w:val="en-GB" w:bidi="he-IL"/>
        </w:rPr>
        <w:t xml:space="preserve"> thus arrive at</w:t>
      </w:r>
      <w:r w:rsidR="00E32D39">
        <w:rPr>
          <w:lang w:val="en-GB" w:bidi="he-IL"/>
        </w:rPr>
        <w:t xml:space="preserve"> the moment </w:t>
      </w:r>
      <w:r w:rsidR="0080241C">
        <w:rPr>
          <w:lang w:val="en-GB" w:bidi="he-IL"/>
        </w:rPr>
        <w:t xml:space="preserve">when </w:t>
      </w:r>
      <w:r w:rsidR="00E32D39">
        <w:rPr>
          <w:lang w:val="en-GB" w:bidi="he-IL"/>
        </w:rPr>
        <w:t>Yahweh devastates Sodom, Gomorrah, and the surrounding area</w:t>
      </w:r>
      <w:r w:rsidR="0074317D">
        <w:rPr>
          <w:lang w:val="en-GB" w:bidi="he-IL"/>
        </w:rPr>
        <w:t>, along with everything that gro</w:t>
      </w:r>
      <w:r>
        <w:rPr>
          <w:lang w:val="en-GB" w:bidi="he-IL"/>
        </w:rPr>
        <w:t>w</w:t>
      </w:r>
      <w:r w:rsidR="0074317D">
        <w:rPr>
          <w:lang w:val="en-GB" w:bidi="he-IL"/>
        </w:rPr>
        <w:t xml:space="preserve">s, </w:t>
      </w:r>
      <w:r>
        <w:rPr>
          <w:lang w:val="en-GB" w:bidi="he-IL"/>
        </w:rPr>
        <w:t xml:space="preserve">and presumably </w:t>
      </w:r>
      <w:r w:rsidR="0074317D">
        <w:rPr>
          <w:lang w:val="en-GB" w:bidi="he-IL"/>
        </w:rPr>
        <w:t xml:space="preserve">with </w:t>
      </w:r>
      <w:r>
        <w:rPr>
          <w:lang w:val="en-GB" w:bidi="he-IL"/>
        </w:rPr>
        <w:t xml:space="preserve">those </w:t>
      </w:r>
      <w:r w:rsidR="0074317D">
        <w:rPr>
          <w:lang w:val="en-GB" w:bidi="he-IL"/>
        </w:rPr>
        <w:t xml:space="preserve">substantial </w:t>
      </w:r>
      <w:r>
        <w:rPr>
          <w:lang w:val="en-GB" w:bidi="he-IL"/>
        </w:rPr>
        <w:t>flocks and herds belonging to Lot (and to other Sodomites)</w:t>
      </w:r>
      <w:r w:rsidR="0080241C">
        <w:rPr>
          <w:lang w:val="en-GB" w:bidi="he-IL"/>
        </w:rPr>
        <w:t>. A</w:t>
      </w:r>
      <w:r w:rsidR="00E32D39">
        <w:rPr>
          <w:lang w:val="en-GB" w:bidi="he-IL"/>
        </w:rPr>
        <w:t xml:space="preserve">n earthquake </w:t>
      </w:r>
      <w:r w:rsidR="0080241C" w:rsidRPr="0080241C">
        <w:rPr>
          <w:lang w:val="en-GB" w:bidi="he-IL"/>
        </w:rPr>
        <w:t xml:space="preserve">in the Dead Sea region </w:t>
      </w:r>
      <w:r w:rsidR="00E32D39">
        <w:rPr>
          <w:lang w:val="en-GB" w:bidi="he-IL"/>
        </w:rPr>
        <w:t xml:space="preserve">could </w:t>
      </w:r>
      <w:r w:rsidR="0080241C">
        <w:rPr>
          <w:lang w:val="en-GB" w:bidi="he-IL"/>
        </w:rPr>
        <w:t xml:space="preserve">doubtless </w:t>
      </w:r>
      <w:r w:rsidR="00E32D39">
        <w:rPr>
          <w:lang w:val="en-GB" w:bidi="he-IL"/>
        </w:rPr>
        <w:t>release asphalt and</w:t>
      </w:r>
      <w:r w:rsidR="00E32D39" w:rsidRPr="00E32D39">
        <w:rPr>
          <w:lang w:bidi="he-IL"/>
        </w:rPr>
        <w:t xml:space="preserve"> sulfur</w:t>
      </w:r>
      <w:r w:rsidR="00E32D39">
        <w:rPr>
          <w:lang w:val="en-GB" w:bidi="he-IL"/>
        </w:rPr>
        <w:t xml:space="preserve"> </w:t>
      </w:r>
      <w:r w:rsidR="00FF2D38">
        <w:rPr>
          <w:lang w:val="en-GB" w:bidi="he-IL"/>
        </w:rPr>
        <w:t xml:space="preserve">into the sky </w:t>
      </w:r>
      <w:r w:rsidR="00E32D39">
        <w:rPr>
          <w:lang w:val="en-GB" w:bidi="he-IL"/>
        </w:rPr>
        <w:t xml:space="preserve">which could </w:t>
      </w:r>
      <w:r w:rsidR="0074317D">
        <w:rPr>
          <w:lang w:val="en-GB" w:bidi="he-IL"/>
        </w:rPr>
        <w:t xml:space="preserve">then fall </w:t>
      </w:r>
      <w:r w:rsidR="003D56BA">
        <w:rPr>
          <w:lang w:val="en-GB" w:bidi="he-IL"/>
        </w:rPr>
        <w:t>“</w:t>
      </w:r>
      <w:r w:rsidR="00FF2D38">
        <w:rPr>
          <w:lang w:val="en-GB" w:bidi="he-IL"/>
        </w:rPr>
        <w:t>from the heavens,</w:t>
      </w:r>
      <w:r w:rsidR="003D56BA">
        <w:rPr>
          <w:lang w:val="en-GB" w:bidi="he-IL"/>
        </w:rPr>
        <w:t>”</w:t>
      </w:r>
      <w:r w:rsidR="0080241C">
        <w:rPr>
          <w:lang w:val="en-GB" w:bidi="he-IL"/>
        </w:rPr>
        <w:t xml:space="preserve"> but </w:t>
      </w:r>
      <w:r w:rsidR="00FF2D38">
        <w:rPr>
          <w:lang w:val="en-GB" w:bidi="he-IL"/>
        </w:rPr>
        <w:t xml:space="preserve">Genesis says only that the disaster is one that Yahweh directly brought about. </w:t>
      </w:r>
      <w:r w:rsidR="007F426E">
        <w:rPr>
          <w:lang w:val="en-GB" w:bidi="he-IL"/>
        </w:rPr>
        <w:t xml:space="preserve">And </w:t>
      </w:r>
      <w:r w:rsidR="003D56BA">
        <w:rPr>
          <w:lang w:val="en-GB" w:bidi="he-IL"/>
        </w:rPr>
        <w:t>“</w:t>
      </w:r>
      <w:r w:rsidR="007F426E">
        <w:rPr>
          <w:lang w:val="en-GB" w:bidi="he-IL"/>
        </w:rPr>
        <w:t>burning</w:t>
      </w:r>
      <w:r w:rsidR="007F426E" w:rsidRPr="007F426E">
        <w:rPr>
          <w:lang w:bidi="he-IL"/>
        </w:rPr>
        <w:t xml:space="preserve"> sulfur</w:t>
      </w:r>
      <w:r w:rsidR="003D56BA">
        <w:rPr>
          <w:lang w:bidi="he-IL"/>
        </w:rPr>
        <w:t>”</w:t>
      </w:r>
      <w:r w:rsidR="0080241C">
        <w:rPr>
          <w:lang w:val="en-GB" w:bidi="he-IL"/>
        </w:rPr>
        <w:t xml:space="preserve"> is </w:t>
      </w:r>
      <w:r w:rsidR="007F426E">
        <w:rPr>
          <w:lang w:val="en-GB" w:bidi="he-IL"/>
        </w:rPr>
        <w:t>a conventional image for horrific means of destruction (Deut 29:23 [22]; Ps 11:6; Isa 30:23; 34:9; Ezek 38:22).</w:t>
      </w:r>
      <w:r w:rsidR="007F426E">
        <w:rPr>
          <w:rStyle w:val="FootnoteReference"/>
          <w:lang w:val="en-GB" w:bidi="he-IL"/>
        </w:rPr>
        <w:footnoteReference w:id="471"/>
      </w:r>
    </w:p>
    <w:p w14:paraId="21F64EC1" w14:textId="702B68B1" w:rsidR="000132E9" w:rsidRDefault="0074317D" w:rsidP="00884948">
      <w:pPr>
        <w:rPr>
          <w:lang w:bidi="he-IL"/>
        </w:rPr>
      </w:pPr>
      <w:r>
        <w:rPr>
          <w:lang w:val="en-GB" w:bidi="he-IL"/>
        </w:rPr>
        <w:t>Apparently his wife looks back behind Lot</w:t>
      </w:r>
      <w:r w:rsidR="00E76A6A">
        <w:rPr>
          <w:lang w:val="en-GB" w:bidi="he-IL"/>
        </w:rPr>
        <w:t xml:space="preserve"> (v. 26)</w:t>
      </w:r>
      <w:r>
        <w:rPr>
          <w:lang w:val="en-GB" w:bidi="he-IL"/>
        </w:rPr>
        <w:t xml:space="preserve">, </w:t>
      </w:r>
      <w:r w:rsidR="00E76A6A">
        <w:rPr>
          <w:lang w:val="en-GB" w:bidi="he-IL"/>
        </w:rPr>
        <w:t>who had</w:t>
      </w:r>
      <w:r w:rsidR="00E1016C" w:rsidRPr="00E1016C">
        <w:rPr>
          <w:lang w:val="en-GB" w:bidi="he-IL"/>
        </w:rPr>
        <w:t xml:space="preserve"> pushe</w:t>
      </w:r>
      <w:r w:rsidR="00E1016C">
        <w:rPr>
          <w:lang w:val="en-GB" w:bidi="he-IL"/>
        </w:rPr>
        <w:t>d his family out ahead of him</w:t>
      </w:r>
      <w:r w:rsidR="00E1016C" w:rsidRPr="00E1016C">
        <w:rPr>
          <w:lang w:val="en-GB" w:bidi="he-IL"/>
        </w:rPr>
        <w:t>.</w:t>
      </w:r>
      <w:r w:rsidR="00E1016C">
        <w:rPr>
          <w:lang w:bidi="he-IL"/>
        </w:rPr>
        <w:t xml:space="preserve"> Whereas Yahweh directly rained down the burning sulfur, he did not personally strike down L</w:t>
      </w:r>
      <w:r w:rsidR="00E76A6A">
        <w:rPr>
          <w:lang w:bidi="he-IL"/>
        </w:rPr>
        <w:t xml:space="preserve">ot’s wife. </w:t>
      </w:r>
      <w:r w:rsidR="003A5FAF">
        <w:rPr>
          <w:lang w:bidi="he-IL"/>
        </w:rPr>
        <w:t>Her</w:t>
      </w:r>
      <w:r w:rsidR="00E1016C">
        <w:rPr>
          <w:lang w:bidi="he-IL"/>
        </w:rPr>
        <w:t xml:space="preserve"> </w:t>
      </w:r>
      <w:r>
        <w:rPr>
          <w:lang w:bidi="he-IL"/>
        </w:rPr>
        <w:t xml:space="preserve">simply </w:t>
      </w:r>
      <w:r w:rsidR="003A5FAF">
        <w:rPr>
          <w:lang w:bidi="he-IL"/>
        </w:rPr>
        <w:t>feeling compelled to look back i</w:t>
      </w:r>
      <w:r w:rsidR="00E1016C">
        <w:rPr>
          <w:lang w:bidi="he-IL"/>
        </w:rPr>
        <w:t>s easy to imagine, a na</w:t>
      </w:r>
      <w:r w:rsidR="00E76A6A">
        <w:rPr>
          <w:lang w:bidi="he-IL"/>
        </w:rPr>
        <w:t>tural human instinct. She</w:t>
      </w:r>
      <w:r w:rsidR="00E1016C">
        <w:rPr>
          <w:lang w:bidi="he-IL"/>
        </w:rPr>
        <w:t xml:space="preserve"> is not a wicked person like some other people in Genesis whom one could mention. </w:t>
      </w:r>
      <w:r w:rsidR="008E183C">
        <w:rPr>
          <w:lang w:bidi="he-IL"/>
        </w:rPr>
        <w:t>TgNeoph explains tha</w:t>
      </w:r>
      <w:r w:rsidR="0080241C">
        <w:rPr>
          <w:lang w:bidi="he-IL"/>
        </w:rPr>
        <w:t>t she was a Sodomite herself who</w:t>
      </w:r>
      <w:r w:rsidR="008E183C">
        <w:rPr>
          <w:lang w:bidi="he-IL"/>
        </w:rPr>
        <w:t xml:space="preserve"> thus looks back to see what will happen to her family. </w:t>
      </w:r>
      <w:r w:rsidR="008854A3">
        <w:rPr>
          <w:lang w:bidi="he-IL"/>
        </w:rPr>
        <w:t>A</w:t>
      </w:r>
      <w:r w:rsidR="008E183C">
        <w:rPr>
          <w:lang w:bidi="he-IL"/>
        </w:rPr>
        <w:t>nother</w:t>
      </w:r>
      <w:r w:rsidR="008854A3">
        <w:rPr>
          <w:lang w:bidi="he-IL"/>
        </w:rPr>
        <w:t xml:space="preserve"> </w:t>
      </w:r>
      <w:proofErr w:type="gramStart"/>
      <w:r w:rsidR="008854A3">
        <w:rPr>
          <w:lang w:bidi="he-IL"/>
        </w:rPr>
        <w:t>midrash</w:t>
      </w:r>
      <w:proofErr w:type="gramEnd"/>
      <w:r w:rsidR="00E1016C">
        <w:rPr>
          <w:lang w:bidi="he-IL"/>
        </w:rPr>
        <w:t xml:space="preserve"> give</w:t>
      </w:r>
      <w:r w:rsidR="008854A3">
        <w:rPr>
          <w:lang w:bidi="he-IL"/>
        </w:rPr>
        <w:t>s</w:t>
      </w:r>
      <w:r w:rsidR="00E1016C">
        <w:rPr>
          <w:lang w:bidi="he-IL"/>
        </w:rPr>
        <w:t xml:space="preserve"> her the name Irit or Idit and explain</w:t>
      </w:r>
      <w:r w:rsidR="008854A3">
        <w:rPr>
          <w:lang w:bidi="he-IL"/>
        </w:rPr>
        <w:t>s</w:t>
      </w:r>
      <w:r w:rsidR="00E1016C">
        <w:rPr>
          <w:lang w:bidi="he-IL"/>
        </w:rPr>
        <w:t xml:space="preserve"> that she looked back because she had left behind </w:t>
      </w:r>
      <w:r>
        <w:rPr>
          <w:lang w:bidi="he-IL"/>
        </w:rPr>
        <w:t xml:space="preserve">those </w:t>
      </w:r>
      <w:r w:rsidR="00E1016C">
        <w:rPr>
          <w:lang w:bidi="he-IL"/>
        </w:rPr>
        <w:t>two oth</w:t>
      </w:r>
      <w:r>
        <w:rPr>
          <w:lang w:bidi="he-IL"/>
        </w:rPr>
        <w:t xml:space="preserve">er daughters (who were </w:t>
      </w:r>
      <w:r w:rsidR="00A93EB3">
        <w:rPr>
          <w:lang w:bidi="he-IL"/>
        </w:rPr>
        <w:t xml:space="preserve">already </w:t>
      </w:r>
      <w:r w:rsidR="00E1016C">
        <w:rPr>
          <w:lang w:bidi="he-IL"/>
        </w:rPr>
        <w:t>married to those two sons-in-law)</w:t>
      </w:r>
      <w:r w:rsidR="00AF1664">
        <w:rPr>
          <w:lang w:bidi="he-IL"/>
        </w:rPr>
        <w:t xml:space="preserve">. </w:t>
      </w:r>
      <w:r>
        <w:rPr>
          <w:lang w:bidi="he-IL"/>
        </w:rPr>
        <w:t xml:space="preserve">Deut 29:23 [22] </w:t>
      </w:r>
      <w:r w:rsidR="00AF1664">
        <w:rPr>
          <w:lang w:bidi="he-IL"/>
        </w:rPr>
        <w:t xml:space="preserve">perhaps implies </w:t>
      </w:r>
      <w:r>
        <w:rPr>
          <w:lang w:bidi="he-IL"/>
        </w:rPr>
        <w:t xml:space="preserve">that </w:t>
      </w:r>
      <w:r w:rsidR="008854A3">
        <w:rPr>
          <w:lang w:bidi="he-IL"/>
        </w:rPr>
        <w:t xml:space="preserve">everyone </w:t>
      </w:r>
      <w:r w:rsidR="00A93EB3">
        <w:rPr>
          <w:lang w:bidi="he-IL"/>
        </w:rPr>
        <w:t xml:space="preserve">in Sodom </w:t>
      </w:r>
      <w:r w:rsidR="008854A3">
        <w:rPr>
          <w:lang w:bidi="he-IL"/>
        </w:rPr>
        <w:t>was turned into salt pilasters,</w:t>
      </w:r>
      <w:r w:rsidR="00AF1664">
        <w:rPr>
          <w:rStyle w:val="FootnoteReference"/>
          <w:lang w:bidi="he-IL"/>
        </w:rPr>
        <w:footnoteReference w:id="472"/>
      </w:r>
      <w:r w:rsidR="008854A3">
        <w:rPr>
          <w:lang w:bidi="he-IL"/>
        </w:rPr>
        <w:t xml:space="preserve"> which would include the two daughters, whose fate a mother might have willed to share. Thus </w:t>
      </w:r>
      <w:r w:rsidR="003D56BA">
        <w:rPr>
          <w:lang w:bidi="he-IL"/>
        </w:rPr>
        <w:t>“</w:t>
      </w:r>
      <w:r w:rsidR="008854A3">
        <w:rPr>
          <w:lang w:bidi="he-IL"/>
        </w:rPr>
        <w:t>she was turned into salt either because God couldn’t forgi</w:t>
      </w:r>
      <w:r>
        <w:rPr>
          <w:lang w:bidi="he-IL"/>
        </w:rPr>
        <w:t>ve her this desire… or because H</w:t>
      </w:r>
      <w:r w:rsidR="008854A3">
        <w:rPr>
          <w:lang w:bidi="he-IL"/>
        </w:rPr>
        <w:t>e could.</w:t>
      </w:r>
      <w:r w:rsidR="003D56BA">
        <w:rPr>
          <w:lang w:bidi="he-IL"/>
        </w:rPr>
        <w:t>”</w:t>
      </w:r>
      <w:r w:rsidR="008854A3">
        <w:rPr>
          <w:rStyle w:val="FootnoteReference"/>
          <w:lang w:bidi="he-IL"/>
        </w:rPr>
        <w:footnoteReference w:id="473"/>
      </w:r>
      <w:r w:rsidR="00E76A6A">
        <w:rPr>
          <w:lang w:bidi="he-IL"/>
        </w:rPr>
        <w:t xml:space="preserve"> </w:t>
      </w:r>
      <w:r w:rsidR="003A5FAF">
        <w:rPr>
          <w:lang w:bidi="he-IL"/>
        </w:rPr>
        <w:t>W</w:t>
      </w:r>
      <w:r w:rsidR="0080241C">
        <w:rPr>
          <w:lang w:bidi="he-IL"/>
        </w:rPr>
        <w:t>as</w:t>
      </w:r>
      <w:r w:rsidR="009852E9">
        <w:rPr>
          <w:lang w:bidi="he-IL"/>
        </w:rPr>
        <w:t xml:space="preserve"> it a catatonic reac</w:t>
      </w:r>
      <w:r w:rsidR="0080241C">
        <w:rPr>
          <w:lang w:bidi="he-IL"/>
        </w:rPr>
        <w:t xml:space="preserve">tion to the trauma of what she </w:t>
      </w:r>
      <w:r w:rsidR="0080241C">
        <w:rPr>
          <w:lang w:bidi="he-IL"/>
        </w:rPr>
        <w:lastRenderedPageBreak/>
        <w:t>wa</w:t>
      </w:r>
      <w:r w:rsidR="009852E9">
        <w:rPr>
          <w:lang w:bidi="he-IL"/>
        </w:rPr>
        <w:t>s going through?</w:t>
      </w:r>
      <w:r w:rsidR="009852E9">
        <w:rPr>
          <w:rStyle w:val="FootnoteReference"/>
          <w:lang w:bidi="he-IL"/>
        </w:rPr>
        <w:footnoteReference w:id="474"/>
      </w:r>
      <w:r w:rsidR="009852E9">
        <w:rPr>
          <w:lang w:bidi="he-IL"/>
        </w:rPr>
        <w:t xml:space="preserve"> </w:t>
      </w:r>
      <w:r w:rsidR="00E76A6A" w:rsidRPr="00E76A6A">
        <w:rPr>
          <w:lang w:bidi="he-IL"/>
        </w:rPr>
        <w:t>To be litera</w:t>
      </w:r>
      <w:r w:rsidR="0080241C">
        <w:rPr>
          <w:lang w:bidi="he-IL"/>
        </w:rPr>
        <w:t>listic, maybe the reference to her</w:t>
      </w:r>
      <w:r w:rsidR="00E76A6A" w:rsidRPr="00E76A6A">
        <w:rPr>
          <w:lang w:bidi="he-IL"/>
        </w:rPr>
        <w:t xml:space="preserve"> look</w:t>
      </w:r>
      <w:r w:rsidR="0080241C">
        <w:rPr>
          <w:lang w:bidi="he-IL"/>
        </w:rPr>
        <w:t>ing</w:t>
      </w:r>
      <w:r w:rsidR="00E76A6A" w:rsidRPr="00E76A6A">
        <w:rPr>
          <w:lang w:bidi="he-IL"/>
        </w:rPr>
        <w:t xml:space="preserve"> implies she delayed and got overwhelmed by the burning sulfur which was overwhelming everyone, and then got encrusted with salt.</w:t>
      </w:r>
      <w:r w:rsidR="00E76A6A" w:rsidRPr="00E76A6A">
        <w:rPr>
          <w:vertAlign w:val="superscript"/>
          <w:lang w:bidi="he-IL"/>
        </w:rPr>
        <w:footnoteReference w:id="475"/>
      </w:r>
      <w:r w:rsidR="00E76A6A" w:rsidRPr="00E76A6A">
        <w:rPr>
          <w:lang w:bidi="he-IL"/>
        </w:rPr>
        <w:t xml:space="preserve"> </w:t>
      </w:r>
      <w:r w:rsidR="00E1016C">
        <w:rPr>
          <w:lang w:bidi="he-IL"/>
        </w:rPr>
        <w:t>I</w:t>
      </w:r>
      <w:r w:rsidR="00FF2D38">
        <w:rPr>
          <w:lang w:val="en-GB" w:bidi="he-IL"/>
        </w:rPr>
        <w:t>t’s pos</w:t>
      </w:r>
      <w:r w:rsidR="0080241C">
        <w:rPr>
          <w:lang w:val="en-GB" w:bidi="he-IL"/>
        </w:rPr>
        <w:t>sible to imagine her as</w:t>
      </w:r>
      <w:r w:rsidR="00FF2D38">
        <w:rPr>
          <w:lang w:val="en-GB" w:bidi="he-IL"/>
        </w:rPr>
        <w:t xml:space="preserve"> one of the salt formations around the southern part of </w:t>
      </w:r>
      <w:r w:rsidR="00E76A6A">
        <w:rPr>
          <w:lang w:val="en-GB" w:bidi="he-IL"/>
        </w:rPr>
        <w:t>the Dead Sea</w:t>
      </w:r>
      <w:r w:rsidR="00755102">
        <w:rPr>
          <w:lang w:val="en-GB" w:bidi="he-IL"/>
        </w:rPr>
        <w:t xml:space="preserve">. </w:t>
      </w:r>
      <w:r w:rsidR="00EB1E80">
        <w:rPr>
          <w:lang w:val="en-GB" w:bidi="he-IL"/>
        </w:rPr>
        <w:t xml:space="preserve">Indeed, Wisdom 10:7 </w:t>
      </w:r>
      <w:r w:rsidR="00E76A6A">
        <w:rPr>
          <w:lang w:val="en-GB" w:bidi="he-IL"/>
        </w:rPr>
        <w:t xml:space="preserve">refers to it, </w:t>
      </w:r>
      <w:r w:rsidR="00EB1E80">
        <w:rPr>
          <w:lang w:val="en-GB" w:bidi="he-IL"/>
        </w:rPr>
        <w:t>and Josephus (</w:t>
      </w:r>
      <w:r w:rsidR="00EB1E80" w:rsidRPr="00EB1E80">
        <w:rPr>
          <w:i/>
          <w:lang w:val="en-GB" w:bidi="he-IL"/>
        </w:rPr>
        <w:t>Antiquities</w:t>
      </w:r>
      <w:r w:rsidR="00051509">
        <w:rPr>
          <w:lang w:val="en-GB" w:bidi="he-IL"/>
        </w:rPr>
        <w:t xml:space="preserve"> I</w:t>
      </w:r>
      <w:r w:rsidR="00E47B82">
        <w:rPr>
          <w:lang w:val="en-GB" w:bidi="he-IL"/>
        </w:rPr>
        <w:t>,</w:t>
      </w:r>
      <w:r w:rsidR="00E76A6A">
        <w:rPr>
          <w:lang w:val="en-GB" w:bidi="he-IL"/>
        </w:rPr>
        <w:t xml:space="preserve"> 11:4) says he has seen it</w:t>
      </w:r>
      <w:r w:rsidR="00EB1E80">
        <w:rPr>
          <w:lang w:val="en-GB" w:bidi="he-IL"/>
        </w:rPr>
        <w:t xml:space="preserve">. </w:t>
      </w:r>
      <w:r w:rsidR="00544C15">
        <w:rPr>
          <w:lang w:val="en-GB" w:bidi="he-IL"/>
        </w:rPr>
        <w:t xml:space="preserve">When Pompeii was destroyed, </w:t>
      </w:r>
      <w:r w:rsidR="003D56BA">
        <w:rPr>
          <w:i/>
          <w:lang w:val="en-GB" w:bidi="he-IL"/>
        </w:rPr>
        <w:t>“</w:t>
      </w:r>
      <w:r w:rsidR="00544C15" w:rsidRPr="00544C15">
        <w:rPr>
          <w:rStyle w:val="Emphasis"/>
          <w:i w:val="0"/>
        </w:rPr>
        <w:t>a volcanic gas</w:t>
      </w:r>
      <w:r w:rsidR="00544C15" w:rsidRPr="00544C15">
        <w:rPr>
          <w:rStyle w:val="st"/>
          <w:i/>
        </w:rPr>
        <w:t xml:space="preserve"> </w:t>
      </w:r>
      <w:r w:rsidR="00544C15" w:rsidRPr="00544C15">
        <w:rPr>
          <w:rStyle w:val="st"/>
        </w:rPr>
        <w:t>settled over the city, asphyxiating many of the citizens while they slept. The city was then</w:t>
      </w:r>
      <w:r w:rsidR="00544C15" w:rsidRPr="00544C15">
        <w:rPr>
          <w:rStyle w:val="st"/>
          <w:i/>
        </w:rPr>
        <w:t xml:space="preserve"> </w:t>
      </w:r>
      <w:r w:rsidR="00544C15" w:rsidRPr="00544C15">
        <w:rPr>
          <w:rStyle w:val="Emphasis"/>
          <w:i w:val="0"/>
        </w:rPr>
        <w:t>covered with heavy deposits</w:t>
      </w:r>
      <w:r w:rsidR="00544C15" w:rsidRPr="00544C15">
        <w:rPr>
          <w:rStyle w:val="st"/>
          <w:i/>
        </w:rPr>
        <w:t xml:space="preserve"> </w:t>
      </w:r>
      <w:r w:rsidR="00544C15" w:rsidRPr="00544C15">
        <w:rPr>
          <w:rStyle w:val="st"/>
        </w:rPr>
        <w:t xml:space="preserve">of volcanic ash up to a depth of about twenty feet in which human and animal life was entombed…. </w:t>
      </w:r>
      <w:r w:rsidR="00544C15" w:rsidRPr="00D27DA1">
        <w:rPr>
          <w:rStyle w:val="st"/>
        </w:rPr>
        <w:t>The</w:t>
      </w:r>
      <w:r w:rsidR="00544C15" w:rsidRPr="00544C15">
        <w:rPr>
          <w:rStyle w:val="st"/>
          <w:i/>
        </w:rPr>
        <w:t xml:space="preserve"> </w:t>
      </w:r>
      <w:r w:rsidR="00544C15" w:rsidRPr="00544C15">
        <w:rPr>
          <w:rStyle w:val="Emphasis"/>
          <w:i w:val="0"/>
        </w:rPr>
        <w:t>chemical content of the ash</w:t>
      </w:r>
      <w:r w:rsidR="00544C15" w:rsidRPr="00544C15">
        <w:rPr>
          <w:rStyle w:val="st"/>
          <w:i/>
        </w:rPr>
        <w:t xml:space="preserve">… </w:t>
      </w:r>
      <w:r w:rsidR="00544C15" w:rsidRPr="00544C15">
        <w:rPr>
          <w:rStyle w:val="st"/>
        </w:rPr>
        <w:t>apparently turned human bodies into some chemical substance that was sufficiently hard to allow the surrounding ash to retain a perfect cast of the bodies.</w:t>
      </w:r>
      <w:r w:rsidR="003D56BA">
        <w:rPr>
          <w:rStyle w:val="st"/>
        </w:rPr>
        <w:t>”</w:t>
      </w:r>
      <w:r w:rsidR="00544C15">
        <w:rPr>
          <w:rStyle w:val="FootnoteReference"/>
        </w:rPr>
        <w:footnoteReference w:id="476"/>
      </w:r>
      <w:r w:rsidR="002D0E14">
        <w:rPr>
          <w:rStyle w:val="st"/>
        </w:rPr>
        <w:t xml:space="preserve"> </w:t>
      </w:r>
      <w:r w:rsidR="00CF7128">
        <w:rPr>
          <w:lang w:bidi="he-IL"/>
        </w:rPr>
        <w:t>E</w:t>
      </w:r>
      <w:r w:rsidR="00CF7128" w:rsidRPr="00D50670">
        <w:rPr>
          <w:lang w:bidi="he-IL"/>
        </w:rPr>
        <w:t>ven if we sympathize with Lot’s wife, we have to see her fate as a warning (Luke 17:26-32).</w:t>
      </w:r>
      <w:r w:rsidR="00CF7128">
        <w:rPr>
          <w:lang w:bidi="he-IL"/>
        </w:rPr>
        <w:t xml:space="preserve"> </w:t>
      </w:r>
      <w:r w:rsidR="002D0E14">
        <w:rPr>
          <w:rStyle w:val="st"/>
        </w:rPr>
        <w:t>But it’s all right</w:t>
      </w:r>
      <w:r w:rsidR="008E183C">
        <w:rPr>
          <w:rStyle w:val="st"/>
        </w:rPr>
        <w:t>, says TgNeoph: she is there only until resurrection day.</w:t>
      </w:r>
      <w:r w:rsidR="00884948">
        <w:rPr>
          <w:lang w:bidi="he-IL"/>
        </w:rPr>
        <w:t xml:space="preserve"> </w:t>
      </w:r>
    </w:p>
    <w:p w14:paraId="013815E3" w14:textId="28B2B935" w:rsidR="00B94A3C" w:rsidRDefault="00755102" w:rsidP="001D6C26">
      <w:pPr>
        <w:rPr>
          <w:lang w:bidi="he-IL"/>
        </w:rPr>
      </w:pPr>
      <w:r>
        <w:rPr>
          <w:b/>
          <w:lang w:bidi="he-IL"/>
        </w:rPr>
        <w:t>19:27-29</w:t>
      </w:r>
      <w:r>
        <w:rPr>
          <w:lang w:bidi="he-IL"/>
        </w:rPr>
        <w:t xml:space="preserve">. Meanwhile </w:t>
      </w:r>
      <w:r w:rsidR="00686B92">
        <w:rPr>
          <w:lang w:bidi="he-IL"/>
        </w:rPr>
        <w:t>Abraham got going early that</w:t>
      </w:r>
      <w:r w:rsidR="00942009">
        <w:rPr>
          <w:lang w:bidi="he-IL"/>
        </w:rPr>
        <w:t xml:space="preserve"> same morning. T</w:t>
      </w:r>
      <w:r w:rsidR="00686B92">
        <w:rPr>
          <w:lang w:bidi="he-IL"/>
        </w:rPr>
        <w:t>he verb (</w:t>
      </w:r>
      <w:r w:rsidR="00686B92">
        <w:rPr>
          <w:i/>
          <w:lang w:bidi="he-IL"/>
        </w:rPr>
        <w:t xml:space="preserve">šākam </w:t>
      </w:r>
      <w:r w:rsidR="00942009">
        <w:rPr>
          <w:lang w:bidi="he-IL"/>
        </w:rPr>
        <w:t xml:space="preserve">hiphil) </w:t>
      </w:r>
      <w:r w:rsidR="00686B92">
        <w:rPr>
          <w:lang w:bidi="he-IL"/>
        </w:rPr>
        <w:t>commonly signifies a serious commitment to doing something</w:t>
      </w:r>
      <w:r w:rsidR="00942009">
        <w:rPr>
          <w:lang w:bidi="he-IL"/>
        </w:rPr>
        <w:t>, something you therefore get up early to do</w:t>
      </w:r>
      <w:r w:rsidR="00686B92">
        <w:rPr>
          <w:lang w:bidi="he-IL"/>
        </w:rPr>
        <w:t xml:space="preserve"> (it described Lot’s expectations about the envoys</w:t>
      </w:r>
      <w:r w:rsidR="00942009">
        <w:rPr>
          <w:lang w:bidi="he-IL"/>
        </w:rPr>
        <w:t>’ early departure</w:t>
      </w:r>
      <w:r w:rsidR="00686B92">
        <w:rPr>
          <w:lang w:bidi="he-IL"/>
        </w:rPr>
        <w:t xml:space="preserve"> in v. 2</w:t>
      </w:r>
      <w:r w:rsidR="00942009">
        <w:rPr>
          <w:lang w:bidi="he-IL"/>
        </w:rPr>
        <w:t>). Abraham</w:t>
      </w:r>
      <w:r w:rsidR="00686B92">
        <w:rPr>
          <w:lang w:bidi="he-IL"/>
        </w:rPr>
        <w:t xml:space="preserve"> </w:t>
      </w:r>
      <w:r w:rsidR="00D50670">
        <w:rPr>
          <w:lang w:bidi="he-IL"/>
        </w:rPr>
        <w:t xml:space="preserve">knew from Yahweh’s revelation </w:t>
      </w:r>
      <w:r w:rsidR="00942009" w:rsidRPr="00942009">
        <w:rPr>
          <w:lang w:bidi="he-IL"/>
        </w:rPr>
        <w:t>that the catastrophe was imminent</w:t>
      </w:r>
      <w:r w:rsidR="00942009">
        <w:rPr>
          <w:lang w:bidi="he-IL"/>
        </w:rPr>
        <w:t>.</w:t>
      </w:r>
      <w:r w:rsidR="00942009" w:rsidRPr="00942009">
        <w:rPr>
          <w:lang w:bidi="he-IL"/>
        </w:rPr>
        <w:t xml:space="preserve"> </w:t>
      </w:r>
      <w:r w:rsidR="00FC5F88">
        <w:rPr>
          <w:lang w:bidi="he-IL"/>
        </w:rPr>
        <w:t>He returned to the point where they had see</w:t>
      </w:r>
      <w:r w:rsidR="00D50670">
        <w:rPr>
          <w:lang w:bidi="he-IL"/>
        </w:rPr>
        <w:t>n off the envoys</w:t>
      </w:r>
      <w:r w:rsidR="00FC5F88">
        <w:rPr>
          <w:lang w:bidi="he-IL"/>
        </w:rPr>
        <w:t>, where he had then had his dialogue with Yahweh, and from where he could see the devastation.</w:t>
      </w:r>
      <w:r w:rsidR="0023625E">
        <w:rPr>
          <w:lang w:bidi="he-IL"/>
        </w:rPr>
        <w:t xml:space="preserve"> </w:t>
      </w:r>
      <w:r w:rsidR="005F2DEE">
        <w:rPr>
          <w:lang w:bidi="he-IL"/>
        </w:rPr>
        <w:t xml:space="preserve">The narrator’s “there” </w:t>
      </w:r>
      <w:r w:rsidR="00CF7128">
        <w:rPr>
          <w:lang w:bidi="he-IL"/>
        </w:rPr>
        <w:t xml:space="preserve">again </w:t>
      </w:r>
      <w:r w:rsidR="005F2DEE">
        <w:rPr>
          <w:lang w:bidi="he-IL"/>
        </w:rPr>
        <w:t xml:space="preserve">draws us into looking at the scene though his eyes. </w:t>
      </w:r>
      <w:r w:rsidR="0023625E">
        <w:rPr>
          <w:lang w:bidi="he-IL"/>
        </w:rPr>
        <w:t xml:space="preserve">Now </w:t>
      </w:r>
      <w:r w:rsidR="003D56BA">
        <w:rPr>
          <w:lang w:bidi="he-IL"/>
        </w:rPr>
        <w:t>“</w:t>
      </w:r>
      <w:r w:rsidR="0023625E">
        <w:rPr>
          <w:lang w:bidi="he-IL"/>
        </w:rPr>
        <w:t xml:space="preserve">Abraham looks down on </w:t>
      </w:r>
      <w:r w:rsidR="00942009">
        <w:rPr>
          <w:lang w:bidi="he-IL"/>
        </w:rPr>
        <w:t>the scene of the disaster—and is</w:t>
      </w:r>
      <w:r w:rsidR="0023625E">
        <w:rPr>
          <w:lang w:bidi="he-IL"/>
        </w:rPr>
        <w:t xml:space="preserve"> silent.</w:t>
      </w:r>
      <w:r w:rsidR="003D56BA">
        <w:rPr>
          <w:lang w:bidi="he-IL"/>
        </w:rPr>
        <w:t>”</w:t>
      </w:r>
      <w:r w:rsidR="0023625E">
        <w:rPr>
          <w:rStyle w:val="FootnoteReference"/>
          <w:lang w:bidi="he-IL"/>
        </w:rPr>
        <w:footnoteReference w:id="477"/>
      </w:r>
      <w:r w:rsidR="00D95B45">
        <w:rPr>
          <w:lang w:bidi="he-IL"/>
        </w:rPr>
        <w:t xml:space="preserve"> Genesis does not tell us that he knew that Lot had been sav</w:t>
      </w:r>
      <w:r w:rsidR="00D50670">
        <w:rPr>
          <w:lang w:bidi="he-IL"/>
        </w:rPr>
        <w:t>ed, though</w:t>
      </w:r>
      <w:r w:rsidR="00D95B45">
        <w:rPr>
          <w:lang w:bidi="he-IL"/>
        </w:rPr>
        <w:t xml:space="preserve"> the audience knows.</w:t>
      </w:r>
      <w:r w:rsidR="00D95B45">
        <w:rPr>
          <w:rStyle w:val="FootnoteReference"/>
          <w:lang w:bidi="he-IL"/>
        </w:rPr>
        <w:footnoteReference w:id="478"/>
      </w:r>
    </w:p>
    <w:p w14:paraId="5FAC5BC9" w14:textId="54105E97" w:rsidR="008B6F45" w:rsidRPr="008B6F45" w:rsidRDefault="002F28B9" w:rsidP="008B6F45">
      <w:pPr>
        <w:rPr>
          <w:lang w:bidi="he-IL"/>
        </w:rPr>
      </w:pPr>
      <w:r>
        <w:rPr>
          <w:lang w:bidi="he-IL"/>
        </w:rPr>
        <w:t>In what sense has God</w:t>
      </w:r>
      <w:r w:rsidR="00FC5F88">
        <w:rPr>
          <w:lang w:bidi="he-IL"/>
        </w:rPr>
        <w:t xml:space="preserve"> been mindf</w:t>
      </w:r>
      <w:r w:rsidR="00942009">
        <w:rPr>
          <w:lang w:bidi="he-IL"/>
        </w:rPr>
        <w:t>ul of Abraham? (v. 29). Hi</w:t>
      </w:r>
      <w:r w:rsidR="00FC5F88">
        <w:rPr>
          <w:lang w:bidi="he-IL"/>
        </w:rPr>
        <w:t>s dialogue with Yahweh had not saved Sodom</w:t>
      </w:r>
      <w:r w:rsidR="00942009">
        <w:rPr>
          <w:lang w:bidi="he-IL"/>
        </w:rPr>
        <w:t>, though</w:t>
      </w:r>
      <w:r w:rsidR="00942009" w:rsidRPr="00942009">
        <w:rPr>
          <w:lang w:bidi="he-IL"/>
        </w:rPr>
        <w:t xml:space="preserve"> it </w:t>
      </w:r>
      <w:r w:rsidR="00CF7128">
        <w:rPr>
          <w:lang w:bidi="he-IL"/>
        </w:rPr>
        <w:t xml:space="preserve">had </w:t>
      </w:r>
      <w:r w:rsidR="00942009" w:rsidRPr="00942009">
        <w:rPr>
          <w:lang w:bidi="he-IL"/>
        </w:rPr>
        <w:t xml:space="preserve">expressed his bold and passionate concern for </w:t>
      </w:r>
      <w:r w:rsidR="00942009">
        <w:rPr>
          <w:lang w:bidi="he-IL"/>
        </w:rPr>
        <w:t>the town, and as far as one can tell it had not been concerned to save Lot</w:t>
      </w:r>
      <w:r w:rsidR="00FC5F88">
        <w:rPr>
          <w:lang w:bidi="he-IL"/>
        </w:rPr>
        <w:t>.</w:t>
      </w:r>
      <w:r w:rsidR="00942009">
        <w:rPr>
          <w:lang w:bidi="he-IL"/>
        </w:rPr>
        <w:t xml:space="preserve"> T</w:t>
      </w:r>
      <w:r>
        <w:rPr>
          <w:lang w:bidi="he-IL"/>
        </w:rPr>
        <w:t>his reference to God</w:t>
      </w:r>
      <w:r w:rsidR="008B6F45">
        <w:rPr>
          <w:lang w:bidi="he-IL"/>
        </w:rPr>
        <w:t xml:space="preserve">’s </w:t>
      </w:r>
      <w:r w:rsidR="00D61B82">
        <w:rPr>
          <w:lang w:bidi="he-IL"/>
        </w:rPr>
        <w:t>mindfulness</w:t>
      </w:r>
      <w:r w:rsidR="008B6F45">
        <w:rPr>
          <w:lang w:bidi="he-IL"/>
        </w:rPr>
        <w:t xml:space="preserve"> links </w:t>
      </w:r>
      <w:r>
        <w:rPr>
          <w:lang w:bidi="he-IL"/>
        </w:rPr>
        <w:t xml:space="preserve">back </w:t>
      </w:r>
      <w:r w:rsidR="003575C9">
        <w:rPr>
          <w:lang w:bidi="he-IL"/>
        </w:rPr>
        <w:t xml:space="preserve">more directly </w:t>
      </w:r>
      <w:r w:rsidR="00942009">
        <w:rPr>
          <w:lang w:bidi="he-IL"/>
        </w:rPr>
        <w:t xml:space="preserve">not to Gen 18 but </w:t>
      </w:r>
      <w:r>
        <w:rPr>
          <w:lang w:bidi="he-IL"/>
        </w:rPr>
        <w:t>to the deluge story</w:t>
      </w:r>
      <w:r w:rsidR="003575C9">
        <w:rPr>
          <w:lang w:bidi="he-IL"/>
        </w:rPr>
        <w:t xml:space="preserve"> (see 8:1)</w:t>
      </w:r>
      <w:r>
        <w:rPr>
          <w:lang w:bidi="he-IL"/>
        </w:rPr>
        <w:t>.</w:t>
      </w:r>
      <w:r w:rsidR="00727890">
        <w:rPr>
          <w:lang w:bidi="he-IL"/>
        </w:rPr>
        <w:t xml:space="preserve"> </w:t>
      </w:r>
      <w:r w:rsidR="00942009">
        <w:rPr>
          <w:lang w:bidi="he-IL"/>
        </w:rPr>
        <w:t>T</w:t>
      </w:r>
      <w:r w:rsidR="00942009" w:rsidRPr="00942009">
        <w:rPr>
          <w:lang w:bidi="he-IL"/>
        </w:rPr>
        <w:t xml:space="preserve">he further occurrence of the verb </w:t>
      </w:r>
      <w:r w:rsidR="003D56BA">
        <w:rPr>
          <w:lang w:bidi="he-IL"/>
        </w:rPr>
        <w:t>“</w:t>
      </w:r>
      <w:r w:rsidR="00942009" w:rsidRPr="00942009">
        <w:rPr>
          <w:lang w:bidi="he-IL"/>
        </w:rPr>
        <w:t>devastate</w:t>
      </w:r>
      <w:r w:rsidR="003D56BA">
        <w:rPr>
          <w:lang w:bidi="he-IL"/>
        </w:rPr>
        <w:t>”</w:t>
      </w:r>
      <w:r w:rsidR="00D50670">
        <w:rPr>
          <w:lang w:bidi="he-IL"/>
        </w:rPr>
        <w:t xml:space="preserve"> (cf.</w:t>
      </w:r>
      <w:r w:rsidR="00942009" w:rsidRPr="00942009">
        <w:rPr>
          <w:lang w:bidi="he-IL"/>
        </w:rPr>
        <w:t xml:space="preserve"> 18:28, 31, 32; 19:13</w:t>
      </w:r>
      <w:r w:rsidR="00942009">
        <w:rPr>
          <w:lang w:bidi="he-IL"/>
        </w:rPr>
        <w:t>, 14) also makes the link (</w:t>
      </w:r>
      <w:r w:rsidR="00942009" w:rsidRPr="00942009">
        <w:rPr>
          <w:lang w:bidi="he-IL"/>
        </w:rPr>
        <w:t>cf. 6:13, 17; 9:11, 15</w:t>
      </w:r>
      <w:r w:rsidR="00942009">
        <w:rPr>
          <w:lang w:bidi="he-IL"/>
        </w:rPr>
        <w:t>)</w:t>
      </w:r>
      <w:r w:rsidR="00942009" w:rsidRPr="00942009">
        <w:rPr>
          <w:lang w:bidi="he-IL"/>
        </w:rPr>
        <w:t>.</w:t>
      </w:r>
      <w:r w:rsidR="00727890">
        <w:rPr>
          <w:lang w:bidi="he-IL"/>
        </w:rPr>
        <w:t xml:space="preserve"> </w:t>
      </w:r>
      <w:r w:rsidR="003575C9">
        <w:rPr>
          <w:lang w:bidi="he-IL"/>
        </w:rPr>
        <w:t xml:space="preserve">Indeed, the talk </w:t>
      </w:r>
      <w:r>
        <w:rPr>
          <w:lang w:bidi="he-IL"/>
        </w:rPr>
        <w:t xml:space="preserve">of </w:t>
      </w:r>
      <w:r w:rsidR="003D56BA">
        <w:rPr>
          <w:lang w:bidi="he-IL"/>
        </w:rPr>
        <w:t>“</w:t>
      </w:r>
      <w:r>
        <w:rPr>
          <w:lang w:bidi="he-IL"/>
        </w:rPr>
        <w:t>God</w:t>
      </w:r>
      <w:r w:rsidR="003D56BA">
        <w:rPr>
          <w:lang w:bidi="he-IL"/>
        </w:rPr>
        <w:t>”</w:t>
      </w:r>
      <w:r>
        <w:rPr>
          <w:lang w:bidi="he-IL"/>
        </w:rPr>
        <w:t xml:space="preserve"> rather than </w:t>
      </w:r>
      <w:r w:rsidR="003D56BA">
        <w:rPr>
          <w:lang w:bidi="he-IL"/>
        </w:rPr>
        <w:t>“</w:t>
      </w:r>
      <w:r>
        <w:rPr>
          <w:lang w:bidi="he-IL"/>
        </w:rPr>
        <w:t>Yahweh</w:t>
      </w:r>
      <w:r w:rsidR="003D56BA">
        <w:rPr>
          <w:lang w:bidi="he-IL"/>
        </w:rPr>
        <w:t>”</w:t>
      </w:r>
      <w:r>
        <w:rPr>
          <w:lang w:bidi="he-IL"/>
        </w:rPr>
        <w:t xml:space="preserve"> (</w:t>
      </w:r>
      <w:r w:rsidR="003575C9">
        <w:rPr>
          <w:lang w:bidi="he-IL"/>
        </w:rPr>
        <w:t xml:space="preserve">as in 8:1, but </w:t>
      </w:r>
      <w:r>
        <w:rPr>
          <w:lang w:bidi="he-IL"/>
        </w:rPr>
        <w:t xml:space="preserve">in this verse </w:t>
      </w:r>
      <w:r w:rsidR="003575C9">
        <w:rPr>
          <w:lang w:bidi="he-IL"/>
        </w:rPr>
        <w:t xml:space="preserve">alone in </w:t>
      </w:r>
      <w:r w:rsidR="00942009">
        <w:rPr>
          <w:lang w:bidi="he-IL"/>
        </w:rPr>
        <w:t>18:1—19:38) underscores it</w:t>
      </w:r>
      <w:r>
        <w:rPr>
          <w:lang w:bidi="he-IL"/>
        </w:rPr>
        <w:t>.</w:t>
      </w:r>
      <w:r>
        <w:rPr>
          <w:rStyle w:val="FootnoteReference"/>
          <w:lang w:bidi="he-IL"/>
        </w:rPr>
        <w:footnoteReference w:id="479"/>
      </w:r>
      <w:r>
        <w:rPr>
          <w:lang w:bidi="he-IL"/>
        </w:rPr>
        <w:t xml:space="preserve"> God</w:t>
      </w:r>
      <w:r w:rsidR="008B6F45">
        <w:rPr>
          <w:lang w:bidi="he-IL"/>
        </w:rPr>
        <w:t xml:space="preserve"> has been mindful of Abraham as he was mindful of Noah, though the direct beneficiary of the mindfulness is </w:t>
      </w:r>
      <w:r w:rsidR="00942009">
        <w:rPr>
          <w:lang w:bidi="he-IL"/>
        </w:rPr>
        <w:t xml:space="preserve">Abraham’s nephew </w:t>
      </w:r>
      <w:r w:rsidR="008B6F45">
        <w:rPr>
          <w:lang w:bidi="he-IL"/>
        </w:rPr>
        <w:t xml:space="preserve">Lot and his family instead of Noah and his family. </w:t>
      </w:r>
      <w:r w:rsidR="003575C9">
        <w:rPr>
          <w:lang w:bidi="he-IL"/>
        </w:rPr>
        <w:t>God has been mindful of a commitment to Abraham and thus to his family.</w:t>
      </w:r>
    </w:p>
    <w:p w14:paraId="724A224F" w14:textId="77777777" w:rsidR="004B3726" w:rsidRDefault="00FC5F88" w:rsidP="001D6C26">
      <w:pPr>
        <w:rPr>
          <w:lang w:bidi="he-IL"/>
        </w:rPr>
      </w:pPr>
      <w:r>
        <w:rPr>
          <w:b/>
          <w:lang w:bidi="he-IL"/>
        </w:rPr>
        <w:t xml:space="preserve">19:30-38. </w:t>
      </w:r>
      <w:r w:rsidR="0094527B" w:rsidRPr="0094527B">
        <w:rPr>
          <w:lang w:bidi="he-IL"/>
        </w:rPr>
        <w:t>Lot continues to dither. Is</w:t>
      </w:r>
      <w:r w:rsidR="0094527B">
        <w:rPr>
          <w:lang w:bidi="he-IL"/>
        </w:rPr>
        <w:t xml:space="preserve"> he afraid that the inhabitants of Zo‘ar will turn out the same as the inhabitants of Sodom, or that there might be another disaster? Is he failing to have faith in the envoys</w:t>
      </w:r>
      <w:r w:rsidR="004B3726">
        <w:rPr>
          <w:lang w:bidi="he-IL"/>
        </w:rPr>
        <w:t>’</w:t>
      </w:r>
      <w:r w:rsidR="0094527B">
        <w:rPr>
          <w:lang w:bidi="he-IL"/>
        </w:rPr>
        <w:t xml:space="preserve"> word? Or is he being wiser</w:t>
      </w:r>
      <w:r w:rsidR="003575C9">
        <w:rPr>
          <w:lang w:bidi="he-IL"/>
        </w:rPr>
        <w:t xml:space="preserve"> than he was when he went to </w:t>
      </w:r>
      <w:r w:rsidR="0094527B">
        <w:rPr>
          <w:lang w:bidi="he-IL"/>
        </w:rPr>
        <w:t xml:space="preserve">live near Sodom in the first place? Does he note the irony in the difference between how well he was doing </w:t>
      </w:r>
      <w:r w:rsidR="00C1102D">
        <w:rPr>
          <w:lang w:bidi="he-IL"/>
        </w:rPr>
        <w:t xml:space="preserve">back then (13:5-6) and how pathetic are his circumstances now? The only other cave </w:t>
      </w:r>
      <w:r w:rsidR="003575C9">
        <w:rPr>
          <w:lang w:bidi="he-IL"/>
        </w:rPr>
        <w:t xml:space="preserve">in </w:t>
      </w:r>
      <w:r w:rsidR="00C1102D">
        <w:rPr>
          <w:lang w:bidi="he-IL"/>
        </w:rPr>
        <w:t>Genesis will be the one where hi</w:t>
      </w:r>
      <w:r w:rsidR="003575C9">
        <w:rPr>
          <w:lang w:bidi="he-IL"/>
        </w:rPr>
        <w:t>s aunt and uncle are buried;</w:t>
      </w:r>
      <w:r w:rsidR="00C1102D">
        <w:rPr>
          <w:lang w:bidi="he-IL"/>
        </w:rPr>
        <w:t xml:space="preserve"> elsewhere in the Scriptures caves are just places where desperate people hide.</w:t>
      </w:r>
      <w:r w:rsidR="005B700D">
        <w:rPr>
          <w:lang w:bidi="he-IL"/>
        </w:rPr>
        <w:t xml:space="preserve"> Lot and his daughters are </w:t>
      </w:r>
      <w:r w:rsidR="003575C9">
        <w:rPr>
          <w:lang w:bidi="he-IL"/>
        </w:rPr>
        <w:t>such people</w:t>
      </w:r>
      <w:r w:rsidR="005B700D">
        <w:rPr>
          <w:lang w:bidi="he-IL"/>
        </w:rPr>
        <w:t xml:space="preserve">. </w:t>
      </w:r>
      <w:r w:rsidR="004B3726">
        <w:rPr>
          <w:lang w:bidi="he-IL"/>
        </w:rPr>
        <w:t>His</w:t>
      </w:r>
      <w:r w:rsidR="00DE395D">
        <w:rPr>
          <w:lang w:bidi="he-IL"/>
        </w:rPr>
        <w:t xml:space="preserve"> action </w:t>
      </w:r>
      <w:r w:rsidR="004B3726">
        <w:rPr>
          <w:lang w:bidi="he-IL"/>
        </w:rPr>
        <w:t xml:space="preserve">is one </w:t>
      </w:r>
      <w:r w:rsidR="00DE395D">
        <w:rPr>
          <w:lang w:bidi="he-IL"/>
        </w:rPr>
        <w:t xml:space="preserve">that implies there is no hope. </w:t>
      </w:r>
    </w:p>
    <w:p w14:paraId="21131268" w14:textId="02082710" w:rsidR="00CE19CF" w:rsidRPr="00CE19CF" w:rsidRDefault="00DE395D" w:rsidP="00CE19CF">
      <w:pPr>
        <w:rPr>
          <w:lang w:bidi="he-IL"/>
        </w:rPr>
      </w:pPr>
      <w:r>
        <w:rPr>
          <w:lang w:bidi="he-IL"/>
        </w:rPr>
        <w:t>His daughters</w:t>
      </w:r>
      <w:r w:rsidR="004B3726">
        <w:rPr>
          <w:lang w:bidi="he-IL"/>
        </w:rPr>
        <w:t xml:space="preserve"> refuse to give up on hope (vv. 31-35), though the action they therefore take r</w:t>
      </w:r>
      <w:r w:rsidR="00CE19CF">
        <w:rPr>
          <w:lang w:bidi="he-IL"/>
        </w:rPr>
        <w:t xml:space="preserve">aises eyebrows. The </w:t>
      </w:r>
      <w:r w:rsidR="004B3726">
        <w:rPr>
          <w:lang w:bidi="he-IL"/>
        </w:rPr>
        <w:t>story that follows again recalls Noah; Lot</w:t>
      </w:r>
      <w:r w:rsidR="00CE19CF">
        <w:rPr>
          <w:lang w:bidi="he-IL"/>
        </w:rPr>
        <w:t>, too,</w:t>
      </w:r>
      <w:r w:rsidR="004B3726">
        <w:rPr>
          <w:lang w:bidi="he-IL"/>
        </w:rPr>
        <w:t xml:space="preserve"> has unpleasant</w:t>
      </w:r>
      <w:r w:rsidR="004B3726" w:rsidRPr="004B3726">
        <w:rPr>
          <w:lang w:bidi="he-IL"/>
        </w:rPr>
        <w:t xml:space="preserve"> experiences of the interaction of drink and sex with his offspring for which he can har</w:t>
      </w:r>
      <w:r w:rsidR="004B3726">
        <w:rPr>
          <w:lang w:bidi="he-IL"/>
        </w:rPr>
        <w:t>dly be held totally responsible, though i</w:t>
      </w:r>
      <w:r w:rsidR="004B3726" w:rsidRPr="004B3726">
        <w:rPr>
          <w:lang w:bidi="he-IL"/>
        </w:rPr>
        <w:t xml:space="preserve">n its brief summary of Gen 18—19, </w:t>
      </w:r>
      <w:r w:rsidR="00D65833">
        <w:rPr>
          <w:i/>
          <w:lang w:bidi="he-IL"/>
        </w:rPr>
        <w:t>Jub</w:t>
      </w:r>
      <w:r w:rsidR="004B3726" w:rsidRPr="004B3726">
        <w:rPr>
          <w:lang w:bidi="he-IL"/>
        </w:rPr>
        <w:t xml:space="preserve"> 16:1-9 does have room to condemn what happens as an unprecedented sin, and specifically to condemn Lot for what happened.</w:t>
      </w:r>
      <w:r w:rsidR="00072C7C">
        <w:rPr>
          <w:lang w:bidi="he-IL"/>
        </w:rPr>
        <w:t xml:space="preserve"> </w:t>
      </w:r>
      <w:r w:rsidR="003D56BA">
        <w:rPr>
          <w:lang w:bidi="he-IL"/>
        </w:rPr>
        <w:t>“</w:t>
      </w:r>
      <w:r w:rsidR="00CE19CF" w:rsidRPr="00CE19CF">
        <w:rPr>
          <w:lang w:bidi="he-IL"/>
        </w:rPr>
        <w:t xml:space="preserve">At the beginning of the </w:t>
      </w:r>
      <w:r w:rsidR="00CE19CF" w:rsidRPr="00CE19CF">
        <w:rPr>
          <w:lang w:bidi="he-IL"/>
        </w:rPr>
        <w:lastRenderedPageBreak/>
        <w:t>chapter he was willing to let the virginity of his daughters be forcibly defiled, without even informing them, in order to save lives. Now, in order to ‘maintain life,’ his daughters have lost their virginity by forcing themselves upon him without his knowledge.</w:t>
      </w:r>
      <w:r w:rsidR="003D56BA">
        <w:rPr>
          <w:lang w:bidi="he-IL"/>
        </w:rPr>
        <w:t>”</w:t>
      </w:r>
      <w:r w:rsidR="00CE19CF" w:rsidRPr="00CE19CF">
        <w:rPr>
          <w:vertAlign w:val="superscript"/>
          <w:lang w:bidi="he-IL"/>
        </w:rPr>
        <w:footnoteReference w:id="480"/>
      </w:r>
      <w:r w:rsidR="00CE19CF">
        <w:rPr>
          <w:lang w:bidi="he-IL"/>
        </w:rPr>
        <w:t xml:space="preserve"> Thus their</w:t>
      </w:r>
      <w:r w:rsidR="00CE19CF" w:rsidRPr="00CE19CF">
        <w:rPr>
          <w:lang w:bidi="he-IL"/>
        </w:rPr>
        <w:t xml:space="preserve"> seduction of their own father </w:t>
      </w:r>
      <w:r w:rsidR="003D56BA">
        <w:rPr>
          <w:lang w:bidi="he-IL"/>
        </w:rPr>
        <w:t>“</w:t>
      </w:r>
      <w:r w:rsidR="00CE19CF" w:rsidRPr="00CE19CF">
        <w:rPr>
          <w:lang w:bidi="he-IL"/>
        </w:rPr>
        <w:t>can be considered poetic justice—</w:t>
      </w:r>
      <w:r w:rsidR="00CE19CF" w:rsidRPr="00CE19CF">
        <w:rPr>
          <w:iCs/>
          <w:lang w:bidi="he-IL"/>
        </w:rPr>
        <w:t>a fitting fate</w:t>
      </w:r>
      <w:r w:rsidR="00CE19CF" w:rsidRPr="00CE19CF">
        <w:rPr>
          <w:lang w:bidi="he-IL"/>
        </w:rPr>
        <w:t xml:space="preserve"> for someone willing to bargain away his daughters’ sexuality.</w:t>
      </w:r>
      <w:r w:rsidR="003D56BA">
        <w:rPr>
          <w:lang w:bidi="he-IL"/>
        </w:rPr>
        <w:t>”</w:t>
      </w:r>
      <w:r w:rsidR="00CE19CF" w:rsidRPr="00CE19CF">
        <w:rPr>
          <w:vertAlign w:val="superscript"/>
          <w:lang w:bidi="he-IL"/>
        </w:rPr>
        <w:footnoteReference w:id="481"/>
      </w:r>
      <w:r w:rsidR="00CE19CF">
        <w:rPr>
          <w:lang w:bidi="he-IL"/>
        </w:rPr>
        <w:t xml:space="preserve"> </w:t>
      </w:r>
      <w:r w:rsidR="00072C7C">
        <w:rPr>
          <w:lang w:bidi="he-IL"/>
        </w:rPr>
        <w:t>But m</w:t>
      </w:r>
      <w:r w:rsidR="00072C7C" w:rsidRPr="00072C7C">
        <w:rPr>
          <w:lang w:bidi="he-IL"/>
        </w:rPr>
        <w:t xml:space="preserve">aybe </w:t>
      </w:r>
      <w:r w:rsidR="003D56BA">
        <w:rPr>
          <w:lang w:bidi="he-IL"/>
        </w:rPr>
        <w:t>“</w:t>
      </w:r>
      <w:r w:rsidR="00072C7C" w:rsidRPr="00072C7C">
        <w:rPr>
          <w:lang w:bidi="he-IL"/>
        </w:rPr>
        <w:t>Lot, incapacitated by drunkenness and sleep, did not remember that he had lost his wife, but he thought she was present.</w:t>
      </w:r>
      <w:r w:rsidR="003D56BA">
        <w:rPr>
          <w:lang w:bidi="he-IL"/>
        </w:rPr>
        <w:t>”</w:t>
      </w:r>
      <w:r w:rsidR="00072C7C" w:rsidRPr="00072C7C">
        <w:rPr>
          <w:vertAlign w:val="superscript"/>
          <w:lang w:bidi="he-IL"/>
        </w:rPr>
        <w:footnoteReference w:id="482"/>
      </w:r>
      <w:r w:rsidR="00072C7C" w:rsidRPr="00072C7C">
        <w:rPr>
          <w:lang w:bidi="he-IL"/>
        </w:rPr>
        <w:t xml:space="preserve"> </w:t>
      </w:r>
      <w:r w:rsidR="00CE19CF" w:rsidRPr="00CE19CF">
        <w:rPr>
          <w:lang w:bidi="he-IL"/>
        </w:rPr>
        <w:t>Having been set on the way by God’s promise through being part of the family of his uncle Abraham (Gen 12), he first turned aside from this association (Gen 13), then needed</w:t>
      </w:r>
      <w:r w:rsidR="009F5D47">
        <w:rPr>
          <w:lang w:bidi="he-IL"/>
        </w:rPr>
        <w:t xml:space="preserve"> rescuing by him (Gen 14):</w:t>
      </w:r>
      <w:r w:rsidR="001C78C8">
        <w:rPr>
          <w:lang w:bidi="he-IL"/>
        </w:rPr>
        <w:t xml:space="preserve"> h</w:t>
      </w:r>
      <w:r w:rsidR="00CE19CF" w:rsidRPr="00CE19CF">
        <w:rPr>
          <w:lang w:bidi="he-IL"/>
        </w:rPr>
        <w:t xml:space="preserve">as </w:t>
      </w:r>
      <w:r w:rsidR="001C78C8">
        <w:rPr>
          <w:lang w:bidi="he-IL"/>
        </w:rPr>
        <w:t xml:space="preserve">he </w:t>
      </w:r>
      <w:r w:rsidR="00CE19CF" w:rsidRPr="00CE19CF">
        <w:rPr>
          <w:lang w:bidi="he-IL"/>
        </w:rPr>
        <w:t xml:space="preserve">now </w:t>
      </w:r>
      <w:r w:rsidR="003D56BA">
        <w:rPr>
          <w:lang w:bidi="he-IL"/>
        </w:rPr>
        <w:t>“</w:t>
      </w:r>
      <w:r w:rsidR="00CE19CF" w:rsidRPr="00CE19CF">
        <w:rPr>
          <w:lang w:bidi="he-IL"/>
        </w:rPr>
        <w:t>finally sli</w:t>
      </w:r>
      <w:r w:rsidR="001C78C8">
        <w:rPr>
          <w:lang w:bidi="he-IL"/>
        </w:rPr>
        <w:t>pped completely from God’s hand</w:t>
      </w:r>
      <w:r w:rsidR="003D56BA">
        <w:rPr>
          <w:lang w:bidi="he-IL"/>
        </w:rPr>
        <w:t>”</w:t>
      </w:r>
      <w:r w:rsidR="001C78C8">
        <w:rPr>
          <w:lang w:bidi="he-IL"/>
        </w:rPr>
        <w:t>?</w:t>
      </w:r>
      <w:r w:rsidR="00CE19CF" w:rsidRPr="00CE19CF">
        <w:rPr>
          <w:lang w:bidi="he-IL"/>
        </w:rPr>
        <w:t xml:space="preserve"> But Genesis recounts the story with sympathy for a man who was not so much wicked as foolish.</w:t>
      </w:r>
      <w:r w:rsidR="00CE19CF" w:rsidRPr="00CE19CF">
        <w:rPr>
          <w:vertAlign w:val="superscript"/>
          <w:lang w:bidi="he-IL"/>
        </w:rPr>
        <w:footnoteReference w:id="483"/>
      </w:r>
      <w:r w:rsidR="009F52D9">
        <w:rPr>
          <w:lang w:bidi="he-IL"/>
        </w:rPr>
        <w:t xml:space="preserve"> </w:t>
      </w:r>
    </w:p>
    <w:p w14:paraId="73B5F439" w14:textId="75F0411B" w:rsidR="00072C7C" w:rsidRPr="001C78C8" w:rsidRDefault="00C1102D" w:rsidP="001D6C26">
      <w:pPr>
        <w:rPr>
          <w:lang w:bidi="he-IL"/>
        </w:rPr>
      </w:pPr>
      <w:r>
        <w:rPr>
          <w:lang w:bidi="he-IL"/>
        </w:rPr>
        <w:t>Compared with their father, his daug</w:t>
      </w:r>
      <w:r w:rsidR="00072C7C">
        <w:rPr>
          <w:lang w:bidi="he-IL"/>
        </w:rPr>
        <w:t xml:space="preserve">hters </w:t>
      </w:r>
      <w:r w:rsidR="004F1882">
        <w:rPr>
          <w:lang w:bidi="he-IL"/>
        </w:rPr>
        <w:t>are clear-thinking,</w:t>
      </w:r>
      <w:r>
        <w:rPr>
          <w:lang w:bidi="he-IL"/>
        </w:rPr>
        <w:t xml:space="preserve"> purposeful, </w:t>
      </w:r>
      <w:r w:rsidR="004F1882">
        <w:rPr>
          <w:lang w:bidi="he-IL"/>
        </w:rPr>
        <w:t xml:space="preserve">and resourceful (where did they get the wine from?), </w:t>
      </w:r>
      <w:r>
        <w:rPr>
          <w:lang w:bidi="he-IL"/>
        </w:rPr>
        <w:t>even if equally misguided.</w:t>
      </w:r>
      <w:r w:rsidR="00727890">
        <w:rPr>
          <w:lang w:bidi="he-IL"/>
        </w:rPr>
        <w:t xml:space="preserve"> </w:t>
      </w:r>
      <w:r w:rsidR="001C78C8" w:rsidRPr="001C78C8">
        <w:rPr>
          <w:bCs/>
          <w:lang w:bidi="he-IL"/>
        </w:rPr>
        <w:t>“The narrator presents both sisters as acting out of desperation, indicating that neither should be judged too harshly.”</w:t>
      </w:r>
      <w:r w:rsidR="001C78C8" w:rsidRPr="001C78C8">
        <w:rPr>
          <w:bCs/>
          <w:vertAlign w:val="superscript"/>
          <w:lang w:bidi="he-IL"/>
        </w:rPr>
        <w:footnoteReference w:id="484"/>
      </w:r>
      <w:r w:rsidR="001C78C8">
        <w:rPr>
          <w:lang w:bidi="he-IL"/>
        </w:rPr>
        <w:t xml:space="preserve"> Their</w:t>
      </w:r>
      <w:r w:rsidR="00413861">
        <w:rPr>
          <w:lang w:bidi="he-IL"/>
        </w:rPr>
        <w:t xml:space="preserve"> position </w:t>
      </w:r>
      <w:r w:rsidR="001C78C8">
        <w:rPr>
          <w:lang w:bidi="he-IL"/>
        </w:rPr>
        <w:t>somewhat resembles</w:t>
      </w:r>
      <w:r w:rsidR="00B33CCC">
        <w:rPr>
          <w:lang w:bidi="he-IL"/>
        </w:rPr>
        <w:t xml:space="preserve"> Sarah</w:t>
      </w:r>
      <w:r w:rsidR="001C78C8">
        <w:rPr>
          <w:lang w:bidi="he-IL"/>
        </w:rPr>
        <w:t>’s</w:t>
      </w:r>
      <w:r w:rsidR="00B33CCC">
        <w:rPr>
          <w:lang w:bidi="he-IL"/>
        </w:rPr>
        <w:t xml:space="preserve"> in Gen 16 or Rachel</w:t>
      </w:r>
      <w:r w:rsidR="001C78C8">
        <w:rPr>
          <w:lang w:bidi="he-IL"/>
        </w:rPr>
        <w:t>’s</w:t>
      </w:r>
      <w:r w:rsidR="00B33CCC">
        <w:rPr>
          <w:lang w:bidi="he-IL"/>
        </w:rPr>
        <w:t xml:space="preserve"> in G</w:t>
      </w:r>
      <w:r w:rsidR="00413861">
        <w:rPr>
          <w:lang w:bidi="he-IL"/>
        </w:rPr>
        <w:t>e</w:t>
      </w:r>
      <w:r w:rsidR="00B33CCC">
        <w:rPr>
          <w:lang w:bidi="he-IL"/>
        </w:rPr>
        <w:t>n</w:t>
      </w:r>
      <w:r w:rsidR="00413861">
        <w:rPr>
          <w:lang w:bidi="he-IL"/>
        </w:rPr>
        <w:t xml:space="preserve"> 30 </w:t>
      </w:r>
      <w:r w:rsidR="00B33CCC">
        <w:rPr>
          <w:lang w:bidi="he-IL"/>
        </w:rPr>
        <w:t>or Tamar</w:t>
      </w:r>
      <w:r w:rsidR="001C78C8">
        <w:rPr>
          <w:lang w:bidi="he-IL"/>
        </w:rPr>
        <w:t>’s</w:t>
      </w:r>
      <w:r w:rsidR="00B33CCC">
        <w:rPr>
          <w:lang w:bidi="he-IL"/>
        </w:rPr>
        <w:t xml:space="preserve"> in Gen 38. Desperate circumstances require desperate measures. </w:t>
      </w:r>
      <w:r w:rsidR="00072C7C">
        <w:rPr>
          <w:lang w:bidi="he-IL"/>
        </w:rPr>
        <w:t>T</w:t>
      </w:r>
      <w:r w:rsidR="00072C7C" w:rsidRPr="00072C7C">
        <w:rPr>
          <w:lang w:bidi="he-IL"/>
        </w:rPr>
        <w:t>heir father will not live forever (though he is presumably quite a bit younger than his uncle Abraham) and they are going</w:t>
      </w:r>
      <w:r w:rsidR="00072C7C">
        <w:rPr>
          <w:lang w:bidi="he-IL"/>
        </w:rPr>
        <w:t xml:space="preserve"> to be on their own</w:t>
      </w:r>
      <w:r w:rsidR="00072C7C" w:rsidRPr="00072C7C">
        <w:rPr>
          <w:lang w:bidi="he-IL"/>
        </w:rPr>
        <w:t xml:space="preserve">. </w:t>
      </w:r>
      <w:r w:rsidR="00163AC2">
        <w:rPr>
          <w:lang w:bidi="he-IL"/>
        </w:rPr>
        <w:t xml:space="preserve">They make a moral choice, </w:t>
      </w:r>
      <w:r w:rsidR="003D56BA">
        <w:rPr>
          <w:lang w:bidi="he-IL"/>
        </w:rPr>
        <w:t>“</w:t>
      </w:r>
      <w:r w:rsidR="00163AC2">
        <w:rPr>
          <w:lang w:bidi="he-IL"/>
        </w:rPr>
        <w:t>opting for the family’s survival over its honor.</w:t>
      </w:r>
      <w:r w:rsidR="003D56BA">
        <w:rPr>
          <w:lang w:bidi="he-IL"/>
        </w:rPr>
        <w:t>”</w:t>
      </w:r>
      <w:r w:rsidR="00163AC2">
        <w:rPr>
          <w:rStyle w:val="FootnoteReference"/>
          <w:lang w:bidi="he-IL"/>
        </w:rPr>
        <w:footnoteReference w:id="485"/>
      </w:r>
      <w:r w:rsidR="00163AC2">
        <w:rPr>
          <w:lang w:bidi="he-IL"/>
        </w:rPr>
        <w:t xml:space="preserve"> </w:t>
      </w:r>
      <w:r w:rsidR="005B700D">
        <w:rPr>
          <w:lang w:bidi="he-IL"/>
        </w:rPr>
        <w:t>In what sens</w:t>
      </w:r>
      <w:r w:rsidR="004B53C9">
        <w:rPr>
          <w:lang w:bidi="he-IL"/>
        </w:rPr>
        <w:t xml:space="preserve">e are there no potential </w:t>
      </w:r>
      <w:r w:rsidR="001C78C8">
        <w:rPr>
          <w:lang w:bidi="he-IL"/>
        </w:rPr>
        <w:t>partners to</w:t>
      </w:r>
      <w:r w:rsidR="004B53C9">
        <w:rPr>
          <w:lang w:bidi="he-IL"/>
        </w:rPr>
        <w:t xml:space="preserve"> have sex with them in the way the world regularly does</w:t>
      </w:r>
      <w:r w:rsidR="005B700D">
        <w:rPr>
          <w:lang w:bidi="he-IL"/>
        </w:rPr>
        <w:t>? Are they thinking of the world within their reach—is the comment ano</w:t>
      </w:r>
      <w:r w:rsidR="001C78C8">
        <w:rPr>
          <w:lang w:bidi="he-IL"/>
        </w:rPr>
        <w:t xml:space="preserve">ther observation on the </w:t>
      </w:r>
      <w:r w:rsidR="005B700D">
        <w:rPr>
          <w:lang w:bidi="he-IL"/>
        </w:rPr>
        <w:t xml:space="preserve">people who live in places like </w:t>
      </w:r>
      <w:r w:rsidR="005B700D" w:rsidRPr="005B700D">
        <w:rPr>
          <w:lang w:bidi="he-IL"/>
        </w:rPr>
        <w:t>Zo‘ar</w:t>
      </w:r>
      <w:r w:rsidR="004B53C9">
        <w:rPr>
          <w:lang w:bidi="he-IL"/>
        </w:rPr>
        <w:t xml:space="preserve">? </w:t>
      </w:r>
      <w:r w:rsidR="00072C7C">
        <w:rPr>
          <w:lang w:bidi="he-IL"/>
        </w:rPr>
        <w:t xml:space="preserve">Do they suspect that </w:t>
      </w:r>
      <w:r w:rsidR="00072C7C" w:rsidRPr="00072C7C">
        <w:rPr>
          <w:lang w:bidi="he-IL"/>
        </w:rPr>
        <w:t>the catastrophe has ove</w:t>
      </w:r>
      <w:r w:rsidR="00072C7C">
        <w:rPr>
          <w:lang w:bidi="he-IL"/>
        </w:rPr>
        <w:t>rwhelmed the entire human world?</w:t>
      </w:r>
      <w:r w:rsidR="00D65833">
        <w:rPr>
          <w:rStyle w:val="FootnoteReference"/>
          <w:lang w:bidi="he-IL"/>
        </w:rPr>
        <w:footnoteReference w:id="486"/>
      </w:r>
      <w:r w:rsidR="00072C7C" w:rsidRPr="00072C7C">
        <w:rPr>
          <w:lang w:bidi="he-IL"/>
        </w:rPr>
        <w:t xml:space="preserve"> </w:t>
      </w:r>
      <w:r w:rsidR="00072C7C">
        <w:rPr>
          <w:lang w:bidi="he-IL"/>
        </w:rPr>
        <w:t>Anyway, t</w:t>
      </w:r>
      <w:r w:rsidR="00A7183C">
        <w:rPr>
          <w:lang w:bidi="he-IL"/>
        </w:rPr>
        <w:t xml:space="preserve">hey have </w:t>
      </w:r>
      <w:r w:rsidR="00072C7C">
        <w:rPr>
          <w:lang w:bidi="he-IL"/>
        </w:rPr>
        <w:t>seen their home town destroyed, t</w:t>
      </w:r>
      <w:r w:rsidR="00A7183C">
        <w:rPr>
          <w:lang w:bidi="he-IL"/>
        </w:rPr>
        <w:t>he destruction has embraced their elder sisters and their husbands (or th</w:t>
      </w:r>
      <w:r w:rsidR="00072C7C">
        <w:rPr>
          <w:lang w:bidi="he-IL"/>
        </w:rPr>
        <w:t>eir own prospective husbands), t</w:t>
      </w:r>
      <w:r w:rsidR="00A7183C">
        <w:rPr>
          <w:lang w:bidi="he-IL"/>
        </w:rPr>
        <w:t>hey h</w:t>
      </w:r>
      <w:r w:rsidR="00072C7C">
        <w:rPr>
          <w:lang w:bidi="he-IL"/>
        </w:rPr>
        <w:t>ave seen their mother die, and t</w:t>
      </w:r>
      <w:r w:rsidR="00383726">
        <w:rPr>
          <w:lang w:bidi="he-IL"/>
        </w:rPr>
        <w:t xml:space="preserve">heir father has contracted out of life, like Jonah sleeping in the depths of the boat. </w:t>
      </w:r>
      <w:r w:rsidR="00383726" w:rsidRPr="00383726">
        <w:rPr>
          <w:lang w:bidi="he-IL"/>
        </w:rPr>
        <w:t xml:space="preserve">Perhaps </w:t>
      </w:r>
      <w:r w:rsidR="003D56BA">
        <w:rPr>
          <w:lang w:bidi="he-IL"/>
        </w:rPr>
        <w:t>“</w:t>
      </w:r>
      <w:r w:rsidR="00383726" w:rsidRPr="00383726">
        <w:rPr>
          <w:rFonts w:eastAsia="Times New Roman" w:cs="Times New Roman"/>
        </w:rPr>
        <w:t xml:space="preserve">the incest of these women </w:t>
      </w:r>
      <w:r w:rsidR="00383726">
        <w:rPr>
          <w:rFonts w:eastAsia="Times New Roman" w:cs="Times New Roman"/>
        </w:rPr>
        <w:t xml:space="preserve">[might] </w:t>
      </w:r>
      <w:r w:rsidR="00383726" w:rsidRPr="00383726">
        <w:rPr>
          <w:rFonts w:eastAsia="Times New Roman" w:cs="Times New Roman"/>
        </w:rPr>
        <w:t>be purer than the chastity of many women.</w:t>
      </w:r>
      <w:r w:rsidR="003D56BA">
        <w:rPr>
          <w:rFonts w:eastAsia="Times New Roman" w:cs="Times New Roman"/>
        </w:rPr>
        <w:t>”</w:t>
      </w:r>
      <w:r w:rsidR="00383726" w:rsidRPr="00383726">
        <w:rPr>
          <w:rFonts w:eastAsia="Times New Roman" w:cs="Times New Roman"/>
          <w:vertAlign w:val="superscript"/>
        </w:rPr>
        <w:footnoteReference w:id="487"/>
      </w:r>
    </w:p>
    <w:p w14:paraId="266723BF" w14:textId="16FFC0E8" w:rsidR="00AE3EE4" w:rsidRPr="00AE3EE4" w:rsidRDefault="00072C7C" w:rsidP="00AE3EE4">
      <w:pPr>
        <w:rPr>
          <w:lang w:bidi="he-IL"/>
        </w:rPr>
      </w:pPr>
      <w:r>
        <w:rPr>
          <w:lang w:bidi="he-IL"/>
        </w:rPr>
        <w:t xml:space="preserve">In light of where the story ends (vv. 36-38), </w:t>
      </w:r>
      <w:r w:rsidR="001C78C8">
        <w:rPr>
          <w:lang w:bidi="he-IL"/>
        </w:rPr>
        <w:t>it might bring a smirk to the audience’s</w:t>
      </w:r>
      <w:r>
        <w:rPr>
          <w:lang w:bidi="he-IL"/>
        </w:rPr>
        <w:t xml:space="preserve"> faces</w:t>
      </w:r>
      <w:r w:rsidR="004B53C9">
        <w:rPr>
          <w:lang w:bidi="he-IL"/>
        </w:rPr>
        <w:t xml:space="preserve">. </w:t>
      </w:r>
      <w:r w:rsidR="001C78C8">
        <w:rPr>
          <w:lang w:bidi="he-IL"/>
        </w:rPr>
        <w:t>“</w:t>
      </w:r>
      <w:r w:rsidR="004B53C9">
        <w:rPr>
          <w:lang w:bidi="he-IL"/>
        </w:rPr>
        <w:t>You know th</w:t>
      </w:r>
      <w:r w:rsidR="008D3011">
        <w:rPr>
          <w:lang w:bidi="he-IL"/>
        </w:rPr>
        <w:t xml:space="preserve">ose Moabites and </w:t>
      </w:r>
      <w:r w:rsidR="004B53C9">
        <w:rPr>
          <w:lang w:bidi="he-IL"/>
        </w:rPr>
        <w:t>Ammonites</w:t>
      </w:r>
      <w:r w:rsidR="008D3011">
        <w:rPr>
          <w:lang w:bidi="he-IL"/>
        </w:rPr>
        <w:t xml:space="preserve"> [</w:t>
      </w:r>
      <w:r w:rsidR="00CE19CF">
        <w:rPr>
          <w:lang w:bidi="he-IL"/>
        </w:rPr>
        <w:t>who did not appear in Gen 10)</w:t>
      </w:r>
      <w:r w:rsidR="008D3011">
        <w:rPr>
          <w:lang w:bidi="he-IL"/>
        </w:rPr>
        <w:t>]? Let me tell you</w:t>
      </w:r>
      <w:r w:rsidR="004B53C9">
        <w:rPr>
          <w:lang w:bidi="he-IL"/>
        </w:rPr>
        <w:t xml:space="preserve"> where they came from!</w:t>
      </w:r>
      <w:r w:rsidR="001C78C8">
        <w:rPr>
          <w:lang w:bidi="he-IL"/>
        </w:rPr>
        <w:t>”</w:t>
      </w:r>
      <w:r>
        <w:rPr>
          <w:lang w:bidi="he-IL"/>
        </w:rPr>
        <w:t xml:space="preserve"> </w:t>
      </w:r>
      <w:r w:rsidR="008D3011">
        <w:rPr>
          <w:lang w:bidi="he-IL"/>
        </w:rPr>
        <w:t>While t</w:t>
      </w:r>
      <w:r w:rsidR="001C78C8">
        <w:rPr>
          <w:lang w:bidi="he-IL"/>
        </w:rPr>
        <w:t xml:space="preserve">he audience might well find their scheme </w:t>
      </w:r>
      <w:r w:rsidR="008D3011">
        <w:rPr>
          <w:lang w:bidi="he-IL"/>
        </w:rPr>
        <w:t>obnoxious,</w:t>
      </w:r>
      <w:r w:rsidR="00CE19CF">
        <w:rPr>
          <w:lang w:bidi="he-IL"/>
        </w:rPr>
        <w:t xml:space="preserve"> it is also </w:t>
      </w:r>
      <w:r w:rsidR="00D27DA1">
        <w:rPr>
          <w:lang w:bidi="he-IL"/>
        </w:rPr>
        <w:t xml:space="preserve">a way Abraham becomes the </w:t>
      </w:r>
      <w:r w:rsidR="003D56BA">
        <w:rPr>
          <w:lang w:bidi="he-IL"/>
        </w:rPr>
        <w:t>“</w:t>
      </w:r>
      <w:r w:rsidR="00D27DA1">
        <w:rPr>
          <w:lang w:bidi="he-IL"/>
        </w:rPr>
        <w:t>father</w:t>
      </w:r>
      <w:r w:rsidR="003D56BA">
        <w:rPr>
          <w:lang w:bidi="he-IL"/>
        </w:rPr>
        <w:t>”</w:t>
      </w:r>
      <w:r w:rsidR="00D27DA1">
        <w:rPr>
          <w:lang w:bidi="he-IL"/>
        </w:rPr>
        <w:t xml:space="preserve"> of many nations.</w:t>
      </w:r>
      <w:r w:rsidR="00D27DA1" w:rsidRPr="00D27DA1">
        <w:rPr>
          <w:vertAlign w:val="superscript"/>
          <w:lang w:bidi="he-IL"/>
        </w:rPr>
        <w:footnoteReference w:id="488"/>
      </w:r>
      <w:r w:rsidR="003A5D59">
        <w:rPr>
          <w:lang w:bidi="he-IL"/>
        </w:rPr>
        <w:t xml:space="preserve"> </w:t>
      </w:r>
      <w:r w:rsidR="008D3011">
        <w:rPr>
          <w:lang w:bidi="he-IL"/>
        </w:rPr>
        <w:t xml:space="preserve">And </w:t>
      </w:r>
      <w:r w:rsidR="003A5D59">
        <w:rPr>
          <w:lang w:bidi="he-IL"/>
        </w:rPr>
        <w:t>Yahweh will give land to both the</w:t>
      </w:r>
      <w:r w:rsidR="008D3011">
        <w:rPr>
          <w:lang w:bidi="he-IL"/>
        </w:rPr>
        <w:t>se</w:t>
      </w:r>
      <w:r w:rsidR="003A5D59">
        <w:rPr>
          <w:lang w:bidi="he-IL"/>
        </w:rPr>
        <w:t xml:space="preserve"> nations that descend from Lot and will protect them from the Israelites (Deut 2:9, 19).</w:t>
      </w:r>
      <w:r w:rsidR="003A5D59">
        <w:rPr>
          <w:rStyle w:val="FootnoteReference"/>
          <w:lang w:bidi="he-IL"/>
        </w:rPr>
        <w:footnoteReference w:id="489"/>
      </w:r>
      <w:r w:rsidR="001C78C8">
        <w:rPr>
          <w:lang w:bidi="he-IL"/>
        </w:rPr>
        <w:t xml:space="preserve"> </w:t>
      </w:r>
      <w:r w:rsidR="00AE3EE4" w:rsidRPr="00AE3EE4">
        <w:rPr>
          <w:lang w:bidi="he-IL"/>
        </w:rPr>
        <w:t>“Vv. 30-38 hardl</w:t>
      </w:r>
      <w:r w:rsidR="008D3011">
        <w:rPr>
          <w:lang w:bidi="he-IL"/>
        </w:rPr>
        <w:t xml:space="preserve">y offer themselves </w:t>
      </w:r>
      <w:r w:rsidR="008D3011">
        <w:rPr>
          <w:lang w:bidi="he-IL"/>
        </w:rPr>
        <w:lastRenderedPageBreak/>
        <w:t>as a kerygma”; t</w:t>
      </w:r>
      <w:r w:rsidR="00AE3EE4" w:rsidRPr="00AE3EE4">
        <w:rPr>
          <w:lang w:bidi="he-IL"/>
        </w:rPr>
        <w:t xml:space="preserve">hey are folk material. </w:t>
      </w:r>
      <w:r w:rsidR="00AE3EE4" w:rsidRPr="00AE3EE4">
        <w:rPr>
          <w:vertAlign w:val="superscript"/>
          <w:lang w:bidi="he-IL"/>
        </w:rPr>
        <w:footnoteReference w:id="490"/>
      </w:r>
      <w:r w:rsidR="00AE3EE4" w:rsidRPr="00AE3EE4">
        <w:rPr>
          <w:lang w:bidi="he-IL"/>
        </w:rPr>
        <w:t xml:space="preserve"> But the Scriptures make every excuse for the two women and for Lot. So given that we are sinners, we should resist the temptation to condemn them.</w:t>
      </w:r>
      <w:r w:rsidR="00AE3EE4" w:rsidRPr="00AE3EE4">
        <w:rPr>
          <w:vertAlign w:val="superscript"/>
          <w:lang w:bidi="he-IL"/>
        </w:rPr>
        <w:footnoteReference w:id="491"/>
      </w:r>
      <w:r w:rsidR="00EA37E2">
        <w:rPr>
          <w:lang w:bidi="he-IL"/>
        </w:rPr>
        <w:t xml:space="preserve"> And shall we not marvel that the</w:t>
      </w:r>
      <w:r w:rsidR="008D3011">
        <w:rPr>
          <w:lang w:bidi="he-IL"/>
        </w:rPr>
        <w:t>se daughters of a mother</w:t>
      </w:r>
      <w:r w:rsidR="00EA37E2">
        <w:rPr>
          <w:lang w:bidi="he-IL"/>
        </w:rPr>
        <w:t xml:space="preserve"> who understandably gave in to her hopelessness, “these intrepid women, were able to survive, to live on, to become the mothers of great nations?”</w:t>
      </w:r>
      <w:r w:rsidR="00EA37E2">
        <w:rPr>
          <w:rStyle w:val="FootnoteReference"/>
          <w:lang w:bidi="he-IL"/>
        </w:rPr>
        <w:footnoteReference w:id="492"/>
      </w:r>
    </w:p>
    <w:p w14:paraId="085B84DA" w14:textId="77777777" w:rsidR="0053623B" w:rsidRDefault="00DF1492" w:rsidP="0053623B">
      <w:pPr>
        <w:pStyle w:val="Heading2"/>
        <w:rPr>
          <w:lang w:bidi="he-IL"/>
        </w:rPr>
      </w:pPr>
      <w:r>
        <w:rPr>
          <w:lang w:bidi="he-IL"/>
        </w:rPr>
        <w:t>Th</w:t>
      </w:r>
      <w:r w:rsidR="0079152A">
        <w:rPr>
          <w:lang w:bidi="he-IL"/>
        </w:rPr>
        <w:t>re</w:t>
      </w:r>
      <w:r>
        <w:rPr>
          <w:lang w:bidi="he-IL"/>
        </w:rPr>
        <w:t>e Persons, One God?</w:t>
      </w:r>
    </w:p>
    <w:p w14:paraId="3A0453B9" w14:textId="1EFE5154" w:rsidR="0032172C" w:rsidRDefault="00DF1492" w:rsidP="00AE3EE4">
      <w:pPr>
        <w:rPr>
          <w:lang w:bidi="he-IL"/>
        </w:rPr>
      </w:pPr>
      <w:r>
        <w:rPr>
          <w:lang w:bidi="he-IL"/>
        </w:rPr>
        <w:t>F</w:t>
      </w:r>
      <w:r w:rsidR="00DF2172">
        <w:rPr>
          <w:lang w:bidi="he-IL"/>
        </w:rPr>
        <w:t xml:space="preserve">rom time to time </w:t>
      </w:r>
      <w:r>
        <w:rPr>
          <w:lang w:bidi="he-IL"/>
        </w:rPr>
        <w:t xml:space="preserve">God </w:t>
      </w:r>
      <w:r w:rsidR="003D56BA">
        <w:rPr>
          <w:lang w:bidi="he-IL"/>
        </w:rPr>
        <w:t>“</w:t>
      </w:r>
      <w:r w:rsidR="00DF2172">
        <w:rPr>
          <w:lang w:bidi="he-IL"/>
        </w:rPr>
        <w:t>appear</w:t>
      </w:r>
      <w:r>
        <w:rPr>
          <w:lang w:bidi="he-IL"/>
        </w:rPr>
        <w:t>s</w:t>
      </w:r>
      <w:r w:rsidR="003D56BA">
        <w:rPr>
          <w:lang w:bidi="he-IL"/>
        </w:rPr>
        <w:t>”</w:t>
      </w:r>
      <w:r w:rsidR="00DF2172">
        <w:rPr>
          <w:lang w:bidi="he-IL"/>
        </w:rPr>
        <w:t xml:space="preserve"> in the world in human</w:t>
      </w:r>
      <w:r>
        <w:rPr>
          <w:lang w:bidi="he-IL"/>
        </w:rPr>
        <w:t xml:space="preserve"> form.</w:t>
      </w:r>
      <w:r w:rsidR="00CE19CF">
        <w:rPr>
          <w:lang w:bidi="he-IL"/>
        </w:rPr>
        <w:t xml:space="preserve"> S</w:t>
      </w:r>
      <w:r w:rsidR="00DF2172">
        <w:rPr>
          <w:lang w:bidi="he-IL"/>
        </w:rPr>
        <w:t xml:space="preserve">o far in </w:t>
      </w:r>
      <w:r>
        <w:rPr>
          <w:lang w:bidi="he-IL"/>
        </w:rPr>
        <w:t>Genesis,</w:t>
      </w:r>
      <w:r w:rsidR="00000F00">
        <w:rPr>
          <w:lang w:bidi="he-IL"/>
        </w:rPr>
        <w:t xml:space="preserve"> God </w:t>
      </w:r>
      <w:r>
        <w:rPr>
          <w:lang w:bidi="he-IL"/>
        </w:rPr>
        <w:t>has appeared</w:t>
      </w:r>
      <w:r w:rsidR="00000F00">
        <w:rPr>
          <w:lang w:bidi="he-IL"/>
        </w:rPr>
        <w:t xml:space="preserve"> </w:t>
      </w:r>
      <w:r w:rsidR="008D3011">
        <w:rPr>
          <w:lang w:bidi="he-IL"/>
        </w:rPr>
        <w:t xml:space="preserve">in order </w:t>
      </w:r>
      <w:r w:rsidR="00000F00">
        <w:rPr>
          <w:lang w:bidi="he-IL"/>
        </w:rPr>
        <w:t xml:space="preserve">to give extra force to commitments and promises he makes to Abraham (12:7; 17:1; and the </w:t>
      </w:r>
      <w:r w:rsidR="003D56BA">
        <w:rPr>
          <w:lang w:bidi="he-IL"/>
        </w:rPr>
        <w:t>“</w:t>
      </w:r>
      <w:r w:rsidR="00000F00">
        <w:rPr>
          <w:lang w:bidi="he-IL"/>
        </w:rPr>
        <w:t>vision</w:t>
      </w:r>
      <w:r w:rsidR="003D56BA">
        <w:rPr>
          <w:lang w:bidi="he-IL"/>
        </w:rPr>
        <w:t>”</w:t>
      </w:r>
      <w:r w:rsidR="00000F00">
        <w:rPr>
          <w:lang w:bidi="he-IL"/>
        </w:rPr>
        <w:t xml:space="preserve"> in 15:1), and this conside</w:t>
      </w:r>
      <w:r>
        <w:rPr>
          <w:lang w:bidi="he-IL"/>
        </w:rPr>
        <w:t>ration may also be implicit in Gen 18</w:t>
      </w:r>
      <w:r w:rsidR="00000F00">
        <w:rPr>
          <w:lang w:bidi="he-IL"/>
        </w:rPr>
        <w:t xml:space="preserve">. God’s appearing is </w:t>
      </w:r>
      <w:r w:rsidR="008D3011">
        <w:rPr>
          <w:lang w:bidi="he-IL"/>
        </w:rPr>
        <w:t xml:space="preserve">then </w:t>
      </w:r>
      <w:r w:rsidR="00000F00">
        <w:rPr>
          <w:lang w:bidi="he-IL"/>
        </w:rPr>
        <w:t>a gracious and merciful act for th</w:t>
      </w:r>
      <w:r>
        <w:rPr>
          <w:lang w:bidi="he-IL"/>
        </w:rPr>
        <w:t xml:space="preserve">e sake of people. But </w:t>
      </w:r>
      <w:r w:rsidR="00C719C8">
        <w:rPr>
          <w:lang w:bidi="he-IL"/>
        </w:rPr>
        <w:t>t</w:t>
      </w:r>
      <w:r>
        <w:rPr>
          <w:lang w:bidi="he-IL"/>
        </w:rPr>
        <w:t>he explicit reason for God’s appear</w:t>
      </w:r>
      <w:r w:rsidR="00C719C8">
        <w:rPr>
          <w:lang w:bidi="he-IL"/>
        </w:rPr>
        <w:t xml:space="preserve">ing </w:t>
      </w:r>
      <w:r>
        <w:rPr>
          <w:lang w:bidi="he-IL"/>
        </w:rPr>
        <w:t xml:space="preserve">in Gen 18 </w:t>
      </w:r>
      <w:r w:rsidR="00C719C8">
        <w:rPr>
          <w:lang w:bidi="he-IL"/>
        </w:rPr>
        <w:t>is</w:t>
      </w:r>
      <w:r>
        <w:rPr>
          <w:lang w:bidi="he-IL"/>
        </w:rPr>
        <w:t xml:space="preserve"> </w:t>
      </w:r>
      <w:r w:rsidR="00000F00">
        <w:rPr>
          <w:lang w:bidi="he-IL"/>
        </w:rPr>
        <w:t>to check out the situation in the world (</w:t>
      </w:r>
      <w:r w:rsidR="00CE19CF">
        <w:rPr>
          <w:lang w:bidi="he-IL"/>
        </w:rPr>
        <w:t>18:21), as God</w:t>
      </w:r>
      <w:r w:rsidR="00C719C8">
        <w:rPr>
          <w:lang w:bidi="he-IL"/>
        </w:rPr>
        <w:t xml:space="preserve"> had </w:t>
      </w:r>
      <w:r w:rsidR="008D3011">
        <w:rPr>
          <w:lang w:bidi="he-IL"/>
        </w:rPr>
        <w:t xml:space="preserve">in 11:7 </w:t>
      </w:r>
      <w:r w:rsidR="00C719C8">
        <w:rPr>
          <w:lang w:bidi="he-IL"/>
        </w:rPr>
        <w:t xml:space="preserve">(without reference to </w:t>
      </w:r>
      <w:r w:rsidR="003D56BA">
        <w:rPr>
          <w:lang w:bidi="he-IL"/>
        </w:rPr>
        <w:t>“</w:t>
      </w:r>
      <w:r w:rsidR="00C719C8">
        <w:rPr>
          <w:lang w:bidi="he-IL"/>
        </w:rPr>
        <w:t>appea</w:t>
      </w:r>
      <w:r w:rsidR="00CE19CF">
        <w:rPr>
          <w:lang w:bidi="he-IL"/>
        </w:rPr>
        <w:t>ring</w:t>
      </w:r>
      <w:r w:rsidR="003D56BA">
        <w:rPr>
          <w:lang w:bidi="he-IL"/>
        </w:rPr>
        <w:t>”</w:t>
      </w:r>
      <w:r w:rsidR="008D3011">
        <w:rPr>
          <w:lang w:bidi="he-IL"/>
        </w:rPr>
        <w:t>)</w:t>
      </w:r>
      <w:r>
        <w:rPr>
          <w:lang w:bidi="he-IL"/>
        </w:rPr>
        <w:t>. H</w:t>
      </w:r>
      <w:r w:rsidR="00C719C8">
        <w:rPr>
          <w:lang w:bidi="he-IL"/>
        </w:rPr>
        <w:t xml:space="preserve">e </w:t>
      </w:r>
      <w:r>
        <w:rPr>
          <w:lang w:bidi="he-IL"/>
        </w:rPr>
        <w:t xml:space="preserve">is </w:t>
      </w:r>
      <w:r w:rsidR="008D3011">
        <w:rPr>
          <w:lang w:bidi="he-IL"/>
        </w:rPr>
        <w:t xml:space="preserve">here </w:t>
      </w:r>
      <w:r>
        <w:rPr>
          <w:lang w:bidi="he-IL"/>
        </w:rPr>
        <w:t>visiting</w:t>
      </w:r>
      <w:r w:rsidR="00C719C8">
        <w:rPr>
          <w:lang w:bidi="he-IL"/>
        </w:rPr>
        <w:t xml:space="preserve"> the world for his own sake—or for humanity’s sake in the sense that he comes to ensure that he then treats humanity in a fair way. Even if he might know what is happening because he can see from his position in the heaven</w:t>
      </w:r>
      <w:r w:rsidR="00CE19CF">
        <w:rPr>
          <w:lang w:bidi="he-IL"/>
        </w:rPr>
        <w:t>s or because he can send his envoy</w:t>
      </w:r>
      <w:r w:rsidR="00C719C8">
        <w:rPr>
          <w:lang w:bidi="he-IL"/>
        </w:rPr>
        <w:t>s, he comes in person to check things out. He does not rely on remote knowledge; he becomes involved.</w:t>
      </w:r>
      <w:r w:rsidR="001C0C64">
        <w:rPr>
          <w:rStyle w:val="FootnoteReference"/>
          <w:lang w:bidi="he-IL"/>
        </w:rPr>
        <w:footnoteReference w:id="493"/>
      </w:r>
    </w:p>
    <w:p w14:paraId="530CA058" w14:textId="0A960C0E" w:rsidR="00F2646B" w:rsidRDefault="00DF1492" w:rsidP="00AE3EE4">
      <w:pPr>
        <w:rPr>
          <w:lang w:bidi="he-IL"/>
        </w:rPr>
      </w:pPr>
      <w:r>
        <w:rPr>
          <w:lang w:bidi="he-IL"/>
        </w:rPr>
        <w:t>A</w:t>
      </w:r>
      <w:r w:rsidRPr="00DF1492">
        <w:rPr>
          <w:lang w:bidi="he-IL"/>
        </w:rPr>
        <w:t xml:space="preserve">s Luther sees it, </w:t>
      </w:r>
      <w:r>
        <w:rPr>
          <w:lang w:bidi="he-IL"/>
        </w:rPr>
        <w:t>o</w:t>
      </w:r>
      <w:r w:rsidR="00F2646B">
        <w:rPr>
          <w:lang w:bidi="he-IL"/>
        </w:rPr>
        <w:t xml:space="preserve">ne of the advantages of </w:t>
      </w:r>
      <w:r>
        <w:rPr>
          <w:lang w:bidi="he-IL"/>
        </w:rPr>
        <w:t>the account of his appearing in Gen 18</w:t>
      </w:r>
      <w:r w:rsidR="00F2646B">
        <w:rPr>
          <w:lang w:bidi="he-IL"/>
        </w:rPr>
        <w:t xml:space="preserve"> is its </w:t>
      </w:r>
      <w:r w:rsidR="003D56BA">
        <w:rPr>
          <w:lang w:bidi="he-IL"/>
        </w:rPr>
        <w:t>“</w:t>
      </w:r>
      <w:r w:rsidR="00F2646B">
        <w:rPr>
          <w:lang w:bidi="he-IL"/>
        </w:rPr>
        <w:t>unique evidence concerning the Trinity,</w:t>
      </w:r>
      <w:r w:rsidR="003D56BA">
        <w:rPr>
          <w:lang w:bidi="he-IL"/>
        </w:rPr>
        <w:t>”</w:t>
      </w:r>
      <w:r>
        <w:rPr>
          <w:lang w:bidi="he-IL"/>
        </w:rPr>
        <w:t xml:space="preserve"> though</w:t>
      </w:r>
      <w:r w:rsidR="00F2646B">
        <w:rPr>
          <w:lang w:bidi="he-IL"/>
        </w:rPr>
        <w:t xml:space="preserve"> Luther knows that Jewish scholars laugh at this understanding.</w:t>
      </w:r>
      <w:r w:rsidR="00F2646B" w:rsidRPr="00C92DB6">
        <w:rPr>
          <w:vertAlign w:val="superscript"/>
          <w:lang w:bidi="he-IL"/>
        </w:rPr>
        <w:footnoteReference w:id="494"/>
      </w:r>
      <w:r w:rsidR="00F2646B">
        <w:rPr>
          <w:lang w:bidi="he-IL"/>
        </w:rPr>
        <w:t xml:space="preserve"> Ibn Ezra indeed notes that some people say that </w:t>
      </w:r>
      <w:r w:rsidR="003D56BA">
        <w:rPr>
          <w:lang w:bidi="he-IL"/>
        </w:rPr>
        <w:t>“</w:t>
      </w:r>
      <w:r w:rsidR="00F2646B">
        <w:rPr>
          <w:lang w:bidi="he-IL"/>
        </w:rPr>
        <w:t>God is three men: He is one and He is three and they are inseparable,</w:t>
      </w:r>
      <w:r w:rsidR="003D56BA">
        <w:rPr>
          <w:lang w:bidi="he-IL"/>
        </w:rPr>
        <w:t>”</w:t>
      </w:r>
      <w:r w:rsidR="00F2646B">
        <w:rPr>
          <w:lang w:bidi="he-IL"/>
        </w:rPr>
        <w:t xml:space="preserve"> but </w:t>
      </w:r>
      <w:r>
        <w:rPr>
          <w:lang w:bidi="he-IL"/>
        </w:rPr>
        <w:t xml:space="preserve">he </w:t>
      </w:r>
      <w:r w:rsidR="00F2646B">
        <w:rPr>
          <w:lang w:bidi="he-IL"/>
        </w:rPr>
        <w:t xml:space="preserve">observes that this idea does not fit the way the passage talks in terms of God, and then </w:t>
      </w:r>
      <w:r>
        <w:rPr>
          <w:lang w:bidi="he-IL"/>
        </w:rPr>
        <w:t xml:space="preserve">of </w:t>
      </w:r>
      <w:r w:rsidR="00F2646B">
        <w:rPr>
          <w:lang w:bidi="he-IL"/>
        </w:rPr>
        <w:t>three angels one of whom brings the message to Sarah while the other two go off to destroy Sodom and to save Lot.</w:t>
      </w:r>
      <w:r w:rsidR="00F2646B">
        <w:rPr>
          <w:rStyle w:val="FootnoteReference"/>
          <w:lang w:bidi="he-IL"/>
        </w:rPr>
        <w:footnoteReference w:id="495"/>
      </w:r>
      <w:r w:rsidR="00F2646B">
        <w:rPr>
          <w:lang w:bidi="he-IL"/>
        </w:rPr>
        <w:t xml:space="preserve"> Augustine </w:t>
      </w:r>
      <w:r>
        <w:rPr>
          <w:lang w:bidi="he-IL"/>
        </w:rPr>
        <w:t xml:space="preserve">also </w:t>
      </w:r>
      <w:r w:rsidR="00F2646B">
        <w:rPr>
          <w:lang w:bidi="he-IL"/>
        </w:rPr>
        <w:t xml:space="preserve">argues from the alternating of the references to the persons that the three are angels (as Heb 13:2 implies) even though God was in all three and </w:t>
      </w:r>
      <w:r>
        <w:rPr>
          <w:lang w:bidi="he-IL"/>
        </w:rPr>
        <w:t xml:space="preserve">was </w:t>
      </w:r>
      <w:r w:rsidR="00F2646B">
        <w:rPr>
          <w:lang w:bidi="he-IL"/>
        </w:rPr>
        <w:t>working through them in a remarkable way.</w:t>
      </w:r>
      <w:r w:rsidR="00F2646B">
        <w:rPr>
          <w:rStyle w:val="FootnoteReference"/>
          <w:lang w:bidi="he-IL"/>
        </w:rPr>
        <w:footnoteReference w:id="496"/>
      </w:r>
      <w:r w:rsidR="009F5D47">
        <w:rPr>
          <w:lang w:bidi="he-IL"/>
        </w:rPr>
        <w:t xml:space="preserve"> </w:t>
      </w:r>
      <w:r w:rsidR="00F2646B">
        <w:rPr>
          <w:lang w:bidi="he-IL"/>
        </w:rPr>
        <w:t>Luther in the end grants that</w:t>
      </w:r>
      <w:r w:rsidR="009F5D47">
        <w:rPr>
          <w:lang w:bidi="he-IL"/>
        </w:rPr>
        <w:t>,</w:t>
      </w:r>
      <w:r w:rsidR="00F2646B">
        <w:rPr>
          <w:lang w:bidi="he-IL"/>
        </w:rPr>
        <w:t xml:space="preserve"> historically understood</w:t>
      </w:r>
      <w:r w:rsidR="009F5D47">
        <w:rPr>
          <w:lang w:bidi="he-IL"/>
        </w:rPr>
        <w:t>,</w:t>
      </w:r>
      <w:r w:rsidR="00F2646B">
        <w:rPr>
          <w:lang w:bidi="he-IL"/>
        </w:rPr>
        <w:t xml:space="preserve"> the passage does not refer to the Trinity, but that an exposition along these lines may nevertheless be edifying. It adorns rather than proves.</w:t>
      </w:r>
      <w:r w:rsidR="00F2646B">
        <w:rPr>
          <w:rStyle w:val="FootnoteReference"/>
          <w:lang w:bidi="he-IL"/>
        </w:rPr>
        <w:footnoteReference w:id="497"/>
      </w:r>
    </w:p>
    <w:p w14:paraId="26703C64" w14:textId="2F7B2B32" w:rsidR="00817701" w:rsidRPr="00817701" w:rsidRDefault="00F2646B" w:rsidP="00817701">
      <w:pPr>
        <w:rPr>
          <w:lang w:bidi="he-IL"/>
        </w:rPr>
      </w:pPr>
      <w:r>
        <w:rPr>
          <w:lang w:bidi="he-IL"/>
        </w:rPr>
        <w:t xml:space="preserve">Such approaches to understanding the three visitors are instructive in the way they do not provide satisfying answers. They point us in a different direction with regard to the significance of the portrait of them. </w:t>
      </w:r>
      <w:r w:rsidR="00C719C8">
        <w:rPr>
          <w:lang w:bidi="he-IL"/>
        </w:rPr>
        <w:t>How does God so appear in the world in human form? In o</w:t>
      </w:r>
      <w:r w:rsidR="00CE19CF">
        <w:rPr>
          <w:lang w:bidi="he-IL"/>
        </w:rPr>
        <w:t>ne sense it is a quite an easy</w:t>
      </w:r>
      <w:r w:rsidR="00C719C8">
        <w:rPr>
          <w:lang w:bidi="he-IL"/>
        </w:rPr>
        <w:t xml:space="preserve"> thing; he m</w:t>
      </w:r>
      <w:r w:rsidR="00CE19CF">
        <w:rPr>
          <w:lang w:bidi="he-IL"/>
        </w:rPr>
        <w:t>ade humanity in his image, so appearing in human form</w:t>
      </w:r>
      <w:r w:rsidR="00C719C8">
        <w:rPr>
          <w:lang w:bidi="he-IL"/>
        </w:rPr>
        <w:t xml:space="preserve"> is not so complicated. </w:t>
      </w:r>
      <w:r w:rsidR="00817701" w:rsidRPr="00817701">
        <w:rPr>
          <w:lang w:bidi="he-IL"/>
        </w:rPr>
        <w:t xml:space="preserve">The appearing of God as an </w:t>
      </w:r>
      <w:r w:rsidR="00817701" w:rsidRPr="00817701">
        <w:rPr>
          <w:i/>
          <w:lang w:bidi="he-IL"/>
        </w:rPr>
        <w:t>’îš</w:t>
      </w:r>
      <w:r w:rsidR="00817701" w:rsidRPr="00817701">
        <w:rPr>
          <w:lang w:bidi="he-IL"/>
        </w:rPr>
        <w:t xml:space="preserve"> again suggests a biblical rather than Greek starting point for understanding Jesus’</w:t>
      </w:r>
      <w:r w:rsidR="005166DC">
        <w:rPr>
          <w:lang w:bidi="he-IL"/>
        </w:rPr>
        <w:t>s</w:t>
      </w:r>
      <w:r w:rsidR="00817701" w:rsidRPr="00817701">
        <w:rPr>
          <w:lang w:bidi="he-IL"/>
        </w:rPr>
        <w:t xml:space="preserve"> incarnation.</w:t>
      </w:r>
      <w:r w:rsidR="00817701" w:rsidRPr="00817701">
        <w:rPr>
          <w:vertAlign w:val="superscript"/>
          <w:lang w:bidi="he-IL"/>
        </w:rPr>
        <w:footnoteReference w:id="498"/>
      </w:r>
    </w:p>
    <w:p w14:paraId="3AC99BCD" w14:textId="6EFD3CF9" w:rsidR="00C719C8" w:rsidRDefault="00C719C8" w:rsidP="00AE3EE4">
      <w:pPr>
        <w:rPr>
          <w:lang w:bidi="he-IL"/>
        </w:rPr>
      </w:pPr>
      <w:r>
        <w:rPr>
          <w:lang w:bidi="he-IL"/>
        </w:rPr>
        <w:t>Yet the st</w:t>
      </w:r>
      <w:r w:rsidR="00DF1492">
        <w:rPr>
          <w:lang w:bidi="he-IL"/>
        </w:rPr>
        <w:t>ory suggest</w:t>
      </w:r>
      <w:r>
        <w:rPr>
          <w:lang w:bidi="he-IL"/>
        </w:rPr>
        <w:t>s that i</w:t>
      </w:r>
      <w:r w:rsidR="00576D0A">
        <w:rPr>
          <w:lang w:bidi="he-IL"/>
        </w:rPr>
        <w:t xml:space="preserve">t is complicated, by </w:t>
      </w:r>
      <w:r>
        <w:rPr>
          <w:lang w:bidi="he-IL"/>
        </w:rPr>
        <w:t>portray</w:t>
      </w:r>
      <w:r w:rsidR="00576D0A">
        <w:rPr>
          <w:lang w:bidi="he-IL"/>
        </w:rPr>
        <w:t>ing</w:t>
      </w:r>
      <w:r>
        <w:rPr>
          <w:lang w:bidi="he-IL"/>
        </w:rPr>
        <w:t xml:space="preserve"> the movement over how many visitors there are </w:t>
      </w:r>
      <w:r w:rsidR="00576D0A">
        <w:rPr>
          <w:lang w:bidi="he-IL"/>
        </w:rPr>
        <w:t xml:space="preserve">at different points and whether they are the same sort of beings and whether all three </w:t>
      </w:r>
      <w:r w:rsidR="003D56BA">
        <w:rPr>
          <w:lang w:bidi="he-IL"/>
        </w:rPr>
        <w:t>“</w:t>
      </w:r>
      <w:r w:rsidR="00576D0A">
        <w:rPr>
          <w:lang w:bidi="he-IL"/>
        </w:rPr>
        <w:t>represent</w:t>
      </w:r>
      <w:r w:rsidR="003D56BA">
        <w:rPr>
          <w:lang w:bidi="he-IL"/>
        </w:rPr>
        <w:t>”</w:t>
      </w:r>
      <w:r w:rsidR="00576D0A">
        <w:rPr>
          <w:lang w:bidi="he-IL"/>
        </w:rPr>
        <w:t xml:space="preserve"> God or whether one represents God and the other two are envoys, who also,</w:t>
      </w:r>
      <w:r w:rsidR="009F5D47">
        <w:rPr>
          <w:lang w:bidi="he-IL"/>
        </w:rPr>
        <w:t xml:space="preserve"> however, in </w:t>
      </w:r>
      <w:r w:rsidR="009F5D47">
        <w:rPr>
          <w:lang w:bidi="he-IL"/>
        </w:rPr>
        <w:lastRenderedPageBreak/>
        <w:t xml:space="preserve">some </w:t>
      </w:r>
      <w:r w:rsidR="00576D0A">
        <w:rPr>
          <w:lang w:bidi="he-IL"/>
        </w:rPr>
        <w:t xml:space="preserve">sense </w:t>
      </w:r>
      <w:r w:rsidR="003D56BA">
        <w:rPr>
          <w:lang w:bidi="he-IL"/>
        </w:rPr>
        <w:t>“</w:t>
      </w:r>
      <w:r w:rsidR="00576D0A">
        <w:rPr>
          <w:lang w:bidi="he-IL"/>
        </w:rPr>
        <w:t>represent</w:t>
      </w:r>
      <w:r w:rsidR="003D56BA">
        <w:rPr>
          <w:lang w:bidi="he-IL"/>
        </w:rPr>
        <w:t>”</w:t>
      </w:r>
      <w:r w:rsidR="00576D0A">
        <w:rPr>
          <w:lang w:bidi="he-IL"/>
        </w:rPr>
        <w:t xml:space="preserve"> God.</w:t>
      </w:r>
      <w:r w:rsidR="00D60C05">
        <w:rPr>
          <w:rStyle w:val="FootnoteReference"/>
          <w:lang w:bidi="he-IL"/>
        </w:rPr>
        <w:footnoteReference w:id="499"/>
      </w:r>
      <w:r w:rsidR="00576D0A">
        <w:rPr>
          <w:lang w:bidi="he-IL"/>
        </w:rPr>
        <w:t xml:space="preserve"> While some of the movement in the portrayal</w:t>
      </w:r>
      <w:r w:rsidR="00CE19CF">
        <w:rPr>
          <w:lang w:bidi="he-IL"/>
        </w:rPr>
        <w:t xml:space="preserve"> issues from switching between telling the story </w:t>
      </w:r>
      <w:r w:rsidR="009F5D47">
        <w:rPr>
          <w:lang w:bidi="he-IL"/>
        </w:rPr>
        <w:t>between</w:t>
      </w:r>
      <w:r w:rsidR="00576D0A">
        <w:rPr>
          <w:lang w:bidi="he-IL"/>
        </w:rPr>
        <w:t xml:space="preserve"> the perspective of the narrator </w:t>
      </w:r>
      <w:r w:rsidR="00CE19CF">
        <w:rPr>
          <w:lang w:bidi="he-IL"/>
        </w:rPr>
        <w:t xml:space="preserve">(who knows more than Abraham does) </w:t>
      </w:r>
      <w:r w:rsidR="009F5D47">
        <w:rPr>
          <w:lang w:bidi="he-IL"/>
        </w:rPr>
        <w:t>and</w:t>
      </w:r>
      <w:r w:rsidR="00576D0A">
        <w:rPr>
          <w:lang w:bidi="he-IL"/>
        </w:rPr>
        <w:t xml:space="preserve"> that of the participants, this dynamic does not explain everything. Some of the ambiguity reflects the narrator’s </w:t>
      </w:r>
      <w:r w:rsidR="00F2646B">
        <w:rPr>
          <w:lang w:bidi="he-IL"/>
        </w:rPr>
        <w:t xml:space="preserve">own </w:t>
      </w:r>
      <w:r w:rsidR="00576D0A">
        <w:rPr>
          <w:lang w:bidi="he-IL"/>
        </w:rPr>
        <w:t>lack of clarity</w:t>
      </w:r>
      <w:r w:rsidR="00F2646B">
        <w:rPr>
          <w:lang w:bidi="he-IL"/>
        </w:rPr>
        <w:t xml:space="preserve"> (narrators in the First Testament may know more than the characters in their stories, but they are not omniscient)</w:t>
      </w:r>
      <w:r w:rsidR="00576D0A">
        <w:rPr>
          <w:lang w:bidi="he-IL"/>
        </w:rPr>
        <w:t>, which reflects the in</w:t>
      </w:r>
      <w:r w:rsidR="00F2646B">
        <w:rPr>
          <w:lang w:bidi="he-IL"/>
        </w:rPr>
        <w:t>herent mystery of the reality the narrative</w:t>
      </w:r>
      <w:r w:rsidR="00576D0A">
        <w:rPr>
          <w:lang w:bidi="he-IL"/>
        </w:rPr>
        <w:t xml:space="preserve"> describes. The elusiveness recurs when God is incarnate in Jesus and when the church finds it hard to conceptualize</w:t>
      </w:r>
      <w:r w:rsidR="00F2646B">
        <w:rPr>
          <w:lang w:bidi="he-IL"/>
        </w:rPr>
        <w:t xml:space="preserve"> </w:t>
      </w:r>
      <w:r w:rsidR="00576D0A">
        <w:rPr>
          <w:lang w:bidi="he-IL"/>
        </w:rPr>
        <w:t>insights about the nature of God and</w:t>
      </w:r>
      <w:r w:rsidR="00DF1492">
        <w:rPr>
          <w:lang w:bidi="he-IL"/>
        </w:rPr>
        <w:t xml:space="preserve"> about the person of Jesus, which</w:t>
      </w:r>
      <w:r w:rsidR="00F2646B">
        <w:rPr>
          <w:lang w:bidi="he-IL"/>
        </w:rPr>
        <w:t xml:space="preserve"> it </w:t>
      </w:r>
      <w:r w:rsidR="00DF1492">
        <w:rPr>
          <w:lang w:bidi="he-IL"/>
        </w:rPr>
        <w:t xml:space="preserve">has to do </w:t>
      </w:r>
      <w:r w:rsidR="00576D0A">
        <w:rPr>
          <w:lang w:bidi="he-IL"/>
        </w:rPr>
        <w:t>as much</w:t>
      </w:r>
      <w:r w:rsidR="00727890">
        <w:rPr>
          <w:lang w:bidi="he-IL"/>
        </w:rPr>
        <w:t xml:space="preserve"> </w:t>
      </w:r>
      <w:r w:rsidR="00576D0A">
        <w:rPr>
          <w:lang w:bidi="he-IL"/>
        </w:rPr>
        <w:t>by means of paradox and by negative statements as by clarity and by positive statements.</w:t>
      </w:r>
      <w:r w:rsidR="00186F02">
        <w:rPr>
          <w:lang w:bidi="he-IL"/>
        </w:rPr>
        <w:t xml:space="preserve"> Finding the Trinity in the First Testament obscures more than it clarifies. It hinders our hearing what God was saying and is saying through this story.</w:t>
      </w:r>
    </w:p>
    <w:p w14:paraId="636AC849" w14:textId="77777777" w:rsidR="002E489B" w:rsidRDefault="002E489B" w:rsidP="002E489B">
      <w:pPr>
        <w:pStyle w:val="Heading2"/>
        <w:rPr>
          <w:lang w:bidi="he-IL"/>
        </w:rPr>
      </w:pPr>
      <w:r>
        <w:rPr>
          <w:lang w:bidi="he-IL"/>
        </w:rPr>
        <w:t>Intercession and Theodicy</w:t>
      </w:r>
    </w:p>
    <w:p w14:paraId="129276EF" w14:textId="32CBD8A1" w:rsidR="0007539D" w:rsidRDefault="0057395C" w:rsidP="00AE3EE4">
      <w:pPr>
        <w:rPr>
          <w:lang w:bidi="he-IL"/>
        </w:rPr>
      </w:pPr>
      <w:r>
        <w:rPr>
          <w:lang w:bidi="he-IL"/>
        </w:rPr>
        <w:t>While Abraham’s dialogue with God has traditionally been taken as a model of intercession,</w:t>
      </w:r>
      <w:r>
        <w:rPr>
          <w:rStyle w:val="FootnoteReference"/>
          <w:lang w:bidi="he-IL"/>
        </w:rPr>
        <w:footnoteReference w:id="500"/>
      </w:r>
      <w:r w:rsidR="000E1F9C">
        <w:rPr>
          <w:lang w:bidi="he-IL"/>
        </w:rPr>
        <w:t xml:space="preserve"> Western interests have</w:t>
      </w:r>
      <w:r>
        <w:rPr>
          <w:lang w:bidi="he-IL"/>
        </w:rPr>
        <w:t xml:space="preserve"> inspired interpreters to locate the importance of the dialogu</w:t>
      </w:r>
      <w:r w:rsidR="000E1F9C">
        <w:rPr>
          <w:lang w:bidi="he-IL"/>
        </w:rPr>
        <w:t xml:space="preserve">e in its significance in </w:t>
      </w:r>
      <w:r>
        <w:rPr>
          <w:lang w:bidi="he-IL"/>
        </w:rPr>
        <w:t>connection</w:t>
      </w:r>
      <w:r w:rsidR="000E1F9C">
        <w:rPr>
          <w:lang w:bidi="he-IL"/>
        </w:rPr>
        <w:t xml:space="preserve"> with theodicy;</w:t>
      </w:r>
      <w:r>
        <w:rPr>
          <w:rStyle w:val="FootnoteReference"/>
          <w:lang w:bidi="he-IL"/>
        </w:rPr>
        <w:footnoteReference w:id="501"/>
      </w:r>
      <w:r w:rsidR="00DC19D8">
        <w:rPr>
          <w:lang w:bidi="he-IL"/>
        </w:rPr>
        <w:t xml:space="preserve"> </w:t>
      </w:r>
      <w:r w:rsidR="00E01A1D">
        <w:rPr>
          <w:lang w:bidi="he-IL"/>
        </w:rPr>
        <w:t xml:space="preserve">Westermann calls it </w:t>
      </w:r>
      <w:r w:rsidR="00E01A1D" w:rsidRPr="00E01A1D">
        <w:rPr>
          <w:lang w:bidi="he-IL"/>
        </w:rPr>
        <w:t>a theological discussion.</w:t>
      </w:r>
      <w:r w:rsidR="00E01A1D" w:rsidRPr="00E01A1D">
        <w:rPr>
          <w:vertAlign w:val="superscript"/>
          <w:lang w:bidi="he-IL"/>
        </w:rPr>
        <w:footnoteReference w:id="502"/>
      </w:r>
      <w:r w:rsidR="00E01A1D" w:rsidRPr="00E01A1D">
        <w:rPr>
          <w:lang w:bidi="he-IL"/>
        </w:rPr>
        <w:t xml:space="preserve"> </w:t>
      </w:r>
      <w:r w:rsidR="00DC19D8">
        <w:rPr>
          <w:lang w:bidi="he-IL"/>
        </w:rPr>
        <w:t>Von Rad gives the impression of being caught between these alternative understandings</w:t>
      </w:r>
      <w:r w:rsidR="008F35B6">
        <w:rPr>
          <w:lang w:bidi="he-IL"/>
        </w:rPr>
        <w:t xml:space="preserve">, but in the end his </w:t>
      </w:r>
      <w:r w:rsidR="00CA766D">
        <w:rPr>
          <w:lang w:bidi="he-IL"/>
        </w:rPr>
        <w:t xml:space="preserve">indecision </w:t>
      </w:r>
      <w:r w:rsidR="008F35B6">
        <w:rPr>
          <w:lang w:bidi="he-IL"/>
        </w:rPr>
        <w:t>is creative</w:t>
      </w:r>
      <w:r w:rsidR="00DC19D8">
        <w:rPr>
          <w:lang w:bidi="he-IL"/>
        </w:rPr>
        <w:t xml:space="preserve">. </w:t>
      </w:r>
      <w:r w:rsidR="00CA766D">
        <w:rPr>
          <w:lang w:bidi="he-IL"/>
        </w:rPr>
        <w:t>T</w:t>
      </w:r>
      <w:r w:rsidR="00DC19D8" w:rsidRPr="00DC19D8">
        <w:rPr>
          <w:lang w:bidi="he-IL"/>
        </w:rPr>
        <w:t xml:space="preserve">he conversation </w:t>
      </w:r>
      <w:r w:rsidR="00CA766D">
        <w:rPr>
          <w:lang w:bidi="he-IL"/>
        </w:rPr>
        <w:t xml:space="preserve">between Abraham and God </w:t>
      </w:r>
      <w:r w:rsidR="00DC19D8" w:rsidRPr="00DC19D8">
        <w:rPr>
          <w:lang w:bidi="he-IL"/>
        </w:rPr>
        <w:t>happens</w:t>
      </w:r>
      <w:r w:rsidR="00CA766D">
        <w:rPr>
          <w:lang w:bidi="he-IL"/>
        </w:rPr>
        <w:t>, he notes,</w:t>
      </w:r>
      <w:r w:rsidR="00DC19D8" w:rsidRPr="00DC19D8">
        <w:rPr>
          <w:lang w:bidi="he-IL"/>
        </w:rPr>
        <w:t xml:space="preserve"> </w:t>
      </w:r>
      <w:r w:rsidR="003D56BA">
        <w:rPr>
          <w:lang w:bidi="he-IL"/>
        </w:rPr>
        <w:t>“</w:t>
      </w:r>
      <w:r w:rsidR="00DC19D8" w:rsidRPr="00DC19D8">
        <w:rPr>
          <w:lang w:bidi="he-IL"/>
        </w:rPr>
        <w:t>in view of the sinful city lying at a distance in the valley, the city which had no idea either of it</w:t>
      </w:r>
      <w:r w:rsidR="00817701">
        <w:rPr>
          <w:lang w:bidi="he-IL"/>
        </w:rPr>
        <w:t>s</w:t>
      </w:r>
      <w:r w:rsidR="00DC19D8" w:rsidRPr="00DC19D8">
        <w:rPr>
          <w:lang w:bidi="he-IL"/>
        </w:rPr>
        <w:t xml:space="preserve"> judge or of its intercessor.</w:t>
      </w:r>
      <w:r w:rsidR="003D56BA">
        <w:rPr>
          <w:lang w:bidi="he-IL"/>
        </w:rPr>
        <w:t>”</w:t>
      </w:r>
      <w:r w:rsidR="00DC19D8" w:rsidRPr="00DC19D8">
        <w:rPr>
          <w:lang w:bidi="he-IL"/>
        </w:rPr>
        <w:t xml:space="preserve"> But </w:t>
      </w:r>
      <w:r w:rsidR="003D56BA">
        <w:rPr>
          <w:lang w:bidi="he-IL"/>
        </w:rPr>
        <w:t>“</w:t>
      </w:r>
      <w:r w:rsidR="00DC19D8" w:rsidRPr="00DC19D8">
        <w:rPr>
          <w:lang w:bidi="he-IL"/>
        </w:rPr>
        <w:t>Abraham is not especially concerned with saving Lot, n</w:t>
      </w:r>
      <w:r w:rsidR="00CA766D">
        <w:rPr>
          <w:lang w:bidi="he-IL"/>
        </w:rPr>
        <w:t>ot even with saving Sodom.</w:t>
      </w:r>
      <w:r w:rsidR="003D56BA">
        <w:rPr>
          <w:lang w:bidi="he-IL"/>
        </w:rPr>
        <w:t>”</w:t>
      </w:r>
      <w:r w:rsidR="00CA766D">
        <w:rPr>
          <w:lang w:bidi="he-IL"/>
        </w:rPr>
        <w:t xml:space="preserve"> The dialogue is</w:t>
      </w:r>
      <w:r w:rsidR="00DC19D8" w:rsidRPr="00DC19D8">
        <w:rPr>
          <w:lang w:bidi="he-IL"/>
        </w:rPr>
        <w:t xml:space="preserve"> a means of discus</w:t>
      </w:r>
      <w:r w:rsidR="00CA766D">
        <w:rPr>
          <w:lang w:bidi="he-IL"/>
        </w:rPr>
        <w:t>sing a theological question. Further,</w:t>
      </w:r>
      <w:r w:rsidR="00DC19D8" w:rsidRPr="00DC19D8">
        <w:rPr>
          <w:lang w:bidi="he-IL"/>
        </w:rPr>
        <w:t xml:space="preserve"> Sodom does not stand for a town outside the covenant people. </w:t>
      </w:r>
      <w:r w:rsidR="003D56BA">
        <w:rPr>
          <w:lang w:bidi="he-IL"/>
        </w:rPr>
        <w:t>“</w:t>
      </w:r>
      <w:r w:rsidR="00DC19D8" w:rsidRPr="00DC19D8">
        <w:rPr>
          <w:lang w:bidi="he-IL"/>
        </w:rPr>
        <w:t>Sodom is here for Israel the pattern of a human community toward which Yahweh’s eyes turn in judgment.</w:t>
      </w:r>
      <w:r w:rsidR="003D56BA">
        <w:rPr>
          <w:lang w:bidi="he-IL"/>
        </w:rPr>
        <w:t>”</w:t>
      </w:r>
      <w:r w:rsidR="00DC19D8" w:rsidRPr="00DC19D8">
        <w:rPr>
          <w:lang w:bidi="he-IL"/>
        </w:rPr>
        <w:t xml:space="preserve"> </w:t>
      </w:r>
      <w:r w:rsidR="00CA766D">
        <w:rPr>
          <w:lang w:bidi="he-IL"/>
        </w:rPr>
        <w:t xml:space="preserve">The question is, </w:t>
      </w:r>
      <w:r w:rsidR="003D56BA">
        <w:rPr>
          <w:lang w:bidi="he-IL"/>
        </w:rPr>
        <w:t>“</w:t>
      </w:r>
      <w:r w:rsidR="00CA766D">
        <w:rPr>
          <w:lang w:bidi="he-IL"/>
        </w:rPr>
        <w:t>w</w:t>
      </w:r>
      <w:r w:rsidR="00DC19D8" w:rsidRPr="00DC19D8">
        <w:rPr>
          <w:lang w:bidi="he-IL"/>
        </w:rPr>
        <w:t>hat determines God’s judgment on Sodom, the wickedness of the many or the innocence of the few?</w:t>
      </w:r>
      <w:r w:rsidR="003D56BA">
        <w:rPr>
          <w:lang w:bidi="he-IL"/>
        </w:rPr>
        <w:t>”</w:t>
      </w:r>
      <w:r w:rsidR="00DC19D8" w:rsidRPr="00E01A1D">
        <w:rPr>
          <w:vertAlign w:val="superscript"/>
          <w:lang w:bidi="he-IL"/>
        </w:rPr>
        <w:t xml:space="preserve"> </w:t>
      </w:r>
      <w:r w:rsidR="00DC19D8" w:rsidRPr="00DC19D8">
        <w:rPr>
          <w:lang w:bidi="he-IL"/>
        </w:rPr>
        <w:t>But</w:t>
      </w:r>
      <w:r w:rsidR="00CA766D">
        <w:rPr>
          <w:lang w:bidi="he-IL"/>
        </w:rPr>
        <w:t>, he also comments,</w:t>
      </w:r>
      <w:r w:rsidR="00DC19D8" w:rsidRPr="00DC19D8">
        <w:rPr>
          <w:lang w:bidi="he-IL"/>
        </w:rPr>
        <w:t xml:space="preserve"> </w:t>
      </w:r>
      <w:r w:rsidR="003D56BA">
        <w:rPr>
          <w:lang w:bidi="he-IL"/>
        </w:rPr>
        <w:t>“</w:t>
      </w:r>
      <w:proofErr w:type="gramStart"/>
      <w:r w:rsidR="00DC19D8" w:rsidRPr="00DC19D8">
        <w:rPr>
          <w:lang w:bidi="he-IL"/>
        </w:rPr>
        <w:t>the</w:t>
      </w:r>
      <w:proofErr w:type="gramEnd"/>
      <w:r w:rsidR="00DC19D8" w:rsidRPr="00DC19D8">
        <w:rPr>
          <w:lang w:bidi="he-IL"/>
        </w:rPr>
        <w:t xml:space="preserve"> narrator would scarcely feel himself badly misunderstood if we were to read this text from the viewpoint of intercession and its power.</w:t>
      </w:r>
      <w:r w:rsidR="003D56BA">
        <w:rPr>
          <w:lang w:bidi="he-IL"/>
        </w:rPr>
        <w:t>”</w:t>
      </w:r>
      <w:r w:rsidR="00DC19D8" w:rsidRPr="00DC19D8">
        <w:rPr>
          <w:vertAlign w:val="superscript"/>
          <w:lang w:bidi="he-IL"/>
        </w:rPr>
        <w:footnoteReference w:id="503"/>
      </w:r>
      <w:r w:rsidR="00CA766D">
        <w:rPr>
          <w:lang w:bidi="he-IL"/>
        </w:rPr>
        <w:t xml:space="preserve"> As intercession, it compares with Amos 7. </w:t>
      </w:r>
      <w:r w:rsidR="003D56BA">
        <w:rPr>
          <w:lang w:bidi="he-IL"/>
        </w:rPr>
        <w:t>“</w:t>
      </w:r>
      <w:r w:rsidR="00E01A1D" w:rsidRPr="00E01A1D">
        <w:rPr>
          <w:lang w:bidi="he-IL"/>
        </w:rPr>
        <w:t>It’s a forceful and impulsive prayer, as if Abraham wanted to compel God to forgive.</w:t>
      </w:r>
      <w:r w:rsidR="003D56BA">
        <w:rPr>
          <w:lang w:bidi="he-IL"/>
        </w:rPr>
        <w:t>”</w:t>
      </w:r>
      <w:r w:rsidR="00E01A1D" w:rsidRPr="00E01A1D">
        <w:rPr>
          <w:vertAlign w:val="superscript"/>
          <w:lang w:bidi="he-IL"/>
        </w:rPr>
        <w:footnoteReference w:id="504"/>
      </w:r>
      <w:r w:rsidR="00817598">
        <w:rPr>
          <w:lang w:bidi="he-IL"/>
        </w:rPr>
        <w:t xml:space="preserve"> The story encourages</w:t>
      </w:r>
      <w:r w:rsidR="000E1F9C">
        <w:rPr>
          <w:lang w:bidi="he-IL"/>
        </w:rPr>
        <w:t xml:space="preserve"> the audience to think</w:t>
      </w:r>
      <w:r w:rsidR="00817598">
        <w:rPr>
          <w:lang w:bidi="he-IL"/>
        </w:rPr>
        <w:t xml:space="preserve">, but in light of the thinking </w:t>
      </w:r>
      <w:r w:rsidR="00592520">
        <w:rPr>
          <w:lang w:bidi="he-IL"/>
        </w:rPr>
        <w:t xml:space="preserve">that </w:t>
      </w:r>
      <w:r w:rsidR="00817598">
        <w:rPr>
          <w:lang w:bidi="he-IL"/>
        </w:rPr>
        <w:t>it encourages</w:t>
      </w:r>
      <w:r w:rsidR="00592520">
        <w:rPr>
          <w:lang w:bidi="he-IL"/>
        </w:rPr>
        <w:t>,</w:t>
      </w:r>
      <w:r w:rsidR="00817598">
        <w:rPr>
          <w:lang w:bidi="he-IL"/>
        </w:rPr>
        <w:t xml:space="preserve"> it also drives it to be faithful, because a small number of faithful may make all the difference, and it drives it to pray, </w:t>
      </w:r>
      <w:r w:rsidR="00592520">
        <w:rPr>
          <w:lang w:bidi="he-IL"/>
        </w:rPr>
        <w:t xml:space="preserve">to </w:t>
      </w:r>
      <w:r w:rsidR="00817598">
        <w:rPr>
          <w:lang w:bidi="he-IL"/>
        </w:rPr>
        <w:t>advocate with God.</w:t>
      </w:r>
      <w:r w:rsidR="00817598">
        <w:rPr>
          <w:rStyle w:val="FootnoteReference"/>
          <w:lang w:bidi="he-IL"/>
        </w:rPr>
        <w:footnoteReference w:id="505"/>
      </w:r>
      <w:r w:rsidR="00817701">
        <w:rPr>
          <w:lang w:bidi="he-IL"/>
        </w:rPr>
        <w:t xml:space="preserve"> </w:t>
      </w:r>
      <w:r w:rsidR="00592520">
        <w:rPr>
          <w:lang w:bidi="he-IL"/>
        </w:rPr>
        <w:t>“What gives Abraham the ‘right’</w:t>
      </w:r>
      <w:r w:rsidR="0007539D">
        <w:rPr>
          <w:lang w:bidi="he-IL"/>
        </w:rPr>
        <w:t xml:space="preserve"> to argue with God and question his intentions?” The answer must be the covenantal relationship between God and Israel, which puts obligations on God as well as on Abraham.</w:t>
      </w:r>
      <w:r w:rsidR="0007539D">
        <w:rPr>
          <w:rStyle w:val="FootnoteReference"/>
          <w:lang w:bidi="he-IL"/>
        </w:rPr>
        <w:footnoteReference w:id="506"/>
      </w:r>
    </w:p>
    <w:p w14:paraId="17E95D35" w14:textId="57C139F1" w:rsidR="00CC2A87" w:rsidRDefault="004E7E37" w:rsidP="00AE3EE4">
      <w:pPr>
        <w:rPr>
          <w:lang w:bidi="he-IL"/>
        </w:rPr>
      </w:pPr>
      <w:r>
        <w:rPr>
          <w:lang w:bidi="he-IL"/>
        </w:rPr>
        <w:t>The First Testament may indeed be interested in the question of theodicy, or at least it offers materials that facilitate reflection on the question.</w:t>
      </w:r>
      <w:r w:rsidR="00727890">
        <w:rPr>
          <w:lang w:bidi="he-IL"/>
        </w:rPr>
        <w:t xml:space="preserve"> </w:t>
      </w:r>
      <w:r w:rsidR="00883157" w:rsidRPr="00883157">
        <w:rPr>
          <w:lang w:bidi="he-IL"/>
        </w:rPr>
        <w:t>Will Yahweh be bound to destroy Sodom if he finds that the rumor about its waywardness is broadly true? Yahweh agrees that he is not bound by any such system.</w:t>
      </w:r>
      <w:r w:rsidR="00883157" w:rsidRPr="00883157">
        <w:rPr>
          <w:vertAlign w:val="superscript"/>
          <w:lang w:bidi="he-IL"/>
        </w:rPr>
        <w:footnoteReference w:id="507"/>
      </w:r>
      <w:r w:rsidR="00883157" w:rsidRPr="00883157">
        <w:rPr>
          <w:lang w:bidi="he-IL"/>
        </w:rPr>
        <w:t xml:space="preserve"> </w:t>
      </w:r>
      <w:r w:rsidR="00883157">
        <w:rPr>
          <w:lang w:bidi="he-IL"/>
        </w:rPr>
        <w:t xml:space="preserve">On the other hand, neither is he bound to operate in the way Gen 18 describes. </w:t>
      </w:r>
      <w:r w:rsidR="003D56BA">
        <w:rPr>
          <w:lang w:bidi="he-IL"/>
        </w:rPr>
        <w:t>“</w:t>
      </w:r>
      <w:r w:rsidR="00883157" w:rsidRPr="00883157">
        <w:rPr>
          <w:lang w:bidi="he-IL"/>
        </w:rPr>
        <w:t>God does not here bind himself by a perpetual rule</w:t>
      </w:r>
      <w:r w:rsidR="003D56BA">
        <w:rPr>
          <w:lang w:bidi="he-IL"/>
        </w:rPr>
        <w:t>”</w:t>
      </w:r>
      <w:r w:rsidR="00883157" w:rsidRPr="00883157">
        <w:rPr>
          <w:lang w:bidi="he-IL"/>
        </w:rPr>
        <w:t xml:space="preserve"> but </w:t>
      </w:r>
      <w:r w:rsidR="003D56BA">
        <w:rPr>
          <w:lang w:bidi="he-IL"/>
        </w:rPr>
        <w:t>“</w:t>
      </w:r>
      <w:r w:rsidR="00883157" w:rsidRPr="00883157">
        <w:rPr>
          <w:lang w:bidi="he-IL"/>
        </w:rPr>
        <w:t xml:space="preserve">speaks thus, in order to make it better </w:t>
      </w:r>
      <w:proofErr w:type="gramStart"/>
      <w:r w:rsidR="00883157" w:rsidRPr="00883157">
        <w:rPr>
          <w:lang w:bidi="he-IL"/>
        </w:rPr>
        <w:t>known, that</w:t>
      </w:r>
      <w:proofErr w:type="gramEnd"/>
      <w:r w:rsidR="00883157" w:rsidRPr="00883157">
        <w:rPr>
          <w:lang w:bidi="he-IL"/>
        </w:rPr>
        <w:t xml:space="preserve"> he does not, on light grounds, proceed to the destruction of a city.</w:t>
      </w:r>
      <w:r w:rsidR="003D56BA">
        <w:rPr>
          <w:lang w:bidi="he-IL"/>
        </w:rPr>
        <w:t>”</w:t>
      </w:r>
      <w:r w:rsidR="00883157" w:rsidRPr="00883157">
        <w:rPr>
          <w:vertAlign w:val="superscript"/>
          <w:lang w:bidi="he-IL"/>
        </w:rPr>
        <w:footnoteReference w:id="508"/>
      </w:r>
      <w:r w:rsidR="00592520">
        <w:rPr>
          <w:lang w:bidi="he-IL"/>
        </w:rPr>
        <w:t xml:space="preserve"> While </w:t>
      </w:r>
      <w:r w:rsidR="00854C62">
        <w:rPr>
          <w:lang w:bidi="he-IL"/>
        </w:rPr>
        <w:t xml:space="preserve">Yahweh </w:t>
      </w:r>
      <w:r w:rsidR="00592520">
        <w:rPr>
          <w:lang w:bidi="he-IL"/>
        </w:rPr>
        <w:t xml:space="preserve">here </w:t>
      </w:r>
      <w:r w:rsidR="00854C62">
        <w:rPr>
          <w:lang w:bidi="he-IL"/>
        </w:rPr>
        <w:t xml:space="preserve">declares that he </w:t>
      </w:r>
      <w:r w:rsidR="00893501">
        <w:rPr>
          <w:lang w:bidi="he-IL"/>
        </w:rPr>
        <w:lastRenderedPageBreak/>
        <w:t>will spare a town</w:t>
      </w:r>
      <w:r w:rsidR="00854C62">
        <w:rPr>
          <w:lang w:bidi="he-IL"/>
        </w:rPr>
        <w:t xml:space="preserve"> if there </w:t>
      </w:r>
      <w:r w:rsidR="00883157">
        <w:rPr>
          <w:lang w:bidi="he-IL"/>
        </w:rPr>
        <w:t>are ten faithful people there, i</w:t>
      </w:r>
      <w:r w:rsidR="00854C62">
        <w:rPr>
          <w:lang w:bidi="he-IL"/>
        </w:rPr>
        <w:t>n Jer 5:1 he says he will do so if there</w:t>
      </w:r>
      <w:r w:rsidR="00817701">
        <w:rPr>
          <w:lang w:bidi="he-IL"/>
        </w:rPr>
        <w:t xml:space="preserve"> is one truthful person there. On the other hand, i</w:t>
      </w:r>
      <w:r w:rsidR="00854C62">
        <w:rPr>
          <w:lang w:bidi="he-IL"/>
        </w:rPr>
        <w:t>n Ezek 14:</w:t>
      </w:r>
      <w:r w:rsidR="005A657E">
        <w:rPr>
          <w:lang w:bidi="he-IL"/>
        </w:rPr>
        <w:t xml:space="preserve">12-23 he declares </w:t>
      </w:r>
      <w:r w:rsidR="000E1F9C">
        <w:rPr>
          <w:lang w:bidi="he-IL"/>
        </w:rPr>
        <w:t xml:space="preserve">that </w:t>
      </w:r>
      <w:r w:rsidR="005A657E">
        <w:rPr>
          <w:lang w:bidi="he-IL"/>
        </w:rPr>
        <w:t>he would not do so even if one famously faithful person (such as Noah) were there.</w:t>
      </w:r>
      <w:r w:rsidR="00D011BC">
        <w:rPr>
          <w:rStyle w:val="FootnoteReference"/>
          <w:lang w:bidi="he-IL"/>
        </w:rPr>
        <w:footnoteReference w:id="509"/>
      </w:r>
      <w:r w:rsidR="005A657E">
        <w:rPr>
          <w:lang w:bidi="he-IL"/>
        </w:rPr>
        <w:t xml:space="preserve"> </w:t>
      </w:r>
      <w:r w:rsidR="00CC2A87">
        <w:rPr>
          <w:lang w:bidi="he-IL"/>
        </w:rPr>
        <w:t>And he brings judgment on Jerusalem despite the presence of people s</w:t>
      </w:r>
      <w:r>
        <w:rPr>
          <w:lang w:bidi="he-IL"/>
        </w:rPr>
        <w:t>uch as Jeremiah and Ezekiel, though</w:t>
      </w:r>
      <w:r w:rsidR="00CC2A87">
        <w:rPr>
          <w:lang w:bidi="he-IL"/>
        </w:rPr>
        <w:t xml:space="preserve"> for them, it’s not the end of the story</w:t>
      </w:r>
      <w:r w:rsidR="00883157">
        <w:rPr>
          <w:lang w:bidi="he-IL"/>
        </w:rPr>
        <w:t xml:space="preserve">. </w:t>
      </w:r>
      <w:r w:rsidR="00F62D32">
        <w:rPr>
          <w:lang w:bidi="he-IL"/>
        </w:rPr>
        <w:t>Further, if there is a tension between 18:23-33 and 19:1-28, and if (for instance) 18:23-33 is a critique of the assumptions underlying 19:1-28,</w:t>
      </w:r>
      <w:r w:rsidR="00F62D32">
        <w:rPr>
          <w:rStyle w:val="FootnoteReference"/>
          <w:lang w:bidi="he-IL"/>
        </w:rPr>
        <w:footnoteReference w:id="510"/>
      </w:r>
      <w:r w:rsidR="00F62D32">
        <w:rPr>
          <w:lang w:bidi="he-IL"/>
        </w:rPr>
        <w:t xml:space="preserve"> then Genesis invites us to work with the tension rather than letting either passage override or silence the other. </w:t>
      </w:r>
      <w:r w:rsidR="00817701">
        <w:rPr>
          <w:lang w:bidi="he-IL"/>
        </w:rPr>
        <w:t xml:space="preserve">In Amos 7—9, too, both perspectives appear. </w:t>
      </w:r>
      <w:r w:rsidR="00883157">
        <w:rPr>
          <w:lang w:bidi="he-IL"/>
        </w:rPr>
        <w:t>The question of the waywardness and the punishment of communities is too complicated for there to be one answer. Each time the question arises, God has to think about it afresh and decide how to weigh the different considerations this time. And this reality is one reason why prayer makes a difference as we urge God to weigh the considerations in a different way from the one he may be inclined to.</w:t>
      </w:r>
    </w:p>
    <w:p w14:paraId="6EA97E70" w14:textId="52428A4C" w:rsidR="0053623B" w:rsidRDefault="00883157" w:rsidP="00AE3EE4">
      <w:pPr>
        <w:rPr>
          <w:lang w:bidi="he-IL"/>
        </w:rPr>
      </w:pPr>
      <w:r>
        <w:rPr>
          <w:lang w:bidi="he-IL"/>
        </w:rPr>
        <w:t>Jer 31:29-30 and</w:t>
      </w:r>
      <w:r w:rsidRPr="00883157">
        <w:rPr>
          <w:lang w:bidi="he-IL"/>
        </w:rPr>
        <w:t xml:space="preserve"> Ezek 18 </w:t>
      </w:r>
      <w:r w:rsidR="00817701">
        <w:rPr>
          <w:lang w:bidi="he-IL"/>
        </w:rPr>
        <w:t xml:space="preserve">can </w:t>
      </w:r>
      <w:r>
        <w:rPr>
          <w:lang w:bidi="he-IL"/>
        </w:rPr>
        <w:t xml:space="preserve">also </w:t>
      </w:r>
      <w:r w:rsidR="00817701">
        <w:rPr>
          <w:lang w:bidi="he-IL"/>
        </w:rPr>
        <w:t xml:space="preserve">be </w:t>
      </w:r>
      <w:r>
        <w:rPr>
          <w:lang w:bidi="he-IL"/>
        </w:rPr>
        <w:t>brought into the framework of this discussion, but their concern is</w:t>
      </w:r>
      <w:r w:rsidR="005A657E">
        <w:rPr>
          <w:lang w:bidi="he-IL"/>
        </w:rPr>
        <w:t xml:space="preserve"> different</w:t>
      </w:r>
      <w:r w:rsidR="00817701">
        <w:rPr>
          <w:lang w:bidi="he-IL"/>
        </w:rPr>
        <w:t>. Their</w:t>
      </w:r>
      <w:r>
        <w:rPr>
          <w:lang w:bidi="he-IL"/>
        </w:rPr>
        <w:t xml:space="preserve"> issue is</w:t>
      </w:r>
      <w:r w:rsidR="005A657E">
        <w:rPr>
          <w:lang w:bidi="he-IL"/>
        </w:rPr>
        <w:t xml:space="preserve"> whether Yahweh punishes one generation for the wrong</w:t>
      </w:r>
      <w:r>
        <w:rPr>
          <w:lang w:bidi="he-IL"/>
        </w:rPr>
        <w:t>doing of an earlier generation.</w:t>
      </w:r>
      <w:r w:rsidR="00F81F4C">
        <w:rPr>
          <w:rStyle w:val="FootnoteReference"/>
          <w:lang w:bidi="he-IL"/>
        </w:rPr>
        <w:footnoteReference w:id="511"/>
      </w:r>
      <w:r w:rsidR="00186F02">
        <w:rPr>
          <w:lang w:bidi="he-IL"/>
        </w:rPr>
        <w:t xml:space="preserve"> T</w:t>
      </w:r>
      <w:r w:rsidR="00101B1A">
        <w:rPr>
          <w:lang w:bidi="he-IL"/>
        </w:rPr>
        <w:t>he issue in Job is different</w:t>
      </w:r>
      <w:r>
        <w:rPr>
          <w:lang w:bidi="he-IL"/>
        </w:rPr>
        <w:t xml:space="preserve"> again: </w:t>
      </w:r>
      <w:r w:rsidR="003D56BA">
        <w:rPr>
          <w:lang w:bidi="he-IL"/>
        </w:rPr>
        <w:t>“</w:t>
      </w:r>
      <w:r>
        <w:rPr>
          <w:lang w:bidi="he-IL"/>
        </w:rPr>
        <w:t>he finishes off the person of</w:t>
      </w:r>
      <w:r w:rsidR="00101B1A">
        <w:rPr>
          <w:lang w:bidi="he-IL"/>
        </w:rPr>
        <w:t xml:space="preserve"> integ</w:t>
      </w:r>
      <w:r>
        <w:rPr>
          <w:lang w:bidi="he-IL"/>
        </w:rPr>
        <w:t>rity and the faithless person</w:t>
      </w:r>
      <w:r w:rsidR="003D56BA">
        <w:rPr>
          <w:lang w:bidi="he-IL"/>
        </w:rPr>
        <w:t>”</w:t>
      </w:r>
      <w:r>
        <w:rPr>
          <w:lang w:bidi="he-IL"/>
        </w:rPr>
        <w:t xml:space="preserve"> </w:t>
      </w:r>
      <w:r w:rsidR="00817701">
        <w:rPr>
          <w:lang w:bidi="he-IL"/>
        </w:rPr>
        <w:t>(</w:t>
      </w:r>
      <w:r w:rsidR="00101B1A">
        <w:rPr>
          <w:lang w:bidi="he-IL"/>
        </w:rPr>
        <w:t>Job 9:22).</w:t>
      </w:r>
    </w:p>
    <w:p w14:paraId="776473C3" w14:textId="77777777" w:rsidR="00F62D32" w:rsidRDefault="00F62D32" w:rsidP="00F62D32">
      <w:pPr>
        <w:rPr>
          <w:lang w:bidi="he-IL"/>
        </w:rPr>
      </w:pPr>
    </w:p>
    <w:p w14:paraId="63BA0164" w14:textId="77777777" w:rsidR="00F62D32" w:rsidRDefault="00F62D32">
      <w:pPr>
        <w:spacing w:after="200" w:line="276" w:lineRule="auto"/>
        <w:ind w:firstLine="0"/>
        <w:rPr>
          <w:lang w:bidi="he-IL"/>
        </w:rPr>
      </w:pPr>
      <w:r>
        <w:rPr>
          <w:lang w:bidi="he-IL"/>
        </w:rPr>
        <w:br w:type="page"/>
      </w:r>
    </w:p>
    <w:p w14:paraId="71D4356A" w14:textId="77777777" w:rsidR="00F62D32" w:rsidRDefault="00F62D32" w:rsidP="00F62D32">
      <w:pPr>
        <w:pStyle w:val="Heading1"/>
        <w:rPr>
          <w:lang w:bidi="he-IL"/>
        </w:rPr>
      </w:pPr>
      <w:r>
        <w:rPr>
          <w:lang w:bidi="he-IL"/>
        </w:rPr>
        <w:lastRenderedPageBreak/>
        <w:t>Genesis 20:1-18</w:t>
      </w:r>
      <w:r w:rsidR="00AC70C3">
        <w:rPr>
          <w:lang w:bidi="he-IL"/>
        </w:rPr>
        <w:t>—</w:t>
      </w:r>
      <w:r w:rsidR="00AE0D91">
        <w:rPr>
          <w:lang w:bidi="he-IL"/>
        </w:rPr>
        <w:t>Abraham and Abimelek (1)</w:t>
      </w:r>
    </w:p>
    <w:p w14:paraId="75120669" w14:textId="77777777" w:rsidR="00DB307D" w:rsidRDefault="00DB307D" w:rsidP="00DB307D">
      <w:pPr>
        <w:rPr>
          <w:lang w:bidi="he-IL"/>
        </w:rPr>
      </w:pPr>
    </w:p>
    <w:p w14:paraId="4F8CE15B" w14:textId="77777777" w:rsidR="00141055" w:rsidRPr="00DA695A" w:rsidRDefault="00141055" w:rsidP="00141055">
      <w:pPr>
        <w:pStyle w:val="Heading2"/>
        <w:rPr>
          <w:lang w:bidi="he-IL"/>
        </w:rPr>
      </w:pPr>
      <w:r>
        <w:rPr>
          <w:lang w:bidi="he-IL"/>
        </w:rPr>
        <w:t>Overview</w:t>
      </w:r>
    </w:p>
    <w:p w14:paraId="6AAE3998" w14:textId="77777777" w:rsidR="005E304E" w:rsidRDefault="005E304E" w:rsidP="00DB307D">
      <w:pPr>
        <w:rPr>
          <w:lang w:bidi="he-IL"/>
        </w:rPr>
      </w:pPr>
      <w:r>
        <w:rPr>
          <w:lang w:bidi="he-IL"/>
        </w:rPr>
        <w:t>Gen 20 tells a story</w:t>
      </w:r>
      <w:r w:rsidR="00DB307D">
        <w:rPr>
          <w:lang w:bidi="he-IL"/>
        </w:rPr>
        <w:t xml:space="preserve"> like the one in 12:9—13:4. Abraham goes to live in a certain ruler’s terr</w:t>
      </w:r>
      <w:r w:rsidR="005272B4">
        <w:rPr>
          <w:lang w:bidi="he-IL"/>
        </w:rPr>
        <w:t>itory as a resident alien, he’s</w:t>
      </w:r>
      <w:r w:rsidR="00DB307D">
        <w:rPr>
          <w:lang w:bidi="he-IL"/>
        </w:rPr>
        <w:t xml:space="preserve"> afraid that the people there will kill him in order to get hold of Sarah</w:t>
      </w:r>
      <w:r w:rsidR="005272B4">
        <w:rPr>
          <w:lang w:bidi="he-IL"/>
        </w:rPr>
        <w:t>,</w:t>
      </w:r>
      <w:r>
        <w:rPr>
          <w:lang w:bidi="he-IL"/>
        </w:rPr>
        <w:t xml:space="preserve"> and </w:t>
      </w:r>
      <w:r w:rsidR="005272B4">
        <w:rPr>
          <w:lang w:bidi="he-IL"/>
        </w:rPr>
        <w:t xml:space="preserve">he </w:t>
      </w:r>
      <w:r>
        <w:rPr>
          <w:lang w:bidi="he-IL"/>
        </w:rPr>
        <w:t xml:space="preserve">therefore </w:t>
      </w:r>
      <w:r w:rsidR="00DB307D">
        <w:rPr>
          <w:lang w:bidi="he-IL"/>
        </w:rPr>
        <w:t>asks</w:t>
      </w:r>
      <w:r>
        <w:rPr>
          <w:lang w:bidi="he-IL"/>
        </w:rPr>
        <w:t xml:space="preserve"> her to say she is his sister. The king does get hold of Sarah but </w:t>
      </w:r>
      <w:r w:rsidR="00DB307D">
        <w:rPr>
          <w:lang w:bidi="he-IL"/>
        </w:rPr>
        <w:t>God intervenes and causes sickn</w:t>
      </w:r>
      <w:r>
        <w:rPr>
          <w:lang w:bidi="he-IL"/>
        </w:rPr>
        <w:t>ess in the ruler’s household. The ruler</w:t>
      </w:r>
      <w:r w:rsidR="00DB307D">
        <w:rPr>
          <w:lang w:bidi="he-IL"/>
        </w:rPr>
        <w:t xml:space="preserve"> discovers the cause, challenges Abraham, and gives Sarah back. Abraham ends up vastly enriched by the adventure. </w:t>
      </w:r>
    </w:p>
    <w:p w14:paraId="38E47EBF" w14:textId="77777777" w:rsidR="005E304E" w:rsidRDefault="005272B4" w:rsidP="00DB307D">
      <w:pPr>
        <w:rPr>
          <w:lang w:bidi="he-IL"/>
        </w:rPr>
      </w:pPr>
      <w:r>
        <w:rPr>
          <w:lang w:bidi="he-IL"/>
        </w:rPr>
        <w:t>T</w:t>
      </w:r>
      <w:r w:rsidR="00DB307D">
        <w:rPr>
          <w:lang w:bidi="he-IL"/>
        </w:rPr>
        <w:t>his second story differs from the fir</w:t>
      </w:r>
      <w:r>
        <w:rPr>
          <w:lang w:bidi="he-IL"/>
        </w:rPr>
        <w:t xml:space="preserve">st in taking place in Gerar rather than </w:t>
      </w:r>
      <w:r w:rsidR="00DB307D">
        <w:rPr>
          <w:lang w:bidi="he-IL"/>
        </w:rPr>
        <w:t xml:space="preserve">Egypt, </w:t>
      </w:r>
      <w:r w:rsidR="00190700">
        <w:rPr>
          <w:lang w:bidi="he-IL"/>
        </w:rPr>
        <w:t>and t</w:t>
      </w:r>
      <w:r w:rsidR="00190700" w:rsidRPr="00190700">
        <w:rPr>
          <w:lang w:bidi="he-IL"/>
        </w:rPr>
        <w:t>he ruler is a</w:t>
      </w:r>
      <w:r w:rsidR="00190700">
        <w:rPr>
          <w:lang w:bidi="he-IL"/>
        </w:rPr>
        <w:t xml:space="preserve"> person of noteworthy integrity.</w:t>
      </w:r>
      <w:r w:rsidR="00190700" w:rsidRPr="00190700">
        <w:rPr>
          <w:lang w:bidi="he-IL"/>
        </w:rPr>
        <w:t xml:space="preserve"> </w:t>
      </w:r>
      <w:r w:rsidR="00DB307D">
        <w:rPr>
          <w:lang w:bidi="he-IL"/>
        </w:rPr>
        <w:t>G</w:t>
      </w:r>
      <w:r>
        <w:rPr>
          <w:lang w:bidi="he-IL"/>
        </w:rPr>
        <w:t xml:space="preserve">od </w:t>
      </w:r>
      <w:r w:rsidR="00190700">
        <w:rPr>
          <w:lang w:bidi="he-IL"/>
        </w:rPr>
        <w:t>appears to him</w:t>
      </w:r>
      <w:r w:rsidR="00DB307D">
        <w:rPr>
          <w:lang w:bidi="he-IL"/>
        </w:rPr>
        <w:t xml:space="preserve"> and in</w:t>
      </w:r>
      <w:r w:rsidR="00190700">
        <w:rPr>
          <w:lang w:bidi="he-IL"/>
        </w:rPr>
        <w:t>forms him that Abraham is a prophe</w:t>
      </w:r>
      <w:r w:rsidR="00DB307D">
        <w:rPr>
          <w:lang w:bidi="he-IL"/>
        </w:rPr>
        <w:t>t who can plead for him, Abraham explains that Sarah really is his (half-</w:t>
      </w:r>
      <w:proofErr w:type="gramStart"/>
      <w:r w:rsidR="00DB307D">
        <w:rPr>
          <w:lang w:bidi="he-IL"/>
        </w:rPr>
        <w:t>)sister</w:t>
      </w:r>
      <w:proofErr w:type="gramEnd"/>
      <w:r w:rsidR="00DB307D">
        <w:rPr>
          <w:lang w:bidi="he-IL"/>
        </w:rPr>
        <w:t>, and the ruler invites him to stay in his realm rather than leave immediately.</w:t>
      </w:r>
      <w:r w:rsidR="00190700">
        <w:rPr>
          <w:lang w:bidi="he-IL"/>
        </w:rPr>
        <w:t xml:space="preserve"> </w:t>
      </w:r>
    </w:p>
    <w:p w14:paraId="30DF28E6" w14:textId="77777777" w:rsidR="00FF7E2B" w:rsidRDefault="005272B4" w:rsidP="00DB307D">
      <w:pPr>
        <w:rPr>
          <w:lang w:bidi="he-IL"/>
        </w:rPr>
      </w:pPr>
      <w:r>
        <w:rPr>
          <w:lang w:bidi="he-IL"/>
        </w:rPr>
        <w:t>K</w:t>
      </w:r>
      <w:r w:rsidR="00190700">
        <w:rPr>
          <w:lang w:bidi="he-IL"/>
        </w:rPr>
        <w:t xml:space="preserve">nowledge </w:t>
      </w:r>
      <w:r w:rsidR="00FF7E2B">
        <w:rPr>
          <w:lang w:bidi="he-IL"/>
        </w:rPr>
        <w:t xml:space="preserve">of the first story helps to </w:t>
      </w:r>
      <w:r w:rsidR="00190700">
        <w:rPr>
          <w:lang w:bidi="he-IL"/>
        </w:rPr>
        <w:t xml:space="preserve">make sense of the second story, </w:t>
      </w:r>
      <w:r w:rsidR="005E304E">
        <w:rPr>
          <w:lang w:bidi="he-IL"/>
        </w:rPr>
        <w:t xml:space="preserve">while conversely the second story helps to clarify questions raised by the first. </w:t>
      </w:r>
    </w:p>
    <w:p w14:paraId="7C30CC47" w14:textId="77777777" w:rsidR="00163952" w:rsidRPr="00495304" w:rsidRDefault="00163952" w:rsidP="00163952">
      <w:pPr>
        <w:pStyle w:val="Heading2"/>
        <w:rPr>
          <w:vertAlign w:val="superscript"/>
          <w:lang w:bidi="he-IL"/>
        </w:rPr>
      </w:pPr>
      <w:r w:rsidRPr="00DA695A">
        <w:rPr>
          <w:lang w:bidi="he-IL"/>
        </w:rPr>
        <w:t>Translation</w:t>
      </w:r>
    </w:p>
    <w:p w14:paraId="7719BFFE" w14:textId="72BF14FF" w:rsidR="00F62D32" w:rsidRPr="00F62D32" w:rsidRDefault="00F62D32" w:rsidP="00F62D32">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w:t>
      </w:r>
      <w:r>
        <w:rPr>
          <w:rFonts w:ascii="Calibri" w:eastAsia="Times New Roman" w:hAnsi="Calibri" w:cs="Times New Roman"/>
          <w:szCs w:val="18"/>
          <w:lang w:val="en-GB" w:bidi="he-IL"/>
        </w:rPr>
        <w:t>Ab</w:t>
      </w:r>
      <w:r w:rsidRPr="00F62D32">
        <w:rPr>
          <w:rFonts w:ascii="Calibri" w:eastAsia="Times New Roman" w:hAnsi="Calibri" w:cs="Times New Roman"/>
          <w:szCs w:val="18"/>
          <w:lang w:val="en-GB" w:bidi="he-IL"/>
        </w:rPr>
        <w:t xml:space="preserve">raham </w:t>
      </w:r>
      <w:r w:rsidR="0021656B">
        <w:rPr>
          <w:rFonts w:ascii="Calibri" w:eastAsia="Times New Roman" w:hAnsi="Calibri" w:cs="Times New Roman"/>
          <w:szCs w:val="18"/>
          <w:lang w:val="en-GB" w:bidi="he-IL"/>
        </w:rPr>
        <w:t>moved on from there to the southland</w:t>
      </w:r>
      <w:r w:rsidR="0021656B">
        <w:rPr>
          <w:rStyle w:val="FootnoteReference"/>
          <w:rFonts w:ascii="Calibri" w:eastAsia="Times New Roman" w:hAnsi="Calibri" w:cs="Times New Roman"/>
          <w:szCs w:val="18"/>
          <w:lang w:val="en-GB" w:bidi="he-IL"/>
        </w:rPr>
        <w:footnoteReference w:id="512"/>
      </w:r>
      <w:r w:rsidRPr="00F62D32">
        <w:rPr>
          <w:rFonts w:ascii="Calibri" w:eastAsia="Times New Roman" w:hAnsi="Calibri" w:cs="Times New Roman"/>
          <w:szCs w:val="18"/>
          <w:lang w:val="en-GB" w:bidi="he-IL"/>
        </w:rPr>
        <w:t xml:space="preserve"> region</w:t>
      </w:r>
      <w:r w:rsidR="00163952">
        <w:rPr>
          <w:rFonts w:ascii="Calibri" w:eastAsia="Times New Roman" w:hAnsi="Calibri" w:cs="Times New Roman"/>
          <w:szCs w:val="18"/>
          <w:lang w:val="en-GB" w:bidi="he-IL"/>
        </w:rPr>
        <w:t xml:space="preserve"> and lived between Qadeš and Š</w:t>
      </w:r>
      <w:r w:rsidR="0090446E">
        <w:rPr>
          <w:rFonts w:ascii="Calibri" w:eastAsia="Times New Roman" w:hAnsi="Calibri" w:cs="Times New Roman"/>
          <w:szCs w:val="18"/>
          <w:lang w:val="en-GB" w:bidi="he-IL"/>
        </w:rPr>
        <w:t xml:space="preserve">ur, </w:t>
      </w:r>
      <w:r w:rsidR="00F03F50">
        <w:rPr>
          <w:rFonts w:ascii="Calibri" w:eastAsia="Times New Roman" w:hAnsi="Calibri" w:cs="Times New Roman"/>
          <w:szCs w:val="18"/>
          <w:lang w:val="en-GB" w:bidi="he-IL"/>
        </w:rPr>
        <w:t>and</w:t>
      </w:r>
      <w:r w:rsidR="0090446E">
        <w:rPr>
          <w:rFonts w:ascii="Calibri" w:eastAsia="Times New Roman" w:hAnsi="Calibri" w:cs="Times New Roman"/>
          <w:szCs w:val="18"/>
          <w:lang w:val="en-GB" w:bidi="he-IL"/>
        </w:rPr>
        <w:t xml:space="preserve"> </w:t>
      </w:r>
      <w:r w:rsidRPr="00F62D32">
        <w:rPr>
          <w:rFonts w:ascii="Calibri" w:eastAsia="Times New Roman" w:hAnsi="Calibri" w:cs="Times New Roman"/>
          <w:szCs w:val="18"/>
          <w:lang w:val="en-GB" w:bidi="he-IL"/>
        </w:rPr>
        <w:t>reside</w:t>
      </w:r>
      <w:r>
        <w:rPr>
          <w:rFonts w:ascii="Calibri" w:eastAsia="Times New Roman" w:hAnsi="Calibri" w:cs="Times New Roman"/>
          <w:szCs w:val="18"/>
          <w:lang w:val="en-GB" w:bidi="he-IL"/>
        </w:rPr>
        <w:t xml:space="preserve">d </w:t>
      </w:r>
      <w:r w:rsidR="0097294E">
        <w:rPr>
          <w:rFonts w:ascii="Calibri" w:eastAsia="Times New Roman" w:hAnsi="Calibri" w:cs="Times New Roman"/>
          <w:szCs w:val="18"/>
          <w:lang w:val="en-GB" w:bidi="he-IL"/>
        </w:rPr>
        <w:t xml:space="preserve">as an alien </w:t>
      </w:r>
      <w:r w:rsidR="004E2F6D">
        <w:rPr>
          <w:rFonts w:ascii="Calibri" w:eastAsia="Times New Roman" w:hAnsi="Calibri" w:cs="Times New Roman"/>
          <w:szCs w:val="18"/>
          <w:lang w:val="en-GB" w:bidi="he-IL"/>
        </w:rPr>
        <w:t>in Gerar.</w:t>
      </w:r>
      <w:r w:rsidR="005805B4">
        <w:rPr>
          <w:rStyle w:val="FootnoteReference"/>
          <w:rFonts w:ascii="Calibri" w:eastAsia="Times New Roman" w:hAnsi="Calibri" w:cs="Times New Roman"/>
          <w:szCs w:val="18"/>
          <w:lang w:val="en-GB" w:bidi="he-IL"/>
        </w:rPr>
        <w:footnoteReference w:id="513"/>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2</w:t>
      </w:r>
      <w:r w:rsidR="00EB7FA7">
        <w:rPr>
          <w:rFonts w:ascii="Calibri" w:eastAsia="Times New Roman" w:hAnsi="Calibri" w:cs="Times New Roman"/>
          <w:szCs w:val="18"/>
          <w:lang w:val="en-GB" w:bidi="he-IL"/>
        </w:rPr>
        <w:t>Abraham said of</w:t>
      </w:r>
      <w:r w:rsidR="00755435">
        <w:rPr>
          <w:rStyle w:val="FootnoteReference"/>
          <w:rFonts w:ascii="Calibri" w:eastAsia="Times New Roman" w:hAnsi="Calibri" w:cs="Times New Roman"/>
          <w:szCs w:val="18"/>
          <w:lang w:val="en-GB" w:bidi="he-IL"/>
        </w:rPr>
        <w:footnoteReference w:id="514"/>
      </w:r>
      <w:r w:rsidR="00EB7FA7">
        <w:rPr>
          <w:rFonts w:ascii="Calibri" w:eastAsia="Times New Roman" w:hAnsi="Calibri" w:cs="Times New Roman"/>
          <w:szCs w:val="18"/>
          <w:lang w:val="en-GB" w:bidi="he-IL"/>
        </w:rPr>
        <w:t xml:space="preserve"> </w:t>
      </w:r>
      <w:proofErr w:type="gramStart"/>
      <w:r w:rsidR="00EB7FA7">
        <w:rPr>
          <w:rFonts w:ascii="Calibri" w:eastAsia="Times New Roman" w:hAnsi="Calibri" w:cs="Times New Roman"/>
          <w:szCs w:val="18"/>
          <w:lang w:val="en-GB" w:bidi="he-IL"/>
        </w:rPr>
        <w:t>Ś</w:t>
      </w:r>
      <w:r w:rsidR="00FF7E6E">
        <w:rPr>
          <w:rFonts w:ascii="Calibri" w:eastAsia="Times New Roman" w:hAnsi="Calibri" w:cs="Times New Roman"/>
          <w:szCs w:val="18"/>
          <w:lang w:val="en-GB" w:bidi="he-IL"/>
        </w:rPr>
        <w:t>arah</w:t>
      </w:r>
      <w:proofErr w:type="gramEnd"/>
      <w:r w:rsidR="00FF7E6E">
        <w:rPr>
          <w:rFonts w:ascii="Calibri" w:eastAsia="Times New Roman" w:hAnsi="Calibri" w:cs="Times New Roman"/>
          <w:szCs w:val="18"/>
          <w:lang w:val="en-GB" w:bidi="he-IL"/>
        </w:rPr>
        <w:t xml:space="preserve"> his wife, </w:t>
      </w:r>
      <w:r w:rsidR="003D56BA">
        <w:rPr>
          <w:rFonts w:ascii="Calibri" w:eastAsia="Times New Roman" w:hAnsi="Calibri" w:cs="Times New Roman"/>
          <w:szCs w:val="18"/>
          <w:lang w:val="en-GB" w:bidi="he-IL"/>
        </w:rPr>
        <w:t>“</w:t>
      </w:r>
      <w:r w:rsidR="00FF7E6E">
        <w:rPr>
          <w:rFonts w:ascii="Calibri" w:eastAsia="Times New Roman" w:hAnsi="Calibri" w:cs="Times New Roman"/>
          <w:szCs w:val="18"/>
          <w:lang w:val="en-GB" w:bidi="he-IL"/>
        </w:rPr>
        <w:t>She’s my sister</w:t>
      </w:r>
      <w:r w:rsidRPr="00F62D32">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190700">
        <w:rPr>
          <w:rStyle w:val="FootnoteReference"/>
          <w:rFonts w:ascii="Calibri" w:eastAsia="Times New Roman" w:hAnsi="Calibri" w:cs="Times New Roman"/>
          <w:szCs w:val="18"/>
          <w:lang w:val="en-GB" w:bidi="he-IL"/>
        </w:rPr>
        <w:footnoteReference w:id="515"/>
      </w:r>
      <w:r w:rsidR="00FC5266">
        <w:rPr>
          <w:rFonts w:ascii="Calibri" w:eastAsia="Times New Roman" w:hAnsi="Calibri" w:cs="Times New Roman"/>
          <w:szCs w:val="18"/>
          <w:lang w:val="en-GB" w:bidi="he-IL"/>
        </w:rPr>
        <w:t xml:space="preserve"> </w:t>
      </w:r>
      <w:r w:rsidRPr="00F62D32">
        <w:rPr>
          <w:rFonts w:ascii="Calibri" w:eastAsia="Times New Roman" w:hAnsi="Calibri" w:cs="Times New Roman"/>
          <w:szCs w:val="18"/>
          <w:lang w:val="en-GB" w:bidi="he-IL"/>
        </w:rPr>
        <w:t>Abimel</w:t>
      </w:r>
      <w:r w:rsidR="00F81188">
        <w:rPr>
          <w:rFonts w:ascii="Calibri" w:eastAsia="Times New Roman" w:hAnsi="Calibri" w:cs="Times New Roman"/>
          <w:szCs w:val="18"/>
          <w:lang w:val="en-GB" w:bidi="he-IL"/>
        </w:rPr>
        <w:t>ek king of Gerar sent and got</w:t>
      </w:r>
      <w:r w:rsidR="00EB7FA7">
        <w:rPr>
          <w:rFonts w:ascii="Calibri" w:eastAsia="Times New Roman" w:hAnsi="Calibri" w:cs="Times New Roman"/>
          <w:szCs w:val="18"/>
          <w:lang w:val="en-GB" w:bidi="he-IL"/>
        </w:rPr>
        <w:t xml:space="preserve"> </w:t>
      </w:r>
      <w:proofErr w:type="gramStart"/>
      <w:r w:rsidR="00EB7FA7">
        <w:rPr>
          <w:rFonts w:ascii="Calibri" w:eastAsia="Times New Roman" w:hAnsi="Calibri" w:cs="Times New Roman"/>
          <w:szCs w:val="18"/>
          <w:lang w:val="en-GB" w:bidi="he-IL"/>
        </w:rPr>
        <w:t>Ś</w:t>
      </w:r>
      <w:r w:rsidR="00FC5266">
        <w:rPr>
          <w:rFonts w:ascii="Calibri" w:eastAsia="Times New Roman" w:hAnsi="Calibri" w:cs="Times New Roman"/>
          <w:szCs w:val="18"/>
          <w:lang w:val="en-GB" w:bidi="he-IL"/>
        </w:rPr>
        <w:t>arah</w:t>
      </w:r>
      <w:proofErr w:type="gramEnd"/>
      <w:r w:rsidR="00FC5266">
        <w:rPr>
          <w:rFonts w:ascii="Calibri" w:eastAsia="Times New Roman" w:hAnsi="Calibri" w:cs="Times New Roman"/>
          <w:szCs w:val="18"/>
          <w:lang w:val="en-GB" w:bidi="he-IL"/>
        </w:rPr>
        <w:t>,</w:t>
      </w:r>
      <w:r w:rsidRPr="00F62D32">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3</w:t>
      </w:r>
      <w:r w:rsidR="00FC5266">
        <w:rPr>
          <w:rFonts w:ascii="Calibri" w:eastAsia="Times New Roman" w:hAnsi="Calibri" w:cs="Times New Roman"/>
          <w:szCs w:val="18"/>
          <w:lang w:val="en-GB" w:bidi="he-IL"/>
        </w:rPr>
        <w:t>b</w:t>
      </w:r>
      <w:r w:rsidRPr="00F62D32">
        <w:rPr>
          <w:rFonts w:ascii="Calibri" w:eastAsia="Times New Roman" w:hAnsi="Calibri" w:cs="Times New Roman"/>
          <w:szCs w:val="18"/>
          <w:lang w:val="en-GB" w:bidi="he-IL"/>
        </w:rPr>
        <w:t>ut God came to Abimelek in a d</w:t>
      </w:r>
      <w:r w:rsidR="00FF7E6E">
        <w:rPr>
          <w:rFonts w:ascii="Calibri" w:eastAsia="Times New Roman" w:hAnsi="Calibri" w:cs="Times New Roman"/>
          <w:szCs w:val="18"/>
          <w:lang w:val="en-GB" w:bidi="he-IL"/>
        </w:rPr>
        <w:t xml:space="preserve">ream by night and said to him, </w:t>
      </w:r>
      <w:r w:rsidR="003D56BA">
        <w:rPr>
          <w:rFonts w:ascii="Calibri" w:eastAsia="Times New Roman" w:hAnsi="Calibri" w:cs="Times New Roman"/>
          <w:szCs w:val="18"/>
          <w:lang w:val="en-GB" w:bidi="he-IL"/>
        </w:rPr>
        <w:t>“</w:t>
      </w:r>
      <w:r w:rsidRPr="00F62D32">
        <w:rPr>
          <w:rFonts w:ascii="Calibri" w:eastAsia="Times New Roman" w:hAnsi="Calibri" w:cs="Times New Roman"/>
          <w:szCs w:val="18"/>
          <w:lang w:val="en-GB" w:bidi="he-IL"/>
        </w:rPr>
        <w:t>Here, you’re a de</w:t>
      </w:r>
      <w:r w:rsidR="00F81188">
        <w:rPr>
          <w:rFonts w:ascii="Calibri" w:eastAsia="Times New Roman" w:hAnsi="Calibri" w:cs="Times New Roman"/>
          <w:szCs w:val="18"/>
          <w:lang w:val="en-GB" w:bidi="he-IL"/>
        </w:rPr>
        <w:t>ad man</w:t>
      </w:r>
      <w:r w:rsidR="0083647B">
        <w:rPr>
          <w:rStyle w:val="FootnoteReference"/>
          <w:rFonts w:ascii="Calibri" w:eastAsia="Times New Roman" w:hAnsi="Calibri" w:cs="Times New Roman"/>
          <w:szCs w:val="18"/>
          <w:lang w:val="en-GB" w:bidi="he-IL"/>
        </w:rPr>
        <w:footnoteReference w:id="516"/>
      </w:r>
      <w:r w:rsidR="00F81188">
        <w:rPr>
          <w:rFonts w:ascii="Calibri" w:eastAsia="Times New Roman" w:hAnsi="Calibri" w:cs="Times New Roman"/>
          <w:szCs w:val="18"/>
          <w:lang w:val="en-GB" w:bidi="he-IL"/>
        </w:rPr>
        <w:t xml:space="preserve"> because of the woman that you</w:t>
      </w:r>
      <w:r w:rsidRPr="00F62D32">
        <w:rPr>
          <w:rFonts w:ascii="Calibri" w:eastAsia="Times New Roman" w:hAnsi="Calibri" w:cs="Times New Roman"/>
          <w:szCs w:val="18"/>
          <w:lang w:val="en-GB" w:bidi="he-IL"/>
        </w:rPr>
        <w:t xml:space="preserve"> </w:t>
      </w:r>
      <w:r w:rsidR="00F81188">
        <w:rPr>
          <w:rFonts w:ascii="Calibri" w:eastAsia="Times New Roman" w:hAnsi="Calibri" w:cs="Times New Roman"/>
          <w:szCs w:val="18"/>
          <w:lang w:val="en-GB" w:bidi="he-IL"/>
        </w:rPr>
        <w:t>got</w:t>
      </w:r>
      <w:r w:rsidR="003B59E7">
        <w:rPr>
          <w:rFonts w:ascii="Calibri" w:eastAsia="Times New Roman" w:hAnsi="Calibri" w:cs="Times New Roman"/>
          <w:szCs w:val="18"/>
          <w:lang w:val="en-GB" w:bidi="he-IL"/>
        </w:rPr>
        <w:t>. She belongs</w:t>
      </w:r>
      <w:r w:rsidR="00FF7E6E">
        <w:rPr>
          <w:rFonts w:ascii="Calibri" w:eastAsia="Times New Roman" w:hAnsi="Calibri" w:cs="Times New Roman"/>
          <w:szCs w:val="18"/>
          <w:lang w:val="en-GB" w:bidi="he-IL"/>
        </w:rPr>
        <w:t xml:space="preserve"> to someone</w:t>
      </w:r>
      <w:r w:rsidRPr="00F62D32">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002661BB">
        <w:rPr>
          <w:rStyle w:val="FootnoteReference"/>
          <w:rFonts w:ascii="Calibri" w:eastAsia="Times New Roman" w:hAnsi="Calibri" w:cs="Times New Roman"/>
          <w:szCs w:val="18"/>
          <w:lang w:val="en-GB" w:bidi="he-IL"/>
        </w:rPr>
        <w:footnoteReference w:id="517"/>
      </w:r>
      <w:r w:rsidRPr="00F62D32">
        <w:rPr>
          <w:rFonts w:ascii="Calibri" w:eastAsia="Times New Roman" w:hAnsi="Calibri" w:cs="Times New Roman"/>
          <w:szCs w:val="18"/>
          <w:lang w:val="en-GB" w:bidi="he-IL"/>
        </w:rPr>
        <w:t xml:space="preserve"> </w:t>
      </w:r>
    </w:p>
    <w:p w14:paraId="31E76B62" w14:textId="2DBF7F37" w:rsidR="00F62D32" w:rsidRPr="00F62D32" w:rsidRDefault="00F62D32" w:rsidP="00F62D32">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4</w:t>
      </w:r>
      <w:r w:rsidRPr="00F62D32">
        <w:rPr>
          <w:rFonts w:ascii="Calibri" w:eastAsia="Times New Roman" w:hAnsi="Calibri" w:cs="Times New Roman"/>
          <w:szCs w:val="18"/>
          <w:lang w:val="en-GB" w:bidi="he-IL"/>
        </w:rPr>
        <w:t>Now Abimelek ha</w:t>
      </w:r>
      <w:r w:rsidR="00FF7E6E">
        <w:rPr>
          <w:rFonts w:ascii="Calibri" w:eastAsia="Times New Roman" w:hAnsi="Calibri" w:cs="Times New Roman"/>
          <w:szCs w:val="18"/>
          <w:lang w:val="en-GB" w:bidi="he-IL"/>
        </w:rPr>
        <w:t>d not approached her.</w:t>
      </w:r>
      <w:r w:rsidR="007E2287">
        <w:rPr>
          <w:rStyle w:val="FootnoteReference"/>
          <w:rFonts w:ascii="Calibri" w:eastAsia="Times New Roman" w:hAnsi="Calibri" w:cs="Times New Roman"/>
          <w:szCs w:val="18"/>
          <w:lang w:val="en-GB" w:bidi="he-IL"/>
        </w:rPr>
        <w:footnoteReference w:id="518"/>
      </w:r>
      <w:r w:rsidR="00FF7E6E">
        <w:rPr>
          <w:rFonts w:ascii="Calibri" w:eastAsia="Times New Roman" w:hAnsi="Calibri" w:cs="Times New Roman"/>
          <w:szCs w:val="18"/>
          <w:lang w:val="en-GB" w:bidi="he-IL"/>
        </w:rPr>
        <w:t xml:space="preserve"> He said, </w:t>
      </w:r>
      <w:r w:rsidR="003D56BA">
        <w:rPr>
          <w:rFonts w:ascii="Calibri" w:eastAsia="Times New Roman" w:hAnsi="Calibri" w:cs="Times New Roman"/>
          <w:szCs w:val="18"/>
          <w:lang w:val="en-GB" w:bidi="he-IL"/>
        </w:rPr>
        <w:t>“</w:t>
      </w:r>
      <w:r w:rsidRPr="00F62D32">
        <w:rPr>
          <w:rFonts w:ascii="Calibri" w:eastAsia="Times New Roman" w:hAnsi="Calibri" w:cs="Times New Roman"/>
          <w:szCs w:val="18"/>
          <w:lang w:val="en-GB" w:bidi="he-IL"/>
        </w:rPr>
        <w:t>Lord, a nation</w:t>
      </w:r>
      <w:r w:rsidR="00B76C31">
        <w:rPr>
          <w:rFonts w:ascii="Calibri" w:eastAsia="Times New Roman" w:hAnsi="Calibri" w:cs="Times New Roman"/>
          <w:szCs w:val="18"/>
          <w:lang w:val="en-GB" w:bidi="he-IL"/>
        </w:rPr>
        <w:t>, yes</w:t>
      </w:r>
      <w:r w:rsidR="00AF70A7">
        <w:rPr>
          <w:rFonts w:ascii="Calibri" w:eastAsia="Times New Roman" w:hAnsi="Calibri" w:cs="Times New Roman"/>
          <w:szCs w:val="18"/>
          <w:lang w:val="en-GB" w:bidi="he-IL"/>
        </w:rPr>
        <w:t xml:space="preserve"> a</w:t>
      </w:r>
      <w:r w:rsidRPr="00F62D32">
        <w:rPr>
          <w:rFonts w:ascii="Calibri" w:eastAsia="Times New Roman" w:hAnsi="Calibri" w:cs="Times New Roman"/>
          <w:szCs w:val="18"/>
          <w:lang w:val="en-GB" w:bidi="he-IL"/>
        </w:rPr>
        <w:t xml:space="preserve"> faithful</w:t>
      </w:r>
      <w:r w:rsidR="00AF70A7">
        <w:rPr>
          <w:rFonts w:ascii="Calibri" w:eastAsia="Times New Roman" w:hAnsi="Calibri" w:cs="Times New Roman"/>
          <w:szCs w:val="18"/>
          <w:lang w:val="en-GB" w:bidi="he-IL"/>
        </w:rPr>
        <w:t xml:space="preserve"> one</w:t>
      </w:r>
      <w:r w:rsidR="00B76C31">
        <w:rPr>
          <w:rFonts w:ascii="Calibri" w:eastAsia="Times New Roman" w:hAnsi="Calibri" w:cs="Times New Roman"/>
          <w:szCs w:val="18"/>
          <w:lang w:val="en-GB" w:bidi="he-IL"/>
        </w:rPr>
        <w:t>—</w:t>
      </w:r>
      <w:r w:rsidR="00B76C31" w:rsidRPr="00F62D32">
        <w:rPr>
          <w:rFonts w:ascii="Calibri" w:eastAsia="Times New Roman" w:hAnsi="Calibri" w:cs="Times New Roman"/>
          <w:szCs w:val="18"/>
          <w:lang w:val="en-GB" w:bidi="he-IL"/>
        </w:rPr>
        <w:t>would you kill</w:t>
      </w:r>
      <w:r w:rsidR="00B76C31">
        <w:rPr>
          <w:rFonts w:ascii="Calibri" w:eastAsia="Times New Roman" w:hAnsi="Calibri" w:cs="Times New Roman"/>
          <w:szCs w:val="18"/>
          <w:lang w:val="en-GB" w:bidi="he-IL"/>
        </w:rPr>
        <w:t xml:space="preserve"> it</w:t>
      </w:r>
      <w:r w:rsidRPr="00F62D32">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5</w:t>
      </w:r>
      <w:r w:rsidRPr="00F62D32">
        <w:rPr>
          <w:rFonts w:ascii="Calibri" w:eastAsia="Times New Roman" w:hAnsi="Calibri" w:cs="Times New Roman"/>
          <w:szCs w:val="18"/>
          <w:lang w:val="en-GB" w:bidi="he-IL"/>
        </w:rPr>
        <w:t xml:space="preserve">That man said to me, </w:t>
      </w:r>
      <w:r>
        <w:rPr>
          <w:rFonts w:ascii="Calibri" w:eastAsia="Times New Roman" w:hAnsi="Calibri" w:cs="Times New Roman"/>
          <w:szCs w:val="18"/>
          <w:lang w:val="en-GB" w:bidi="he-IL"/>
        </w:rPr>
        <w:t>‘</w:t>
      </w:r>
      <w:r w:rsidR="00FF7E6E">
        <w:rPr>
          <w:rFonts w:ascii="Calibri" w:eastAsia="Times New Roman" w:hAnsi="Calibri" w:cs="Times New Roman"/>
          <w:szCs w:val="18"/>
          <w:lang w:val="en-GB" w:bidi="he-IL"/>
        </w:rPr>
        <w:t>She’s my sister</w:t>
      </w:r>
      <w:r w:rsidRPr="00F62D32">
        <w:rPr>
          <w:rFonts w:ascii="Calibri" w:eastAsia="Times New Roman" w:hAnsi="Calibri" w:cs="Times New Roman"/>
          <w:szCs w:val="18"/>
          <w:lang w:val="en-GB" w:bidi="he-IL"/>
        </w:rPr>
        <w:t>,</w:t>
      </w:r>
      <w:r w:rsidR="00FF7E6E">
        <w:rPr>
          <w:rFonts w:ascii="Calibri" w:eastAsia="Times New Roman" w:hAnsi="Calibri" w:cs="Times New Roman"/>
          <w:szCs w:val="18"/>
          <w:lang w:val="en-GB" w:bidi="he-IL"/>
        </w:rPr>
        <w:t>’</w:t>
      </w:r>
      <w:r w:rsidR="00952BAA">
        <w:rPr>
          <w:rFonts w:ascii="Calibri" w:eastAsia="Times New Roman" w:hAnsi="Calibri" w:cs="Times New Roman"/>
          <w:szCs w:val="18"/>
          <w:lang w:val="en-GB" w:bidi="he-IL"/>
        </w:rPr>
        <w:t xml:space="preserve"> didn’t he, a</w:t>
      </w:r>
      <w:r w:rsidRPr="00F62D32">
        <w:rPr>
          <w:rFonts w:ascii="Calibri" w:eastAsia="Times New Roman" w:hAnsi="Calibri" w:cs="Times New Roman"/>
          <w:szCs w:val="18"/>
          <w:lang w:val="en-GB" w:bidi="he-IL"/>
        </w:rPr>
        <w:t>nd she hers</w:t>
      </w:r>
      <w:r w:rsidR="00FF7E6E">
        <w:rPr>
          <w:rFonts w:ascii="Calibri" w:eastAsia="Times New Roman" w:hAnsi="Calibri" w:cs="Times New Roman"/>
          <w:szCs w:val="18"/>
          <w:lang w:val="en-GB" w:bidi="he-IL"/>
        </w:rPr>
        <w:t>elf also said, ‘He’s my brother</w:t>
      </w:r>
      <w:r w:rsidRPr="00F62D32">
        <w:rPr>
          <w:rFonts w:ascii="Calibri" w:eastAsia="Times New Roman" w:hAnsi="Calibri" w:cs="Times New Roman"/>
          <w:szCs w:val="18"/>
          <w:lang w:val="en-GB" w:bidi="he-IL"/>
        </w:rPr>
        <w:t>.</w:t>
      </w:r>
      <w:r w:rsidR="00FF7E6E">
        <w:rPr>
          <w:rFonts w:ascii="Calibri" w:eastAsia="Times New Roman" w:hAnsi="Calibri" w:cs="Times New Roman"/>
          <w:szCs w:val="18"/>
          <w:lang w:val="en-GB" w:bidi="he-IL"/>
        </w:rPr>
        <w:t>’</w:t>
      </w:r>
      <w:r w:rsidRPr="00F62D32">
        <w:rPr>
          <w:rFonts w:ascii="Calibri" w:eastAsia="Times New Roman" w:hAnsi="Calibri" w:cs="Times New Roman"/>
          <w:szCs w:val="18"/>
          <w:lang w:val="en-GB" w:bidi="he-IL"/>
        </w:rPr>
        <w:t xml:space="preserve"> It was with integrity</w:t>
      </w:r>
      <w:r w:rsidR="00C861E1">
        <w:rPr>
          <w:rFonts w:ascii="Calibri" w:eastAsia="Times New Roman" w:hAnsi="Calibri" w:cs="Times New Roman"/>
          <w:szCs w:val="18"/>
          <w:lang w:val="en-GB" w:bidi="he-IL"/>
        </w:rPr>
        <w:t xml:space="preserve"> in my heart and with freedom from</w:t>
      </w:r>
      <w:r w:rsidRPr="00F62D32">
        <w:rPr>
          <w:rFonts w:ascii="Calibri" w:eastAsia="Times New Roman" w:hAnsi="Calibri" w:cs="Times New Roman"/>
          <w:szCs w:val="18"/>
          <w:lang w:val="en-GB" w:bidi="he-IL"/>
        </w:rPr>
        <w:t xml:space="preserve"> guilt in the pa</w:t>
      </w:r>
      <w:r w:rsidR="00FF7E6E">
        <w:rPr>
          <w:rFonts w:ascii="Calibri" w:eastAsia="Times New Roman" w:hAnsi="Calibri" w:cs="Times New Roman"/>
          <w:szCs w:val="18"/>
          <w:lang w:val="en-GB" w:bidi="he-IL"/>
        </w:rPr>
        <w:t>lms of my hands</w:t>
      </w:r>
      <w:r w:rsidR="00C861E1">
        <w:rPr>
          <w:rStyle w:val="FootnoteReference"/>
          <w:rFonts w:ascii="Calibri" w:eastAsia="Times New Roman" w:hAnsi="Calibri" w:cs="Times New Roman"/>
          <w:szCs w:val="18"/>
          <w:lang w:val="en-GB" w:bidi="he-IL"/>
        </w:rPr>
        <w:footnoteReference w:id="519"/>
      </w:r>
      <w:r w:rsidR="00FF7E6E">
        <w:rPr>
          <w:rFonts w:ascii="Calibri" w:eastAsia="Times New Roman" w:hAnsi="Calibri" w:cs="Times New Roman"/>
          <w:szCs w:val="18"/>
          <w:lang w:val="en-GB" w:bidi="he-IL"/>
        </w:rPr>
        <w:t xml:space="preserve"> that I did this</w:t>
      </w:r>
      <w:r w:rsidRPr="00F62D32">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Pr="00F62D32">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6</w:t>
      </w:r>
      <w:r w:rsidR="00FF7E6E">
        <w:rPr>
          <w:rFonts w:ascii="Calibri" w:eastAsia="Times New Roman" w:hAnsi="Calibri" w:cs="Times New Roman"/>
          <w:szCs w:val="18"/>
          <w:lang w:val="en-GB" w:bidi="he-IL"/>
        </w:rPr>
        <w:t xml:space="preserve">God said to him in the dream, </w:t>
      </w:r>
      <w:r w:rsidR="003D56BA">
        <w:rPr>
          <w:rFonts w:ascii="Calibri" w:eastAsia="Times New Roman" w:hAnsi="Calibri" w:cs="Times New Roman"/>
          <w:szCs w:val="18"/>
          <w:lang w:val="en-GB" w:bidi="he-IL"/>
        </w:rPr>
        <w:t>“</w:t>
      </w:r>
      <w:r w:rsidRPr="00F62D32">
        <w:rPr>
          <w:rFonts w:ascii="Calibri" w:eastAsia="Times New Roman" w:hAnsi="Calibri" w:cs="Times New Roman"/>
          <w:szCs w:val="18"/>
          <w:lang w:val="en-GB" w:bidi="he-IL"/>
        </w:rPr>
        <w:t>I myself both know that you did this with integrity in your heart, and have also held you back from doing wrong in relatio</w:t>
      </w:r>
      <w:r w:rsidR="00934C2A">
        <w:rPr>
          <w:rFonts w:ascii="Calibri" w:eastAsia="Times New Roman" w:hAnsi="Calibri" w:cs="Times New Roman"/>
          <w:szCs w:val="18"/>
          <w:lang w:val="en-GB" w:bidi="he-IL"/>
        </w:rPr>
        <w:t>n to me. That’s why I didn’t permit</w:t>
      </w:r>
      <w:r w:rsidRPr="00F62D32">
        <w:rPr>
          <w:rFonts w:ascii="Calibri" w:eastAsia="Times New Roman" w:hAnsi="Calibri" w:cs="Times New Roman"/>
          <w:szCs w:val="18"/>
          <w:lang w:val="en-GB" w:bidi="he-IL"/>
        </w:rPr>
        <w:t xml:space="preserve"> you </w:t>
      </w:r>
      <w:r w:rsidR="00934C2A">
        <w:rPr>
          <w:rFonts w:ascii="Calibri" w:eastAsia="Times New Roman" w:hAnsi="Calibri" w:cs="Times New Roman"/>
          <w:szCs w:val="18"/>
          <w:lang w:val="en-GB" w:bidi="he-IL"/>
        </w:rPr>
        <w:t xml:space="preserve">to </w:t>
      </w:r>
      <w:r w:rsidRPr="00F62D32">
        <w:rPr>
          <w:rFonts w:ascii="Calibri" w:eastAsia="Times New Roman" w:hAnsi="Calibri" w:cs="Times New Roman"/>
          <w:szCs w:val="18"/>
          <w:lang w:val="en-GB" w:bidi="he-IL"/>
        </w:rPr>
        <w:t xml:space="preserve">touch her. </w:t>
      </w:r>
      <w:r>
        <w:rPr>
          <w:rFonts w:ascii="Calibri" w:eastAsia="Times New Roman" w:hAnsi="Calibri" w:cs="Times New Roman"/>
          <w:szCs w:val="18"/>
          <w:vertAlign w:val="superscript"/>
          <w:lang w:val="en-GB" w:bidi="he-IL"/>
        </w:rPr>
        <w:t>7</w:t>
      </w:r>
      <w:r w:rsidRPr="00F62D32">
        <w:rPr>
          <w:rFonts w:ascii="Calibri" w:eastAsia="Times New Roman" w:hAnsi="Calibri" w:cs="Times New Roman"/>
          <w:szCs w:val="18"/>
          <w:lang w:val="en-GB" w:bidi="he-IL"/>
        </w:rPr>
        <w:t xml:space="preserve">So </w:t>
      </w:r>
      <w:r w:rsidR="00AF70A7">
        <w:rPr>
          <w:rFonts w:ascii="Calibri" w:eastAsia="Times New Roman" w:hAnsi="Calibri" w:cs="Times New Roman"/>
          <w:szCs w:val="18"/>
          <w:lang w:val="en-GB" w:bidi="he-IL"/>
        </w:rPr>
        <w:t>now give the man’s wife back, b</w:t>
      </w:r>
      <w:r w:rsidRPr="00F62D32">
        <w:rPr>
          <w:rFonts w:ascii="Calibri" w:eastAsia="Times New Roman" w:hAnsi="Calibri" w:cs="Times New Roman"/>
          <w:szCs w:val="18"/>
          <w:lang w:val="en-GB" w:bidi="he-IL"/>
        </w:rPr>
        <w:t xml:space="preserve">ecause </w:t>
      </w:r>
      <w:r w:rsidR="001358ED">
        <w:rPr>
          <w:rFonts w:ascii="Calibri" w:eastAsia="Times New Roman" w:hAnsi="Calibri" w:cs="Times New Roman"/>
          <w:szCs w:val="18"/>
          <w:lang w:val="en-GB" w:bidi="he-IL"/>
        </w:rPr>
        <w:t xml:space="preserve">he’s a prophet, </w:t>
      </w:r>
      <w:r w:rsidR="00AF70A7">
        <w:rPr>
          <w:rFonts w:ascii="Calibri" w:eastAsia="Times New Roman" w:hAnsi="Calibri" w:cs="Times New Roman"/>
          <w:szCs w:val="18"/>
          <w:lang w:val="en-GB" w:bidi="he-IL"/>
        </w:rPr>
        <w:t xml:space="preserve">and </w:t>
      </w:r>
      <w:r w:rsidR="001358ED">
        <w:rPr>
          <w:rFonts w:ascii="Calibri" w:eastAsia="Times New Roman" w:hAnsi="Calibri" w:cs="Times New Roman"/>
          <w:szCs w:val="18"/>
          <w:lang w:val="en-GB" w:bidi="he-IL"/>
        </w:rPr>
        <w:t>he can plead</w:t>
      </w:r>
      <w:r w:rsidRPr="00F62D32">
        <w:rPr>
          <w:rFonts w:ascii="Calibri" w:eastAsia="Times New Roman" w:hAnsi="Calibri" w:cs="Times New Roman"/>
          <w:szCs w:val="18"/>
          <w:lang w:val="en-GB" w:bidi="he-IL"/>
        </w:rPr>
        <w:t xml:space="preserve"> for you. Save your life. But if you don’t give her back, acknowledge that you will definitely die,</w:t>
      </w:r>
      <w:r w:rsidR="000B23CA">
        <w:rPr>
          <w:rStyle w:val="FootnoteReference"/>
        </w:rPr>
        <w:footnoteReference w:id="520"/>
      </w:r>
      <w:r w:rsidRPr="00F62D32">
        <w:rPr>
          <w:rFonts w:ascii="Calibri" w:eastAsia="Times New Roman" w:hAnsi="Calibri" w:cs="Times New Roman"/>
          <w:szCs w:val="18"/>
          <w:lang w:val="en-GB" w:bidi="he-IL"/>
        </w:rPr>
        <w:t xml:space="preserve"> </w:t>
      </w:r>
      <w:r w:rsidR="00FF7E6E">
        <w:rPr>
          <w:rFonts w:ascii="Calibri" w:eastAsia="Times New Roman" w:hAnsi="Calibri" w:cs="Times New Roman"/>
          <w:szCs w:val="18"/>
          <w:lang w:val="en-GB" w:bidi="he-IL"/>
        </w:rPr>
        <w:t>you and everything that’s yours</w:t>
      </w:r>
      <w:r w:rsidRPr="00F62D32">
        <w:rPr>
          <w:rFonts w:ascii="Calibri" w:eastAsia="Times New Roman" w:hAnsi="Calibri" w:cs="Times New Roman"/>
          <w:szCs w:val="18"/>
          <w:lang w:val="en-GB" w:bidi="he-IL"/>
        </w:rPr>
        <w:t>.</w:t>
      </w:r>
      <w:r w:rsidR="003D56BA">
        <w:rPr>
          <w:rFonts w:ascii="Calibri" w:eastAsia="Times New Roman" w:hAnsi="Calibri" w:cs="Times New Roman"/>
          <w:szCs w:val="18"/>
          <w:lang w:val="en-GB" w:bidi="he-IL"/>
        </w:rPr>
        <w:t>”</w:t>
      </w:r>
      <w:r w:rsidRPr="00F62D32">
        <w:rPr>
          <w:rFonts w:ascii="Calibri" w:eastAsia="Times New Roman" w:hAnsi="Calibri" w:cs="Times New Roman"/>
          <w:szCs w:val="18"/>
          <w:lang w:val="en-GB" w:bidi="he-IL"/>
        </w:rPr>
        <w:t xml:space="preserve"> </w:t>
      </w:r>
    </w:p>
    <w:p w14:paraId="160F6F0A" w14:textId="4A7D6468" w:rsidR="00EB7FA7" w:rsidRDefault="00F62D32" w:rsidP="00F62D32">
      <w:pPr>
        <w:rPr>
          <w:rFonts w:ascii="Calibri" w:eastAsia="Times New Roman" w:hAnsi="Calibri" w:cs="Times New Roman"/>
          <w:lang w:val="en-GB" w:bidi="he-IL"/>
        </w:rPr>
      </w:pPr>
      <w:r>
        <w:rPr>
          <w:rFonts w:ascii="Calibri" w:eastAsia="Times New Roman" w:hAnsi="Calibri" w:cs="Times New Roman"/>
          <w:vertAlign w:val="superscript"/>
          <w:lang w:val="en-GB" w:bidi="he-IL"/>
        </w:rPr>
        <w:t>8</w:t>
      </w:r>
      <w:r w:rsidRPr="00F62D32">
        <w:rPr>
          <w:rFonts w:ascii="Calibri" w:eastAsia="Times New Roman" w:hAnsi="Calibri" w:cs="Times New Roman"/>
          <w:lang w:val="en-GB" w:bidi="he-IL"/>
        </w:rPr>
        <w:t>Abimelek started early in the morning, called for all his servants, and spoke all these things in their ea</w:t>
      </w:r>
      <w:r w:rsidR="000703AC">
        <w:rPr>
          <w:rFonts w:ascii="Calibri" w:eastAsia="Times New Roman" w:hAnsi="Calibri" w:cs="Times New Roman"/>
          <w:lang w:val="en-GB" w:bidi="he-IL"/>
        </w:rPr>
        <w:t>rs. The men were in great awe</w:t>
      </w:r>
      <w:r w:rsidRPr="00F62D32">
        <w:rPr>
          <w:rFonts w:ascii="Calibri" w:eastAsia="Times New Roman" w:hAnsi="Calibri" w:cs="Times New Roman"/>
          <w:lang w:val="en-GB" w:bidi="he-IL"/>
        </w:rPr>
        <w:t>.</w:t>
      </w:r>
      <w:r w:rsidR="000703AC">
        <w:rPr>
          <w:rStyle w:val="FootnoteReference"/>
          <w:rFonts w:ascii="Calibri" w:eastAsia="Times New Roman" w:hAnsi="Calibri" w:cs="Times New Roman"/>
          <w:lang w:val="en-GB" w:bidi="he-IL"/>
        </w:rPr>
        <w:footnoteReference w:id="521"/>
      </w:r>
      <w:r w:rsidRPr="00F62D32">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9</w:t>
      </w:r>
      <w:r w:rsidRPr="00F62D32">
        <w:rPr>
          <w:rFonts w:ascii="Calibri" w:eastAsia="Times New Roman" w:hAnsi="Calibri" w:cs="Times New Roman"/>
          <w:lang w:val="en-GB" w:bidi="he-IL"/>
        </w:rPr>
        <w:t>Abimelek calle</w:t>
      </w:r>
      <w:r w:rsidR="00FF7E6E">
        <w:rPr>
          <w:rFonts w:ascii="Calibri" w:eastAsia="Times New Roman" w:hAnsi="Calibri" w:cs="Times New Roman"/>
          <w:lang w:val="en-GB" w:bidi="he-IL"/>
        </w:rPr>
        <w:t xml:space="preserve">d for Abraham and said to him, </w:t>
      </w:r>
      <w:r w:rsidR="003D56BA">
        <w:rPr>
          <w:rFonts w:ascii="Calibri" w:eastAsia="Times New Roman" w:hAnsi="Calibri" w:cs="Times New Roman"/>
          <w:lang w:val="en-GB" w:bidi="he-IL"/>
        </w:rPr>
        <w:t>“</w:t>
      </w:r>
      <w:r w:rsidRPr="00F62D32">
        <w:rPr>
          <w:rFonts w:ascii="Calibri" w:eastAsia="Times New Roman" w:hAnsi="Calibri" w:cs="Times New Roman"/>
          <w:lang w:val="en-GB" w:bidi="he-IL"/>
        </w:rPr>
        <w:t>What have you done to us? How did I do wrong in relation to you</w:t>
      </w:r>
      <w:r w:rsidR="0087354C">
        <w:rPr>
          <w:rFonts w:ascii="Calibri" w:eastAsia="Times New Roman" w:hAnsi="Calibri" w:cs="Times New Roman"/>
          <w:lang w:val="en-GB" w:bidi="he-IL"/>
        </w:rPr>
        <w:t>,</w:t>
      </w:r>
      <w:r w:rsidRPr="00F62D32">
        <w:rPr>
          <w:rFonts w:ascii="Calibri" w:eastAsia="Times New Roman" w:hAnsi="Calibri" w:cs="Times New Roman"/>
          <w:lang w:val="en-GB" w:bidi="he-IL"/>
        </w:rPr>
        <w:t xml:space="preserve"> that you’ve brought a big wrong on me and on my entire kingdom? You’ve done deeds </w:t>
      </w:r>
      <w:r w:rsidR="00B3766E">
        <w:rPr>
          <w:rFonts w:ascii="Calibri" w:eastAsia="Times New Roman" w:hAnsi="Calibri" w:cs="Times New Roman"/>
          <w:lang w:val="en-GB" w:bidi="he-IL"/>
        </w:rPr>
        <w:t>with me that shouldn’</w:t>
      </w:r>
      <w:r w:rsidR="00FF7E6E">
        <w:rPr>
          <w:rFonts w:ascii="Calibri" w:eastAsia="Times New Roman" w:hAnsi="Calibri" w:cs="Times New Roman"/>
          <w:lang w:val="en-GB" w:bidi="he-IL"/>
        </w:rPr>
        <w:t>t be done</w:t>
      </w:r>
      <w:r w:rsidRPr="00F62D32">
        <w:rPr>
          <w:rFonts w:ascii="Calibri" w:eastAsia="Times New Roman" w:hAnsi="Calibri" w:cs="Times New Roman"/>
          <w:lang w:val="en-GB" w:bidi="he-IL"/>
        </w:rPr>
        <w:t>.</w:t>
      </w:r>
      <w:r w:rsidR="003D56BA">
        <w:rPr>
          <w:rFonts w:ascii="Calibri" w:eastAsia="Times New Roman" w:hAnsi="Calibri" w:cs="Times New Roman"/>
          <w:lang w:val="en-GB" w:bidi="he-IL"/>
        </w:rPr>
        <w:t>”</w:t>
      </w:r>
      <w:r w:rsidRPr="00F62D32">
        <w:rPr>
          <w:rFonts w:ascii="Calibri" w:eastAsia="Times New Roman" w:hAnsi="Calibri" w:cs="Times New Roman"/>
          <w:lang w:val="en-GB" w:bidi="he-IL"/>
        </w:rPr>
        <w:t xml:space="preserve"> </w:t>
      </w:r>
      <w:r>
        <w:rPr>
          <w:rFonts w:ascii="Calibri" w:eastAsia="Times New Roman" w:hAnsi="Calibri" w:cs="Times New Roman"/>
          <w:lang w:val="en-GB" w:bidi="he-IL"/>
        </w:rPr>
        <w:tab/>
      </w:r>
    </w:p>
    <w:p w14:paraId="69237D57" w14:textId="1C3BAC1F" w:rsidR="00F62D32" w:rsidRPr="00F62D32" w:rsidRDefault="00F62D32" w:rsidP="00F62D32">
      <w:pPr>
        <w:rPr>
          <w:rFonts w:ascii="Calibri" w:eastAsia="Times New Roman" w:hAnsi="Calibri" w:cs="Times New Roman"/>
          <w:lang w:val="en-GB" w:bidi="he-IL"/>
        </w:rPr>
      </w:pPr>
      <w:r>
        <w:rPr>
          <w:rFonts w:ascii="Calibri" w:eastAsia="Times New Roman" w:hAnsi="Calibri" w:cs="Times New Roman"/>
          <w:vertAlign w:val="superscript"/>
          <w:lang w:val="en-GB" w:bidi="he-IL"/>
        </w:rPr>
        <w:t>10</w:t>
      </w:r>
      <w:r w:rsidR="00EB7FA7">
        <w:rPr>
          <w:rFonts w:ascii="Calibri" w:eastAsia="Times New Roman" w:hAnsi="Calibri" w:cs="Times New Roman"/>
          <w:lang w:val="en-GB" w:bidi="he-IL"/>
        </w:rPr>
        <w:t>So A</w:t>
      </w:r>
      <w:r w:rsidR="00FF7E6E">
        <w:rPr>
          <w:rFonts w:ascii="Calibri" w:eastAsia="Times New Roman" w:hAnsi="Calibri" w:cs="Times New Roman"/>
          <w:lang w:val="en-GB" w:bidi="he-IL"/>
        </w:rPr>
        <w:t xml:space="preserve">bimelek said to Abraham, </w:t>
      </w:r>
      <w:r w:rsidR="003D56BA">
        <w:rPr>
          <w:rFonts w:ascii="Calibri" w:eastAsia="Times New Roman" w:hAnsi="Calibri" w:cs="Times New Roman"/>
          <w:lang w:val="en-GB" w:bidi="he-IL"/>
        </w:rPr>
        <w:t>“</w:t>
      </w:r>
      <w:r w:rsidRPr="00F62D32">
        <w:rPr>
          <w:rFonts w:ascii="Calibri" w:eastAsia="Times New Roman" w:hAnsi="Calibri" w:cs="Times New Roman"/>
          <w:lang w:val="en-GB" w:bidi="he-IL"/>
        </w:rPr>
        <w:t>What did y</w:t>
      </w:r>
      <w:r w:rsidR="001E0D80">
        <w:rPr>
          <w:rFonts w:ascii="Calibri" w:eastAsia="Times New Roman" w:hAnsi="Calibri" w:cs="Times New Roman"/>
          <w:lang w:val="en-GB" w:bidi="he-IL"/>
        </w:rPr>
        <w:t>ou see</w:t>
      </w:r>
      <w:r w:rsidR="00FF7E6E">
        <w:rPr>
          <w:rFonts w:ascii="Calibri" w:eastAsia="Times New Roman" w:hAnsi="Calibri" w:cs="Times New Roman"/>
          <w:lang w:val="en-GB" w:bidi="he-IL"/>
        </w:rPr>
        <w:t xml:space="preserve"> that you did this thing?</w:t>
      </w:r>
      <w:r w:rsidR="003D56BA">
        <w:rPr>
          <w:rFonts w:ascii="Calibri" w:eastAsia="Times New Roman" w:hAnsi="Calibri" w:cs="Times New Roman"/>
          <w:lang w:val="en-GB" w:bidi="he-IL"/>
        </w:rPr>
        <w:t>”</w:t>
      </w:r>
      <w:r w:rsidRPr="00F62D32">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11</w:t>
      </w:r>
      <w:r w:rsidR="00FF7E6E">
        <w:rPr>
          <w:rFonts w:ascii="Calibri" w:eastAsia="Times New Roman" w:hAnsi="Calibri" w:cs="Times New Roman"/>
          <w:lang w:val="en-GB" w:bidi="he-IL"/>
        </w:rPr>
        <w:t xml:space="preserve">Abraham said, </w:t>
      </w:r>
      <w:r w:rsidR="003D56BA">
        <w:rPr>
          <w:rFonts w:ascii="Calibri" w:eastAsia="Times New Roman" w:hAnsi="Calibri" w:cs="Times New Roman"/>
          <w:lang w:val="en-GB" w:bidi="he-IL"/>
        </w:rPr>
        <w:t>“</w:t>
      </w:r>
      <w:r w:rsidR="00B37546">
        <w:rPr>
          <w:rFonts w:ascii="Calibri" w:eastAsia="Times New Roman" w:hAnsi="Calibri" w:cs="Times New Roman"/>
          <w:lang w:val="en-GB" w:bidi="he-IL"/>
        </w:rPr>
        <w:t xml:space="preserve">Because </w:t>
      </w:r>
      <w:r w:rsidR="00FF7E6E">
        <w:rPr>
          <w:rFonts w:ascii="Calibri" w:eastAsia="Times New Roman" w:hAnsi="Calibri" w:cs="Times New Roman"/>
          <w:lang w:val="en-GB" w:bidi="he-IL"/>
        </w:rPr>
        <w:t>I said, ‘</w:t>
      </w:r>
      <w:proofErr w:type="gramStart"/>
      <w:r w:rsidRPr="00F62D32">
        <w:rPr>
          <w:rFonts w:ascii="Calibri" w:eastAsia="Times New Roman" w:hAnsi="Calibri" w:cs="Times New Roman"/>
          <w:lang w:val="en-GB" w:bidi="he-IL"/>
        </w:rPr>
        <w:t>There’s</w:t>
      </w:r>
      <w:proofErr w:type="gramEnd"/>
      <w:r w:rsidRPr="00F62D32">
        <w:rPr>
          <w:rFonts w:ascii="Calibri" w:eastAsia="Times New Roman" w:hAnsi="Calibri" w:cs="Times New Roman"/>
          <w:lang w:val="en-GB" w:bidi="he-IL"/>
        </w:rPr>
        <w:t xml:space="preserve"> just no awe for God in this place, and they’l</w:t>
      </w:r>
      <w:r w:rsidR="00FF7E6E">
        <w:rPr>
          <w:rFonts w:ascii="Calibri" w:eastAsia="Times New Roman" w:hAnsi="Calibri" w:cs="Times New Roman"/>
          <w:lang w:val="en-GB" w:bidi="he-IL"/>
        </w:rPr>
        <w:t>l kill me on account of my wife</w:t>
      </w:r>
      <w:r w:rsidRPr="00F62D32">
        <w:rPr>
          <w:rFonts w:ascii="Calibri" w:eastAsia="Times New Roman" w:hAnsi="Calibri" w:cs="Times New Roman"/>
          <w:lang w:val="en-GB" w:bidi="he-IL"/>
        </w:rPr>
        <w:t>.</w:t>
      </w:r>
      <w:r w:rsidR="00FF7E6E">
        <w:rPr>
          <w:rFonts w:ascii="Calibri" w:eastAsia="Times New Roman" w:hAnsi="Calibri" w:cs="Times New Roman"/>
          <w:lang w:val="en-GB" w:bidi="he-IL"/>
        </w:rPr>
        <w:t>’</w:t>
      </w:r>
      <w:r w:rsidRPr="00F62D32">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lastRenderedPageBreak/>
        <w:t>12</w:t>
      </w:r>
      <w:r w:rsidRPr="00F62D32">
        <w:rPr>
          <w:rFonts w:ascii="Calibri" w:eastAsia="Times New Roman" w:hAnsi="Calibri" w:cs="Times New Roman"/>
          <w:lang w:val="en-GB" w:bidi="he-IL"/>
        </w:rPr>
        <w:t xml:space="preserve">And also, she truly is my sister, my father’s daughter, admittedly not my mother’s daughter. </w:t>
      </w:r>
      <w:r>
        <w:rPr>
          <w:rFonts w:ascii="Calibri" w:eastAsia="Times New Roman" w:hAnsi="Calibri" w:cs="Times New Roman"/>
          <w:lang w:val="en-GB" w:bidi="he-IL"/>
        </w:rPr>
        <w:t xml:space="preserve">So she became my wife, </w:t>
      </w:r>
      <w:r>
        <w:rPr>
          <w:rFonts w:ascii="Calibri" w:eastAsia="Times New Roman" w:hAnsi="Calibri" w:cs="Times New Roman"/>
          <w:vertAlign w:val="superscript"/>
          <w:lang w:val="en-GB" w:bidi="he-IL"/>
        </w:rPr>
        <w:t>13</w:t>
      </w:r>
      <w:r w:rsidRPr="00F62D32">
        <w:rPr>
          <w:rFonts w:ascii="Calibri" w:eastAsia="Times New Roman" w:hAnsi="Calibri" w:cs="Times New Roman"/>
          <w:lang w:val="en-GB" w:bidi="he-IL"/>
        </w:rPr>
        <w:t>and when God</w:t>
      </w:r>
      <w:r w:rsidR="00C8760A">
        <w:rPr>
          <w:rFonts w:ascii="Calibri" w:eastAsia="Times New Roman" w:hAnsi="Calibri" w:cs="Times New Roman"/>
          <w:lang w:val="en-GB" w:bidi="he-IL"/>
        </w:rPr>
        <w:t xml:space="preserve"> </w:t>
      </w:r>
      <w:r w:rsidRPr="00F62D32">
        <w:rPr>
          <w:rFonts w:ascii="Calibri" w:eastAsia="Times New Roman" w:hAnsi="Calibri" w:cs="Times New Roman"/>
          <w:lang w:val="en-GB" w:bidi="he-IL"/>
        </w:rPr>
        <w:t>made me wander</w:t>
      </w:r>
      <w:r w:rsidR="00C8760A" w:rsidRPr="00C8760A">
        <w:rPr>
          <w:rFonts w:ascii="Calibri" w:eastAsia="Times New Roman" w:hAnsi="Calibri" w:cs="Times New Roman"/>
          <w:vertAlign w:val="superscript"/>
          <w:lang w:val="en-GB" w:bidi="he-IL"/>
        </w:rPr>
        <w:footnoteReference w:id="522"/>
      </w:r>
      <w:r w:rsidRPr="00F62D32">
        <w:rPr>
          <w:rFonts w:ascii="Calibri" w:eastAsia="Times New Roman" w:hAnsi="Calibri" w:cs="Times New Roman"/>
          <w:lang w:val="en-GB" w:bidi="he-IL"/>
        </w:rPr>
        <w:t xml:space="preserve"> from my fath</w:t>
      </w:r>
      <w:r w:rsidR="00FF7E6E">
        <w:rPr>
          <w:rFonts w:ascii="Calibri" w:eastAsia="Times New Roman" w:hAnsi="Calibri" w:cs="Times New Roman"/>
          <w:lang w:val="en-GB" w:bidi="he-IL"/>
        </w:rPr>
        <w:t>er’s household, I said to her, ‘</w:t>
      </w:r>
      <w:r w:rsidRPr="00F62D32">
        <w:rPr>
          <w:rFonts w:ascii="Calibri" w:eastAsia="Times New Roman" w:hAnsi="Calibri" w:cs="Times New Roman"/>
          <w:lang w:val="en-GB" w:bidi="he-IL"/>
        </w:rPr>
        <w:t>This is the commitment with which you’</w:t>
      </w:r>
      <w:r w:rsidR="00E11982">
        <w:rPr>
          <w:rFonts w:ascii="Calibri" w:eastAsia="Times New Roman" w:hAnsi="Calibri" w:cs="Times New Roman"/>
          <w:lang w:val="en-GB" w:bidi="he-IL"/>
        </w:rPr>
        <w:t>re to act toward me. I</w:t>
      </w:r>
      <w:r w:rsidR="00C74799">
        <w:rPr>
          <w:rFonts w:ascii="Calibri" w:eastAsia="Times New Roman" w:hAnsi="Calibri" w:cs="Times New Roman"/>
          <w:lang w:val="en-GB" w:bidi="he-IL"/>
        </w:rPr>
        <w:t>n</w:t>
      </w:r>
      <w:r w:rsidR="00BA76D6">
        <w:rPr>
          <w:rStyle w:val="FootnoteReference"/>
          <w:rFonts w:ascii="Calibri" w:eastAsia="Times New Roman" w:hAnsi="Calibri" w:cs="Times New Roman"/>
          <w:lang w:val="en-GB" w:bidi="he-IL"/>
        </w:rPr>
        <w:footnoteReference w:id="523"/>
      </w:r>
      <w:r w:rsidR="00C74799">
        <w:rPr>
          <w:rFonts w:ascii="Calibri" w:eastAsia="Times New Roman" w:hAnsi="Calibri" w:cs="Times New Roman"/>
          <w:lang w:val="en-GB" w:bidi="he-IL"/>
        </w:rPr>
        <w:t xml:space="preserve"> </w:t>
      </w:r>
      <w:r w:rsidR="00204464">
        <w:rPr>
          <w:rFonts w:ascii="Calibri" w:eastAsia="Times New Roman" w:hAnsi="Calibri" w:cs="Times New Roman"/>
          <w:lang w:val="en-GB" w:bidi="he-IL"/>
        </w:rPr>
        <w:t>the entire region</w:t>
      </w:r>
      <w:r w:rsidR="00204464">
        <w:rPr>
          <w:rStyle w:val="FootnoteReference"/>
          <w:rFonts w:ascii="Calibri" w:eastAsia="Times New Roman" w:hAnsi="Calibri" w:cs="Times New Roman"/>
          <w:lang w:val="en-GB" w:bidi="he-IL"/>
        </w:rPr>
        <w:footnoteReference w:id="524"/>
      </w:r>
      <w:r w:rsidR="00204464">
        <w:rPr>
          <w:rFonts w:ascii="Calibri" w:eastAsia="Times New Roman" w:hAnsi="Calibri" w:cs="Times New Roman"/>
          <w:lang w:val="en-GB" w:bidi="he-IL"/>
        </w:rPr>
        <w:t xml:space="preserve"> to which we come</w:t>
      </w:r>
      <w:r w:rsidR="000B23CA">
        <w:rPr>
          <w:rFonts w:ascii="Calibri" w:eastAsia="Times New Roman" w:hAnsi="Calibri" w:cs="Times New Roman"/>
          <w:lang w:val="en-GB" w:bidi="he-IL"/>
        </w:rPr>
        <w:t>: say about me,</w:t>
      </w:r>
      <w:r w:rsidR="00BA76D6">
        <w:rPr>
          <w:rFonts w:ascii="Calibri" w:eastAsia="Times New Roman" w:hAnsi="Calibri" w:cs="Times New Roman"/>
          <w:lang w:val="en-GB" w:bidi="he-IL"/>
        </w:rPr>
        <w:t xml:space="preserve"> </w:t>
      </w:r>
      <w:r w:rsidR="000B23CA">
        <w:rPr>
          <w:rFonts w:ascii="Calibri" w:eastAsia="Times New Roman" w:hAnsi="Calibri" w:cs="Times New Roman"/>
          <w:lang w:val="en-GB" w:bidi="he-IL"/>
        </w:rPr>
        <w:t>“H</w:t>
      </w:r>
      <w:r w:rsidR="00FF7E6E">
        <w:rPr>
          <w:rFonts w:ascii="Calibri" w:eastAsia="Times New Roman" w:hAnsi="Calibri" w:cs="Times New Roman"/>
          <w:lang w:val="en-GB" w:bidi="he-IL"/>
        </w:rPr>
        <w:t>e’s my brother</w:t>
      </w:r>
      <w:r w:rsidRPr="00F62D32">
        <w:rPr>
          <w:rFonts w:ascii="Calibri" w:eastAsia="Times New Roman" w:hAnsi="Calibri" w:cs="Times New Roman"/>
          <w:lang w:val="en-GB" w:bidi="he-IL"/>
        </w:rPr>
        <w:t>.</w:t>
      </w:r>
      <w:r w:rsidR="000B23CA">
        <w:rPr>
          <w:rFonts w:ascii="Calibri" w:eastAsia="Times New Roman" w:hAnsi="Calibri" w:cs="Times New Roman"/>
          <w:lang w:val="en-GB" w:bidi="he-IL"/>
        </w:rPr>
        <w:t>”</w:t>
      </w:r>
      <w:r w:rsidR="00FF7E6E">
        <w:rPr>
          <w:rFonts w:ascii="Calibri" w:eastAsia="Times New Roman" w:hAnsi="Calibri" w:cs="Times New Roman"/>
          <w:lang w:val="en-GB" w:bidi="he-IL"/>
        </w:rPr>
        <w:t>’</w:t>
      </w:r>
      <w:r w:rsidR="003D56BA">
        <w:rPr>
          <w:rFonts w:ascii="Calibri" w:eastAsia="Times New Roman" w:hAnsi="Calibri" w:cs="Times New Roman"/>
          <w:lang w:val="en-GB" w:bidi="he-IL"/>
        </w:rPr>
        <w:t>”</w:t>
      </w:r>
    </w:p>
    <w:p w14:paraId="118C60FA" w14:textId="7E53D77E" w:rsidR="00F62D32" w:rsidRPr="00F62D32" w:rsidRDefault="00F62D32" w:rsidP="00F62D32">
      <w:pPr>
        <w:rPr>
          <w:rFonts w:ascii="Calibri" w:eastAsia="Times New Roman" w:hAnsi="Calibri" w:cs="Times New Roman"/>
          <w:lang w:val="en-GB" w:bidi="he-IL"/>
        </w:rPr>
      </w:pPr>
      <w:r>
        <w:rPr>
          <w:rFonts w:ascii="Calibri" w:eastAsia="Times New Roman" w:hAnsi="Calibri" w:cs="Times New Roman"/>
          <w:vertAlign w:val="superscript"/>
          <w:lang w:val="en-GB" w:bidi="he-IL"/>
        </w:rPr>
        <w:t>14</w:t>
      </w:r>
      <w:r w:rsidR="00F509D6">
        <w:rPr>
          <w:rFonts w:ascii="Calibri" w:eastAsia="Times New Roman" w:hAnsi="Calibri" w:cs="Times New Roman"/>
          <w:lang w:val="en-GB" w:bidi="he-IL"/>
        </w:rPr>
        <w:t>Abimelek got</w:t>
      </w:r>
      <w:r w:rsidRPr="00F62D32">
        <w:rPr>
          <w:rFonts w:ascii="Calibri" w:eastAsia="Times New Roman" w:hAnsi="Calibri" w:cs="Times New Roman"/>
          <w:lang w:val="en-GB" w:bidi="he-IL"/>
        </w:rPr>
        <w:t xml:space="preserve"> flock and herd, servants and maidservants, and gave them</w:t>
      </w:r>
      <w:r w:rsidR="00EB7FA7">
        <w:rPr>
          <w:rFonts w:ascii="Calibri" w:eastAsia="Times New Roman" w:hAnsi="Calibri" w:cs="Times New Roman"/>
          <w:lang w:val="en-GB" w:bidi="he-IL"/>
        </w:rPr>
        <w:t xml:space="preserve"> to Abraham, and gave his wife </w:t>
      </w:r>
      <w:proofErr w:type="gramStart"/>
      <w:r w:rsidR="00EB7FA7">
        <w:rPr>
          <w:rFonts w:ascii="Calibri" w:eastAsia="Times New Roman" w:hAnsi="Calibri" w:cs="Times New Roman"/>
          <w:lang w:val="en-GB" w:bidi="he-IL"/>
        </w:rPr>
        <w:t>Ś</w:t>
      </w:r>
      <w:r w:rsidRPr="00F62D32">
        <w:rPr>
          <w:rFonts w:ascii="Calibri" w:eastAsia="Times New Roman" w:hAnsi="Calibri" w:cs="Times New Roman"/>
          <w:lang w:val="en-GB" w:bidi="he-IL"/>
        </w:rPr>
        <w:t>arah</w:t>
      </w:r>
      <w:proofErr w:type="gramEnd"/>
      <w:r w:rsidRPr="00F62D32">
        <w:rPr>
          <w:rFonts w:ascii="Calibri" w:eastAsia="Times New Roman" w:hAnsi="Calibri" w:cs="Times New Roman"/>
          <w:lang w:val="en-GB" w:bidi="he-IL"/>
        </w:rPr>
        <w:t xml:space="preserve"> </w:t>
      </w:r>
      <w:r>
        <w:rPr>
          <w:rFonts w:ascii="Calibri" w:eastAsia="Times New Roman" w:hAnsi="Calibri" w:cs="Times New Roman"/>
          <w:lang w:val="en-GB" w:bidi="he-IL"/>
        </w:rPr>
        <w:t xml:space="preserve">back to him. </w:t>
      </w:r>
      <w:r>
        <w:rPr>
          <w:rFonts w:ascii="Calibri" w:eastAsia="Times New Roman" w:hAnsi="Calibri" w:cs="Times New Roman"/>
          <w:vertAlign w:val="superscript"/>
          <w:lang w:val="en-GB" w:bidi="he-IL"/>
        </w:rPr>
        <w:t>15</w:t>
      </w:r>
      <w:r w:rsidR="00FF7E6E">
        <w:rPr>
          <w:rFonts w:ascii="Calibri" w:eastAsia="Times New Roman" w:hAnsi="Calibri" w:cs="Times New Roman"/>
          <w:lang w:val="en-GB" w:bidi="he-IL"/>
        </w:rPr>
        <w:t xml:space="preserve">Abimelek said, </w:t>
      </w:r>
      <w:r w:rsidR="003D56BA">
        <w:rPr>
          <w:rFonts w:ascii="Calibri" w:eastAsia="Times New Roman" w:hAnsi="Calibri" w:cs="Times New Roman"/>
          <w:lang w:val="en-GB" w:bidi="he-IL"/>
        </w:rPr>
        <w:t>“</w:t>
      </w:r>
      <w:r w:rsidRPr="00F62D32">
        <w:rPr>
          <w:rFonts w:ascii="Calibri" w:eastAsia="Times New Roman" w:hAnsi="Calibri" w:cs="Times New Roman"/>
          <w:lang w:val="en-GB" w:bidi="he-IL"/>
        </w:rPr>
        <w:t>Here, my country is before you. Liv</w:t>
      </w:r>
      <w:r w:rsidR="00FF7E6E">
        <w:rPr>
          <w:rFonts w:ascii="Calibri" w:eastAsia="Times New Roman" w:hAnsi="Calibri" w:cs="Times New Roman"/>
          <w:lang w:val="en-GB" w:bidi="he-IL"/>
        </w:rPr>
        <w:t>e wherever is good in your eyes</w:t>
      </w:r>
      <w:r w:rsidRPr="00F62D32">
        <w:rPr>
          <w:rFonts w:ascii="Calibri" w:eastAsia="Times New Roman" w:hAnsi="Calibri" w:cs="Times New Roman"/>
          <w:lang w:val="en-GB" w:bidi="he-IL"/>
        </w:rPr>
        <w:t>.</w:t>
      </w:r>
      <w:r w:rsidR="003D56BA">
        <w:rPr>
          <w:rFonts w:ascii="Calibri" w:eastAsia="Times New Roman" w:hAnsi="Calibri" w:cs="Times New Roman"/>
          <w:lang w:val="en-GB" w:bidi="he-IL"/>
        </w:rPr>
        <w:t>”</w:t>
      </w:r>
      <w:r w:rsidRPr="00F62D32">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16</w:t>
      </w:r>
      <w:r w:rsidR="00EB7FA7">
        <w:rPr>
          <w:rFonts w:ascii="Calibri" w:eastAsia="Times New Roman" w:hAnsi="Calibri" w:cs="Times New Roman"/>
          <w:lang w:val="en-GB" w:bidi="he-IL"/>
        </w:rPr>
        <w:t xml:space="preserve">To </w:t>
      </w:r>
      <w:proofErr w:type="gramStart"/>
      <w:r w:rsidR="00EB7FA7">
        <w:rPr>
          <w:rFonts w:ascii="Calibri" w:eastAsia="Times New Roman" w:hAnsi="Calibri" w:cs="Times New Roman"/>
          <w:lang w:val="en-GB" w:bidi="he-IL"/>
        </w:rPr>
        <w:t>Ś</w:t>
      </w:r>
      <w:r w:rsidR="00FF7E6E">
        <w:rPr>
          <w:rFonts w:ascii="Calibri" w:eastAsia="Times New Roman" w:hAnsi="Calibri" w:cs="Times New Roman"/>
          <w:lang w:val="en-GB" w:bidi="he-IL"/>
        </w:rPr>
        <w:t>arah</w:t>
      </w:r>
      <w:proofErr w:type="gramEnd"/>
      <w:r w:rsidR="00FF7E6E">
        <w:rPr>
          <w:rFonts w:ascii="Calibri" w:eastAsia="Times New Roman" w:hAnsi="Calibri" w:cs="Times New Roman"/>
          <w:lang w:val="en-GB" w:bidi="he-IL"/>
        </w:rPr>
        <w:t xml:space="preserve"> he said, </w:t>
      </w:r>
      <w:r w:rsidR="003D56BA">
        <w:rPr>
          <w:rFonts w:ascii="Calibri" w:eastAsia="Times New Roman" w:hAnsi="Calibri" w:cs="Times New Roman"/>
          <w:lang w:val="en-GB" w:bidi="he-IL"/>
        </w:rPr>
        <w:t>“</w:t>
      </w:r>
      <w:r w:rsidR="00952BAA">
        <w:rPr>
          <w:rFonts w:ascii="Calibri" w:eastAsia="Times New Roman" w:hAnsi="Calibri" w:cs="Times New Roman"/>
          <w:lang w:val="en-GB" w:bidi="he-IL"/>
        </w:rPr>
        <w:t>Here, I’</w:t>
      </w:r>
      <w:r w:rsidR="00E92840">
        <w:rPr>
          <w:rFonts w:ascii="Calibri" w:eastAsia="Times New Roman" w:hAnsi="Calibri" w:cs="Times New Roman"/>
          <w:lang w:val="en-GB" w:bidi="he-IL"/>
        </w:rPr>
        <w:t>m giving</w:t>
      </w:r>
      <w:r w:rsidR="00AA1A22">
        <w:rPr>
          <w:rStyle w:val="FootnoteReference"/>
          <w:rFonts w:ascii="Calibri" w:eastAsia="Times New Roman" w:hAnsi="Calibri" w:cs="Times New Roman"/>
          <w:lang w:val="en-GB" w:bidi="he-IL"/>
        </w:rPr>
        <w:footnoteReference w:id="525"/>
      </w:r>
      <w:r w:rsidRPr="00F62D32">
        <w:rPr>
          <w:rFonts w:ascii="Calibri" w:eastAsia="Times New Roman" w:hAnsi="Calibri" w:cs="Times New Roman"/>
          <w:lang w:val="en-GB" w:bidi="he-IL"/>
        </w:rPr>
        <w:t xml:space="preserve"> your brother a thousand pieces of silver. Here, it will be cover over the eyes for you and for everyone who is with you and with every</w:t>
      </w:r>
      <w:r w:rsidR="00952BAA">
        <w:rPr>
          <w:rFonts w:ascii="Calibri" w:eastAsia="Times New Roman" w:hAnsi="Calibri" w:cs="Times New Roman"/>
          <w:lang w:val="en-GB" w:bidi="he-IL"/>
        </w:rPr>
        <w:t>one, and you’</w:t>
      </w:r>
      <w:r w:rsidR="00FF7E6E">
        <w:rPr>
          <w:rFonts w:ascii="Calibri" w:eastAsia="Times New Roman" w:hAnsi="Calibri" w:cs="Times New Roman"/>
          <w:lang w:val="en-GB" w:bidi="he-IL"/>
        </w:rPr>
        <w:t>ll be vindicated</w:t>
      </w:r>
      <w:r w:rsidRPr="00F62D32">
        <w:rPr>
          <w:rFonts w:ascii="Calibri" w:eastAsia="Times New Roman" w:hAnsi="Calibri" w:cs="Times New Roman"/>
          <w:lang w:val="en-GB" w:bidi="he-IL"/>
        </w:rPr>
        <w:t>.</w:t>
      </w:r>
      <w:r w:rsidR="003D56BA">
        <w:rPr>
          <w:rFonts w:ascii="Calibri" w:eastAsia="Times New Roman" w:hAnsi="Calibri" w:cs="Times New Roman"/>
          <w:lang w:val="en-GB" w:bidi="he-IL"/>
        </w:rPr>
        <w:t>”</w:t>
      </w:r>
      <w:r w:rsidR="00F82DF8">
        <w:rPr>
          <w:rStyle w:val="FootnoteReference"/>
          <w:rFonts w:ascii="Calibri" w:eastAsia="Times New Roman" w:hAnsi="Calibri" w:cs="Times New Roman"/>
          <w:lang w:val="en-GB" w:bidi="he-IL"/>
        </w:rPr>
        <w:footnoteReference w:id="526"/>
      </w:r>
      <w:r w:rsidRPr="00F62D32">
        <w:rPr>
          <w:rFonts w:ascii="Calibri" w:eastAsia="Times New Roman" w:hAnsi="Calibri" w:cs="Times New Roman"/>
          <w:lang w:val="en-GB" w:bidi="he-IL"/>
        </w:rPr>
        <w:t xml:space="preserve"> </w:t>
      </w:r>
    </w:p>
    <w:p w14:paraId="51711FA6" w14:textId="77777777" w:rsidR="00F62D32" w:rsidRPr="00F62D32" w:rsidRDefault="00F62D32" w:rsidP="00F62D32">
      <w:pPr>
        <w:rPr>
          <w:rFonts w:ascii="Calibri" w:eastAsia="Times New Roman" w:hAnsi="Calibri" w:cs="Times New Roman"/>
          <w:lang w:val="en-GB" w:bidi="he-IL"/>
        </w:rPr>
      </w:pPr>
      <w:r>
        <w:rPr>
          <w:rFonts w:ascii="Calibri" w:eastAsia="Times New Roman" w:hAnsi="Calibri" w:cs="Times New Roman"/>
          <w:vertAlign w:val="superscript"/>
          <w:lang w:val="en-GB" w:bidi="he-IL"/>
        </w:rPr>
        <w:t>17</w:t>
      </w:r>
      <w:r w:rsidR="001358ED">
        <w:rPr>
          <w:rFonts w:ascii="Calibri" w:eastAsia="Times New Roman" w:hAnsi="Calibri" w:cs="Times New Roman"/>
          <w:lang w:val="en-GB" w:bidi="he-IL"/>
        </w:rPr>
        <w:t>Abraham pleaded</w:t>
      </w:r>
      <w:r w:rsidRPr="00F62D32">
        <w:rPr>
          <w:rFonts w:ascii="Calibri" w:eastAsia="Times New Roman" w:hAnsi="Calibri" w:cs="Times New Roman"/>
          <w:lang w:val="en-GB" w:bidi="he-IL"/>
        </w:rPr>
        <w:t xml:space="preserve"> with God and God healed Abimelek and his wife and his handmaids, and they gave birth</w:t>
      </w:r>
      <w:r>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18</w:t>
      </w:r>
      <w:r>
        <w:rPr>
          <w:rFonts w:ascii="Calibri" w:eastAsia="Times New Roman" w:hAnsi="Calibri" w:cs="Times New Roman"/>
          <w:lang w:val="en-GB" w:bidi="he-IL"/>
        </w:rPr>
        <w:t>(b</w:t>
      </w:r>
      <w:r w:rsidRPr="00F62D32">
        <w:rPr>
          <w:rFonts w:ascii="Calibri" w:eastAsia="Times New Roman" w:hAnsi="Calibri" w:cs="Times New Roman"/>
          <w:lang w:val="en-GB" w:bidi="he-IL"/>
        </w:rPr>
        <w:t>ecause Yahweh had totally held back every womb belonging to Abim</w:t>
      </w:r>
      <w:r w:rsidR="00EB7FA7">
        <w:rPr>
          <w:rFonts w:ascii="Calibri" w:eastAsia="Times New Roman" w:hAnsi="Calibri" w:cs="Times New Roman"/>
          <w:lang w:val="en-GB" w:bidi="he-IL"/>
        </w:rPr>
        <w:t xml:space="preserve">elek’s household on account of </w:t>
      </w:r>
      <w:proofErr w:type="gramStart"/>
      <w:r w:rsidR="00EB7FA7">
        <w:rPr>
          <w:rFonts w:ascii="Calibri" w:eastAsia="Times New Roman" w:hAnsi="Calibri" w:cs="Times New Roman"/>
          <w:lang w:val="en-GB" w:bidi="he-IL"/>
        </w:rPr>
        <w:t>Ś</w:t>
      </w:r>
      <w:r w:rsidRPr="00F62D32">
        <w:rPr>
          <w:rFonts w:ascii="Calibri" w:eastAsia="Times New Roman" w:hAnsi="Calibri" w:cs="Times New Roman"/>
          <w:lang w:val="en-GB" w:bidi="he-IL"/>
        </w:rPr>
        <w:t>arah</w:t>
      </w:r>
      <w:proofErr w:type="gramEnd"/>
      <w:r w:rsidRPr="00F62D32">
        <w:rPr>
          <w:rFonts w:ascii="Calibri" w:eastAsia="Times New Roman" w:hAnsi="Calibri" w:cs="Times New Roman"/>
          <w:lang w:val="en-GB" w:bidi="he-IL"/>
        </w:rPr>
        <w:t>, Abraham’s wife).</w:t>
      </w:r>
    </w:p>
    <w:p w14:paraId="7BD8126C" w14:textId="77777777" w:rsidR="00F62D32" w:rsidRDefault="00141055" w:rsidP="00F62D32">
      <w:pPr>
        <w:pStyle w:val="Heading2"/>
        <w:rPr>
          <w:lang w:bidi="he-IL"/>
        </w:rPr>
      </w:pPr>
      <w:r>
        <w:rPr>
          <w:lang w:bidi="he-IL"/>
        </w:rPr>
        <w:t>Interpretation</w:t>
      </w:r>
    </w:p>
    <w:p w14:paraId="2B47A163" w14:textId="7714F939" w:rsidR="00700E3E" w:rsidRDefault="00417B4A" w:rsidP="00517766">
      <w:pPr>
        <w:rPr>
          <w:lang w:bidi="he-IL"/>
        </w:rPr>
      </w:pPr>
      <w:r>
        <w:rPr>
          <w:lang w:bidi="he-IL"/>
        </w:rPr>
        <w:t xml:space="preserve">Gen 20 is an intriguingly-told tale, </w:t>
      </w:r>
      <w:r w:rsidR="009B4372">
        <w:rPr>
          <w:lang w:bidi="he-IL"/>
        </w:rPr>
        <w:t xml:space="preserve">a </w:t>
      </w:r>
      <w:r w:rsidR="003D56BA">
        <w:rPr>
          <w:lang w:bidi="he-IL"/>
        </w:rPr>
        <w:t>“</w:t>
      </w:r>
      <w:r w:rsidR="009B4372">
        <w:rPr>
          <w:lang w:bidi="he-IL"/>
        </w:rPr>
        <w:t>r</w:t>
      </w:r>
      <w:r w:rsidR="00D349BE">
        <w:rPr>
          <w:lang w:bidi="he-IL"/>
        </w:rPr>
        <w:t>efined</w:t>
      </w:r>
      <w:r w:rsidR="003D56BA">
        <w:rPr>
          <w:lang w:bidi="he-IL"/>
        </w:rPr>
        <w:t>”</w:t>
      </w:r>
      <w:r w:rsidR="00D349BE">
        <w:rPr>
          <w:lang w:bidi="he-IL"/>
        </w:rPr>
        <w:t xml:space="preserve"> narrative, artfully composed</w:t>
      </w:r>
      <w:r w:rsidR="009B4372">
        <w:rPr>
          <w:lang w:bidi="he-IL"/>
        </w:rPr>
        <w:t>, it</w:t>
      </w:r>
      <w:r w:rsidR="00D349BE">
        <w:rPr>
          <w:lang w:bidi="he-IL"/>
        </w:rPr>
        <w:t xml:space="preserve">s tension heightened through withholding </w:t>
      </w:r>
      <w:r w:rsidR="009B4372">
        <w:rPr>
          <w:lang w:bidi="he-IL"/>
        </w:rPr>
        <w:t xml:space="preserve">information </w:t>
      </w:r>
      <w:r w:rsidR="00D349BE">
        <w:rPr>
          <w:lang w:bidi="he-IL"/>
        </w:rPr>
        <w:t xml:space="preserve">which the audience needs </w:t>
      </w:r>
      <w:r w:rsidR="00D53FAC">
        <w:rPr>
          <w:lang w:bidi="he-IL"/>
        </w:rPr>
        <w:t>in order to understand it and giving some of this information only later</w:t>
      </w:r>
      <w:r w:rsidR="009B4372">
        <w:rPr>
          <w:lang w:bidi="he-IL"/>
        </w:rPr>
        <w:t>.</w:t>
      </w:r>
      <w:r w:rsidR="009B4372">
        <w:rPr>
          <w:rStyle w:val="FootnoteReference"/>
          <w:lang w:bidi="he-IL"/>
        </w:rPr>
        <w:footnoteReference w:id="527"/>
      </w:r>
      <w:r w:rsidR="009B4372">
        <w:rPr>
          <w:lang w:bidi="he-IL"/>
        </w:rPr>
        <w:t xml:space="preserve"> </w:t>
      </w:r>
      <w:r w:rsidR="0066212B">
        <w:rPr>
          <w:lang w:bidi="he-IL"/>
        </w:rPr>
        <w:t>The audience</w:t>
      </w:r>
      <w:r w:rsidR="00D53FAC">
        <w:rPr>
          <w:lang w:bidi="he-IL"/>
        </w:rPr>
        <w:t xml:space="preserve"> might wonder why Abraham</w:t>
      </w:r>
      <w:r w:rsidR="00303BA3">
        <w:rPr>
          <w:lang w:bidi="he-IL"/>
        </w:rPr>
        <w:t xml:space="preserve"> </w:t>
      </w:r>
      <w:r>
        <w:rPr>
          <w:lang w:bidi="he-IL"/>
        </w:rPr>
        <w:t>said</w:t>
      </w:r>
      <w:r w:rsidR="00FF7E2B">
        <w:rPr>
          <w:lang w:bidi="he-IL"/>
        </w:rPr>
        <w:t xml:space="preserve"> that Sarah was his sister; </w:t>
      </w:r>
      <w:r w:rsidR="0066212B">
        <w:rPr>
          <w:lang w:bidi="he-IL"/>
        </w:rPr>
        <w:t>its</w:t>
      </w:r>
      <w:r>
        <w:rPr>
          <w:lang w:bidi="he-IL"/>
        </w:rPr>
        <w:t xml:space="preserve"> guess </w:t>
      </w:r>
      <w:r w:rsidR="00FF7E2B">
        <w:rPr>
          <w:lang w:bidi="he-IL"/>
        </w:rPr>
        <w:t xml:space="preserve">would be </w:t>
      </w:r>
      <w:r>
        <w:rPr>
          <w:lang w:bidi="he-IL"/>
        </w:rPr>
        <w:t>c</w:t>
      </w:r>
      <w:r w:rsidR="0066212B">
        <w:rPr>
          <w:lang w:bidi="he-IL"/>
        </w:rPr>
        <w:t>onfirmed or disconfirmed or its</w:t>
      </w:r>
      <w:r>
        <w:rPr>
          <w:lang w:bidi="he-IL"/>
        </w:rPr>
        <w:t xml:space="preserve"> uncertainty resolved by vv. 10-13.</w:t>
      </w:r>
      <w:r w:rsidR="0066212B">
        <w:rPr>
          <w:lang w:bidi="he-IL"/>
        </w:rPr>
        <w:t xml:space="preserve"> It</w:t>
      </w:r>
      <w:r w:rsidR="00FF7E2B">
        <w:rPr>
          <w:lang w:bidi="he-IL"/>
        </w:rPr>
        <w:t xml:space="preserve"> might wonder how God </w:t>
      </w:r>
      <w:r w:rsidR="00303BA3">
        <w:rPr>
          <w:lang w:bidi="he-IL"/>
        </w:rPr>
        <w:t>held Abimelek back from touching Sarah and why h</w:t>
      </w:r>
      <w:r w:rsidR="00D53FAC">
        <w:rPr>
          <w:lang w:bidi="he-IL"/>
        </w:rPr>
        <w:t xml:space="preserve">e needed Abraham’s prayers; </w:t>
      </w:r>
      <w:r w:rsidR="00FF7E2B">
        <w:rPr>
          <w:lang w:bidi="he-IL"/>
        </w:rPr>
        <w:t xml:space="preserve">vv. 17-18 would </w:t>
      </w:r>
      <w:r w:rsidR="0066212B">
        <w:rPr>
          <w:lang w:bidi="he-IL"/>
        </w:rPr>
        <w:t>confirm or disconfirm its guesses or resolve its</w:t>
      </w:r>
      <w:r w:rsidR="00303BA3">
        <w:rPr>
          <w:lang w:bidi="he-IL"/>
        </w:rPr>
        <w:t xml:space="preserve"> uncertainty. </w:t>
      </w:r>
      <w:r w:rsidR="0066212B">
        <w:rPr>
          <w:lang w:bidi="he-IL"/>
        </w:rPr>
        <w:t>It</w:t>
      </w:r>
      <w:r w:rsidR="00FF7E2B">
        <w:rPr>
          <w:lang w:bidi="he-IL"/>
        </w:rPr>
        <w:t xml:space="preserve"> might</w:t>
      </w:r>
      <w:r w:rsidR="00303BA3" w:rsidRPr="00303BA3">
        <w:rPr>
          <w:lang w:bidi="he-IL"/>
        </w:rPr>
        <w:t xml:space="preserve"> wonder why Abraham mov</w:t>
      </w:r>
      <w:r w:rsidR="00D53FAC">
        <w:rPr>
          <w:lang w:bidi="he-IL"/>
        </w:rPr>
        <w:t xml:space="preserve">ed from Mamre to the </w:t>
      </w:r>
      <w:r w:rsidR="009542B9">
        <w:rPr>
          <w:lang w:bidi="he-IL"/>
        </w:rPr>
        <w:t>Negev</w:t>
      </w:r>
      <w:r w:rsidR="00D53FAC">
        <w:rPr>
          <w:lang w:bidi="he-IL"/>
        </w:rPr>
        <w:t>;</w:t>
      </w:r>
      <w:r w:rsidR="0066212B">
        <w:rPr>
          <w:lang w:bidi="he-IL"/>
        </w:rPr>
        <w:t xml:space="preserve"> v. 13 might make it</w:t>
      </w:r>
      <w:r w:rsidR="00303BA3" w:rsidRPr="00303BA3">
        <w:rPr>
          <w:lang w:bidi="he-IL"/>
        </w:rPr>
        <w:t xml:space="preserve"> infe</w:t>
      </w:r>
      <w:r w:rsidR="00FF7E2B">
        <w:rPr>
          <w:lang w:bidi="he-IL"/>
        </w:rPr>
        <w:t xml:space="preserve">r that such movements were </w:t>
      </w:r>
      <w:r w:rsidR="00303BA3" w:rsidRPr="00303BA3">
        <w:rPr>
          <w:lang w:bidi="he-IL"/>
        </w:rPr>
        <w:t>part of Abraham</w:t>
      </w:r>
      <w:r w:rsidR="004E6697">
        <w:rPr>
          <w:lang w:bidi="he-IL"/>
        </w:rPr>
        <w:t>’s</w:t>
      </w:r>
      <w:r w:rsidR="00303BA3" w:rsidRPr="00303BA3">
        <w:rPr>
          <w:lang w:bidi="he-IL"/>
        </w:rPr>
        <w:t xml:space="preserve"> anticipatorily entering into possession of more</w:t>
      </w:r>
      <w:r w:rsidR="00924958">
        <w:rPr>
          <w:lang w:bidi="he-IL"/>
        </w:rPr>
        <w:t xml:space="preserve"> and more of the </w:t>
      </w:r>
      <w:proofErr w:type="gramStart"/>
      <w:r w:rsidR="00924958">
        <w:rPr>
          <w:lang w:bidi="he-IL"/>
        </w:rPr>
        <w:t>promised land</w:t>
      </w:r>
      <w:proofErr w:type="gramEnd"/>
      <w:r w:rsidR="00924958">
        <w:rPr>
          <w:lang w:bidi="he-IL"/>
        </w:rPr>
        <w:t xml:space="preserve">. </w:t>
      </w:r>
      <w:r w:rsidR="0066212B">
        <w:rPr>
          <w:lang w:bidi="he-IL"/>
        </w:rPr>
        <w:t>Further, as it</w:t>
      </w:r>
      <w:r w:rsidR="00FF7E2B" w:rsidRPr="00FF7E2B">
        <w:rPr>
          <w:lang w:bidi="he-IL"/>
        </w:rPr>
        <w:t xml:space="preserve"> listen</w:t>
      </w:r>
      <w:r w:rsidR="0066212B">
        <w:rPr>
          <w:lang w:bidi="he-IL"/>
        </w:rPr>
        <w:t>s to the story, knowing or not knowing</w:t>
      </w:r>
      <w:r w:rsidR="00FF7E2B" w:rsidRPr="00FF7E2B">
        <w:rPr>
          <w:lang w:bidi="he-IL"/>
        </w:rPr>
        <w:t xml:space="preserve"> the story in 12:1—13:4</w:t>
      </w:r>
      <w:r w:rsidR="0066212B">
        <w:rPr>
          <w:lang w:bidi="he-IL"/>
        </w:rPr>
        <w:t xml:space="preserve"> </w:t>
      </w:r>
      <w:r w:rsidR="0066212B" w:rsidRPr="00FF7E2B">
        <w:rPr>
          <w:lang w:bidi="he-IL"/>
        </w:rPr>
        <w:t>would make a difference</w:t>
      </w:r>
      <w:r w:rsidR="00FF7E2B" w:rsidRPr="00FF7E2B">
        <w:rPr>
          <w:lang w:bidi="he-IL"/>
        </w:rPr>
        <w:t>.</w:t>
      </w:r>
      <w:r w:rsidR="00FF7E2B" w:rsidRPr="00FF7E2B">
        <w:rPr>
          <w:vertAlign w:val="superscript"/>
          <w:lang w:bidi="he-IL"/>
        </w:rPr>
        <w:footnoteReference w:id="528"/>
      </w:r>
      <w:r w:rsidR="00FF7E2B">
        <w:rPr>
          <w:lang w:bidi="he-IL"/>
        </w:rPr>
        <w:t xml:space="preserve"> W</w:t>
      </w:r>
      <w:r w:rsidR="00D53FAC">
        <w:rPr>
          <w:lang w:bidi="he-IL"/>
        </w:rPr>
        <w:t xml:space="preserve">hy </w:t>
      </w:r>
      <w:r w:rsidR="00FF7E2B">
        <w:rPr>
          <w:lang w:bidi="he-IL"/>
        </w:rPr>
        <w:t>did Abraham move</w:t>
      </w:r>
      <w:r w:rsidR="00D53FAC">
        <w:rPr>
          <w:lang w:bidi="he-IL"/>
        </w:rPr>
        <w:t xml:space="preserve"> </w:t>
      </w:r>
      <w:r w:rsidR="00D53FAC" w:rsidRPr="00D53FAC">
        <w:rPr>
          <w:lang w:bidi="he-IL"/>
        </w:rPr>
        <w:t xml:space="preserve">from the </w:t>
      </w:r>
      <w:r w:rsidR="009542B9">
        <w:rPr>
          <w:lang w:bidi="he-IL"/>
        </w:rPr>
        <w:t>Negev</w:t>
      </w:r>
      <w:r w:rsidR="00D53FAC" w:rsidRPr="00D53FAC">
        <w:rPr>
          <w:lang w:bidi="he-IL"/>
        </w:rPr>
        <w:t xml:space="preserve"> to Gerar</w:t>
      </w:r>
      <w:r w:rsidR="0066212B">
        <w:rPr>
          <w:lang w:bidi="he-IL"/>
        </w:rPr>
        <w:t>? People who</w:t>
      </w:r>
      <w:r w:rsidR="00D53FAC">
        <w:rPr>
          <w:lang w:bidi="he-IL"/>
        </w:rPr>
        <w:t xml:space="preserve"> knew the earlier story might infer that there was a famine in the </w:t>
      </w:r>
      <w:r w:rsidR="009542B9">
        <w:rPr>
          <w:lang w:bidi="he-IL"/>
        </w:rPr>
        <w:t>Negev</w:t>
      </w:r>
      <w:r w:rsidR="00D53FAC">
        <w:rPr>
          <w:lang w:bidi="he-IL"/>
        </w:rPr>
        <w:t xml:space="preserve">. </w:t>
      </w:r>
      <w:r w:rsidR="00FF7E2B">
        <w:rPr>
          <w:lang w:bidi="he-IL"/>
        </w:rPr>
        <w:t>W</w:t>
      </w:r>
      <w:r w:rsidR="00303BA3" w:rsidRPr="00303BA3">
        <w:rPr>
          <w:lang w:bidi="he-IL"/>
        </w:rPr>
        <w:t xml:space="preserve">hy </w:t>
      </w:r>
      <w:r w:rsidR="00FF7E2B">
        <w:rPr>
          <w:lang w:bidi="he-IL"/>
        </w:rPr>
        <w:t xml:space="preserve">was Abimelek </w:t>
      </w:r>
      <w:r w:rsidR="00147837">
        <w:rPr>
          <w:lang w:bidi="he-IL"/>
        </w:rPr>
        <w:t>interested in Sarah</w:t>
      </w:r>
      <w:r w:rsidR="0066212B">
        <w:rPr>
          <w:lang w:bidi="he-IL"/>
        </w:rPr>
        <w:t>? People</w:t>
      </w:r>
      <w:r w:rsidR="00D53FAC">
        <w:rPr>
          <w:lang w:bidi="he-IL"/>
        </w:rPr>
        <w:t xml:space="preserve"> might infer that it was her political value as a member</w:t>
      </w:r>
      <w:r w:rsidR="002F5F14">
        <w:rPr>
          <w:lang w:bidi="he-IL"/>
        </w:rPr>
        <w:t xml:space="preserve"> of Abraham’s family, b</w:t>
      </w:r>
      <w:r w:rsidR="00D53FAC">
        <w:rPr>
          <w:lang w:bidi="he-IL"/>
        </w:rPr>
        <w:t>ut</w:t>
      </w:r>
      <w:r w:rsidR="0066212B">
        <w:rPr>
          <w:lang w:bidi="he-IL"/>
        </w:rPr>
        <w:t xml:space="preserve"> if they knew the earlier story, they</w:t>
      </w:r>
      <w:r w:rsidR="00D53FAC" w:rsidRPr="00D53FAC">
        <w:rPr>
          <w:lang w:bidi="he-IL"/>
        </w:rPr>
        <w:t xml:space="preserve"> might</w:t>
      </w:r>
      <w:r w:rsidR="00D53FAC">
        <w:rPr>
          <w:lang w:bidi="he-IL"/>
        </w:rPr>
        <w:t xml:space="preserve"> infer t</w:t>
      </w:r>
      <w:r w:rsidR="004E6697">
        <w:rPr>
          <w:lang w:bidi="he-IL"/>
        </w:rPr>
        <w:t>hat it was her attractiveness. S</w:t>
      </w:r>
      <w:r w:rsidR="00D53FAC">
        <w:rPr>
          <w:lang w:bidi="he-IL"/>
        </w:rPr>
        <w:t xml:space="preserve">he is eighty-nine, but in </w:t>
      </w:r>
      <w:r w:rsidR="003D56BA">
        <w:rPr>
          <w:lang w:bidi="he-IL"/>
        </w:rPr>
        <w:t>“</w:t>
      </w:r>
      <w:r w:rsidR="00D53FAC">
        <w:rPr>
          <w:lang w:bidi="he-IL"/>
        </w:rPr>
        <w:t>real</w:t>
      </w:r>
      <w:r w:rsidR="003D56BA">
        <w:rPr>
          <w:lang w:bidi="he-IL"/>
        </w:rPr>
        <w:t>”</w:t>
      </w:r>
      <w:r w:rsidR="00D53FAC">
        <w:rPr>
          <w:lang w:bidi="he-IL"/>
        </w:rPr>
        <w:t xml:space="preserve"> terms that’s more like fifty, and fifty-</w:t>
      </w:r>
      <w:r w:rsidR="004E6697">
        <w:rPr>
          <w:lang w:bidi="he-IL"/>
        </w:rPr>
        <w:t xml:space="preserve">year </w:t>
      </w:r>
      <w:r w:rsidR="00D53FAC">
        <w:rPr>
          <w:lang w:bidi="he-IL"/>
        </w:rPr>
        <w:t>old wo</w:t>
      </w:r>
      <w:r w:rsidR="0066212B">
        <w:rPr>
          <w:lang w:bidi="he-IL"/>
        </w:rPr>
        <w:t>men can be attractive;</w:t>
      </w:r>
      <w:r w:rsidR="004E6697">
        <w:rPr>
          <w:lang w:bidi="he-IL"/>
        </w:rPr>
        <w:t xml:space="preserve"> </w:t>
      </w:r>
      <w:r w:rsidR="0066212B">
        <w:rPr>
          <w:lang w:bidi="he-IL"/>
        </w:rPr>
        <w:t>t</w:t>
      </w:r>
      <w:r w:rsidR="004E6697">
        <w:rPr>
          <w:lang w:bidi="he-IL"/>
        </w:rPr>
        <w:t>hey can also be worldly-wise and efficient (see Prov 31), and she could be a potential management asset</w:t>
      </w:r>
      <w:r w:rsidR="00FF7E2B">
        <w:rPr>
          <w:lang w:bidi="he-IL"/>
        </w:rPr>
        <w:t>.</w:t>
      </w:r>
      <w:r w:rsidR="004E6697">
        <w:rPr>
          <w:rStyle w:val="FootnoteReference"/>
          <w:lang w:bidi="he-IL"/>
        </w:rPr>
        <w:footnoteReference w:id="529"/>
      </w:r>
      <w:r w:rsidR="00FF7E2B">
        <w:rPr>
          <w:lang w:bidi="he-IL"/>
        </w:rPr>
        <w:t xml:space="preserve"> W</w:t>
      </w:r>
      <w:r w:rsidR="00147837">
        <w:rPr>
          <w:lang w:bidi="he-IL"/>
        </w:rPr>
        <w:t xml:space="preserve">hy </w:t>
      </w:r>
      <w:r w:rsidR="00FF7E2B">
        <w:rPr>
          <w:lang w:bidi="he-IL"/>
        </w:rPr>
        <w:t xml:space="preserve">was </w:t>
      </w:r>
      <w:r w:rsidR="0066212B">
        <w:rPr>
          <w:lang w:bidi="he-IL"/>
        </w:rPr>
        <w:t xml:space="preserve">God </w:t>
      </w:r>
      <w:r w:rsidR="00D53FAC">
        <w:rPr>
          <w:lang w:bidi="he-IL"/>
        </w:rPr>
        <w:t>so concerned</w:t>
      </w:r>
      <w:r w:rsidR="00303BA3" w:rsidRPr="00303BA3">
        <w:rPr>
          <w:lang w:bidi="he-IL"/>
        </w:rPr>
        <w:t xml:space="preserve"> to protect Sarah</w:t>
      </w:r>
      <w:r w:rsidR="0066212B">
        <w:rPr>
          <w:lang w:bidi="he-IL"/>
        </w:rPr>
        <w:t>? People who</w:t>
      </w:r>
      <w:r w:rsidR="00D53FAC">
        <w:rPr>
          <w:lang w:bidi="he-IL"/>
        </w:rPr>
        <w:t xml:space="preserve"> knew the broader</w:t>
      </w:r>
      <w:r w:rsidR="0066212B">
        <w:rPr>
          <w:lang w:bidi="he-IL"/>
        </w:rPr>
        <w:t xml:space="preserve"> story of Abraham and Sarah</w:t>
      </w:r>
      <w:r w:rsidR="00D53FAC">
        <w:rPr>
          <w:lang w:bidi="he-IL"/>
        </w:rPr>
        <w:t xml:space="preserve"> would know that she is due to be the mother of </w:t>
      </w:r>
      <w:r w:rsidR="00763DB0">
        <w:rPr>
          <w:lang w:bidi="he-IL"/>
        </w:rPr>
        <w:t>the child through whom God intends to fulfill his promise of blessing</w:t>
      </w:r>
      <w:r w:rsidR="00303BA3" w:rsidRPr="00303BA3">
        <w:rPr>
          <w:lang w:bidi="he-IL"/>
        </w:rPr>
        <w:t>.</w:t>
      </w:r>
      <w:r w:rsidR="002E489B">
        <w:rPr>
          <w:lang w:bidi="he-IL"/>
        </w:rPr>
        <w:t xml:space="preserve"> </w:t>
      </w:r>
    </w:p>
    <w:p w14:paraId="76071905" w14:textId="082429E8" w:rsidR="00763DB0" w:rsidRDefault="00763DB0" w:rsidP="00303BA3">
      <w:pPr>
        <w:rPr>
          <w:lang w:bidi="he-IL"/>
        </w:rPr>
      </w:pPr>
      <w:r>
        <w:rPr>
          <w:lang w:bidi="he-IL"/>
        </w:rPr>
        <w:lastRenderedPageBreak/>
        <w:t xml:space="preserve">While some elements in the first story could </w:t>
      </w:r>
      <w:r w:rsidR="00700E3E">
        <w:rPr>
          <w:lang w:bidi="he-IL"/>
        </w:rPr>
        <w:t xml:space="preserve">thus </w:t>
      </w:r>
      <w:r>
        <w:rPr>
          <w:lang w:bidi="he-IL"/>
        </w:rPr>
        <w:t>pro</w:t>
      </w:r>
      <w:r w:rsidR="0087354C">
        <w:rPr>
          <w:lang w:bidi="he-IL"/>
        </w:rPr>
        <w:t>vide background to the second, s</w:t>
      </w:r>
      <w:r>
        <w:rPr>
          <w:lang w:bidi="he-IL"/>
        </w:rPr>
        <w:t xml:space="preserve">ome elements in the second story answer questions raised by the first. </w:t>
      </w:r>
      <w:r w:rsidR="00523295">
        <w:rPr>
          <w:lang w:bidi="he-IL"/>
        </w:rPr>
        <w:t xml:space="preserve">Did Sarah go along with Abraham’s plan? </w:t>
      </w:r>
      <w:r w:rsidR="000C29B8">
        <w:rPr>
          <w:lang w:bidi="he-IL"/>
        </w:rPr>
        <w:t>Was she prepared even to sacrifice her own sexual integrity? Sometimes women have been prepared to do so in such a situation.</w:t>
      </w:r>
      <w:r w:rsidR="000C29B8">
        <w:rPr>
          <w:rStyle w:val="FootnoteReference"/>
          <w:lang w:bidi="he-IL"/>
        </w:rPr>
        <w:footnoteReference w:id="530"/>
      </w:r>
      <w:r w:rsidR="000C29B8">
        <w:rPr>
          <w:lang w:bidi="he-IL"/>
        </w:rPr>
        <w:t xml:space="preserve"> </w:t>
      </w:r>
      <w:r w:rsidR="00523295">
        <w:rPr>
          <w:lang w:bidi="he-IL"/>
        </w:rPr>
        <w:t xml:space="preserve">Maybe she said what she was supposed to say. Did Pharaoh have sex with her? Maybe the afflictions that came upon him and his household stopped him. </w:t>
      </w:r>
      <w:r w:rsidR="0087354C">
        <w:rPr>
          <w:lang w:bidi="he-IL"/>
        </w:rPr>
        <w:t>How would someone like Pharaoh have known that it was his taking Sarah that explained the afflictions among his household? Maybe a dream is the answer. Maybe a ruler who acts in that way is nevertheless a person of integrity. Was Abra</w:t>
      </w:r>
      <w:r w:rsidR="00700E3E">
        <w:rPr>
          <w:lang w:bidi="he-IL"/>
        </w:rPr>
        <w:t>ham as much of</w:t>
      </w:r>
      <w:r w:rsidR="0087354C">
        <w:rPr>
          <w:lang w:bidi="he-IL"/>
        </w:rPr>
        <w:t xml:space="preserve"> a rogue as he seems to have been in relation to Pharaoh and Sarah? Yes and more, though he has some pathetic excuses. Did the event r</w:t>
      </w:r>
      <w:r w:rsidR="0066212B">
        <w:rPr>
          <w:lang w:bidi="he-IL"/>
        </w:rPr>
        <w:t>uin Sarah’s reputation? Maybe Pharaoh</w:t>
      </w:r>
      <w:r w:rsidR="0087354C">
        <w:rPr>
          <w:lang w:bidi="he-IL"/>
        </w:rPr>
        <w:t xml:space="preserve"> compensated her in a way that would make her innocence clear. </w:t>
      </w:r>
      <w:r w:rsidR="0087354C" w:rsidRPr="0087354C">
        <w:rPr>
          <w:lang w:bidi="he-IL"/>
        </w:rPr>
        <w:t>What happened to the household after Pharaoh had released Sarah? Maybe Abra</w:t>
      </w:r>
      <w:r w:rsidR="0087354C">
        <w:rPr>
          <w:lang w:bidi="he-IL"/>
        </w:rPr>
        <w:t>ham prayed for him and for th</w:t>
      </w:r>
      <w:r w:rsidR="00523295">
        <w:rPr>
          <w:lang w:bidi="he-IL"/>
        </w:rPr>
        <w:t>em, and the story ended happily for everyone.</w:t>
      </w:r>
    </w:p>
    <w:p w14:paraId="0957CEA7" w14:textId="26911829" w:rsidR="00863213" w:rsidRPr="00863213" w:rsidRDefault="00700E3E" w:rsidP="00863213">
      <w:pPr>
        <w:rPr>
          <w:lang w:bidi="he-IL"/>
        </w:rPr>
      </w:pPr>
      <w:r>
        <w:rPr>
          <w:lang w:bidi="he-IL"/>
        </w:rPr>
        <w:t xml:space="preserve">This last feature </w:t>
      </w:r>
      <w:r w:rsidR="00523295">
        <w:rPr>
          <w:lang w:bidi="he-IL"/>
        </w:rPr>
        <w:t xml:space="preserve">puts us on the track of its possible </w:t>
      </w:r>
      <w:r w:rsidR="00FB2E93">
        <w:rPr>
          <w:lang w:bidi="he-IL"/>
        </w:rPr>
        <w:t>broader point, w</w:t>
      </w:r>
      <w:r>
        <w:rPr>
          <w:lang w:bidi="he-IL"/>
        </w:rPr>
        <w:t>hich connects with</w:t>
      </w:r>
      <w:r w:rsidR="00186F91">
        <w:rPr>
          <w:lang w:bidi="he-IL"/>
        </w:rPr>
        <w:t xml:space="preserve"> its place in the </w:t>
      </w:r>
      <w:r w:rsidR="00FB2E93">
        <w:rPr>
          <w:lang w:bidi="he-IL"/>
        </w:rPr>
        <w:t xml:space="preserve">Abraham and Sarah </w:t>
      </w:r>
      <w:r w:rsidR="00186F91">
        <w:rPr>
          <w:lang w:bidi="he-IL"/>
        </w:rPr>
        <w:t xml:space="preserve">narrative </w:t>
      </w:r>
      <w:r w:rsidR="00FB2E93">
        <w:rPr>
          <w:lang w:bidi="he-IL"/>
        </w:rPr>
        <w:t>as a whole.</w:t>
      </w:r>
      <w:r w:rsidR="00523295">
        <w:rPr>
          <w:lang w:bidi="he-IL"/>
        </w:rPr>
        <w:t xml:space="preserve"> </w:t>
      </w:r>
      <w:r w:rsidR="00FB2E93">
        <w:rPr>
          <w:lang w:bidi="he-IL"/>
        </w:rPr>
        <w:t>Yahweh’s initial directive and promise to Abraham related to land, increase, and blessing—e</w:t>
      </w:r>
      <w:r w:rsidR="00186F91">
        <w:rPr>
          <w:lang w:bidi="he-IL"/>
        </w:rPr>
        <w:t>xperienced and mediated. Gen 12:9—13:4</w:t>
      </w:r>
      <w:r w:rsidR="00FB2E93">
        <w:rPr>
          <w:lang w:bidi="he-IL"/>
        </w:rPr>
        <w:t xml:space="preserve"> related an event which imperiled the entire project. Gen 20 reopens the questions</w:t>
      </w:r>
      <w:r w:rsidR="00186F91">
        <w:rPr>
          <w:lang w:bidi="he-IL"/>
        </w:rPr>
        <w:t xml:space="preserve"> raised there</w:t>
      </w:r>
      <w:r w:rsidR="00FB2E93">
        <w:rPr>
          <w:lang w:bidi="he-IL"/>
        </w:rPr>
        <w:t>, particularly</w:t>
      </w:r>
      <w:r w:rsidR="00186F91">
        <w:rPr>
          <w:lang w:bidi="he-IL"/>
        </w:rPr>
        <w:t xml:space="preserve"> the question whether Abraham can</w:t>
      </w:r>
      <w:r w:rsidR="00FB2E93">
        <w:rPr>
          <w:lang w:bidi="he-IL"/>
        </w:rPr>
        <w:t xml:space="preserve"> have a wholesome r</w:t>
      </w:r>
      <w:r w:rsidR="00186F91">
        <w:rPr>
          <w:lang w:bidi="he-IL"/>
        </w:rPr>
        <w:t>elationship with other nations and whether God c</w:t>
      </w:r>
      <w:r w:rsidR="003C18B0">
        <w:rPr>
          <w:lang w:bidi="he-IL"/>
        </w:rPr>
        <w:t xml:space="preserve">ares about them. </w:t>
      </w:r>
      <w:r w:rsidR="0066212B">
        <w:rPr>
          <w:lang w:bidi="he-IL"/>
        </w:rPr>
        <w:t xml:space="preserve">Here </w:t>
      </w:r>
      <w:r w:rsidR="00186F91">
        <w:rPr>
          <w:lang w:bidi="he-IL"/>
        </w:rPr>
        <w:t>Abraham again imp</w:t>
      </w:r>
      <w:r w:rsidR="003C18B0">
        <w:rPr>
          <w:lang w:bidi="he-IL"/>
        </w:rPr>
        <w:t xml:space="preserve">erils that possibility, but </w:t>
      </w:r>
      <w:r w:rsidR="00186F91">
        <w:rPr>
          <w:lang w:bidi="he-IL"/>
        </w:rPr>
        <w:t xml:space="preserve">God reaches out to Abimelek. God is caught between Abraham to whom he is committed though he is a rogue, and Abimelek </w:t>
      </w:r>
      <w:r w:rsidR="00A33588">
        <w:rPr>
          <w:lang w:bidi="he-IL"/>
        </w:rPr>
        <w:t>who is</w:t>
      </w:r>
      <w:r w:rsidR="00A33588" w:rsidRPr="00A33588">
        <w:rPr>
          <w:lang w:bidi="he-IL"/>
        </w:rPr>
        <w:t xml:space="preserve"> a person of integrity and faithfuln</w:t>
      </w:r>
      <w:r w:rsidR="00A33588">
        <w:rPr>
          <w:lang w:bidi="he-IL"/>
        </w:rPr>
        <w:t>ess but</w:t>
      </w:r>
      <w:r w:rsidR="00A33588" w:rsidRPr="00A33588">
        <w:rPr>
          <w:lang w:bidi="he-IL"/>
        </w:rPr>
        <w:t xml:space="preserve"> </w:t>
      </w:r>
      <w:r w:rsidR="00A33588">
        <w:rPr>
          <w:lang w:bidi="he-IL"/>
        </w:rPr>
        <w:t xml:space="preserve">whom Abraham has led into </w:t>
      </w:r>
      <w:r w:rsidR="00BD1BF4">
        <w:rPr>
          <w:lang w:bidi="he-IL"/>
        </w:rPr>
        <w:t xml:space="preserve">unwitting </w:t>
      </w:r>
      <w:r w:rsidR="00A33588">
        <w:rPr>
          <w:lang w:bidi="he-IL"/>
        </w:rPr>
        <w:t>wrongdoing. God takes action against Abimelek to stop him going further i</w:t>
      </w:r>
      <w:r w:rsidR="00BD1BF4">
        <w:rPr>
          <w:lang w:bidi="he-IL"/>
        </w:rPr>
        <w:t xml:space="preserve">nto wrongdoing, and also </w:t>
      </w:r>
      <w:r w:rsidR="00A33588">
        <w:rPr>
          <w:lang w:bidi="he-IL"/>
        </w:rPr>
        <w:t>get</w:t>
      </w:r>
      <w:r w:rsidR="00BD1BF4">
        <w:rPr>
          <w:lang w:bidi="he-IL"/>
        </w:rPr>
        <w:t>s</w:t>
      </w:r>
      <w:r w:rsidR="00A33588">
        <w:rPr>
          <w:lang w:bidi="he-IL"/>
        </w:rPr>
        <w:t xml:space="preserve"> Abimelek to put things right. He uses Abraham as a means of restoring Abimelek from the mess he has got Abimelek into, and a means of his household being blessed. And he uses Abimelek as a means of blessing Abraham.</w:t>
      </w:r>
      <w:r w:rsidR="00863213">
        <w:rPr>
          <w:lang w:bidi="he-IL"/>
        </w:rPr>
        <w:t xml:space="preserve"> </w:t>
      </w:r>
      <w:r w:rsidR="00863213" w:rsidRPr="00863213">
        <w:rPr>
          <w:lang w:bidi="he-IL"/>
        </w:rPr>
        <w:t xml:space="preserve">The chapter </w:t>
      </w:r>
      <w:r w:rsidR="003C18B0">
        <w:rPr>
          <w:lang w:bidi="he-IL"/>
        </w:rPr>
        <w:t xml:space="preserve">thus </w:t>
      </w:r>
      <w:r w:rsidR="00863213" w:rsidRPr="00863213">
        <w:rPr>
          <w:lang w:bidi="he-IL"/>
        </w:rPr>
        <w:t>conveys a mixed message in relation to God’s promise to Abraham. Will he possess the land? Verse 13 suggests a glimmer of a reassurance. Will he have offspring? God has shown himself able to open Gerar’s wombs, but not Sarah’s yet. Will Abraham be a blessing? Not so much, but at least he can be the means of reversing a curse.</w:t>
      </w:r>
    </w:p>
    <w:p w14:paraId="6E6F15D5" w14:textId="7C39A64C" w:rsidR="00700E3E" w:rsidRPr="00523295" w:rsidRDefault="00700E3E" w:rsidP="00700E3E">
      <w:pPr>
        <w:rPr>
          <w:lang w:bidi="he-IL"/>
        </w:rPr>
      </w:pPr>
      <w:r>
        <w:rPr>
          <w:lang w:bidi="he-IL"/>
        </w:rPr>
        <w:t>The second story never comments on the fact that the event is apparently a repeat of an earlier o</w:t>
      </w:r>
      <w:r w:rsidR="00BD1BF4">
        <w:rPr>
          <w:lang w:bidi="he-IL"/>
        </w:rPr>
        <w:t>ne (unless v. 13 implies it). Nor thus does i</w:t>
      </w:r>
      <w:r>
        <w:rPr>
          <w:lang w:bidi="he-IL"/>
        </w:rPr>
        <w:t>t raise</w:t>
      </w:r>
      <w:r w:rsidRPr="00700E3E">
        <w:rPr>
          <w:lang w:bidi="he-IL"/>
        </w:rPr>
        <w:t xml:space="preserve"> the question why Abraham made the same mistake twice. </w:t>
      </w:r>
      <w:r>
        <w:rPr>
          <w:lang w:bidi="he-IL"/>
        </w:rPr>
        <w:t>While it might seem “astonishing”</w:t>
      </w:r>
      <w:r>
        <w:rPr>
          <w:rStyle w:val="FootnoteReference"/>
          <w:lang w:bidi="he-IL"/>
        </w:rPr>
        <w:footnoteReference w:id="531"/>
      </w:r>
      <w:r>
        <w:rPr>
          <w:lang w:bidi="he-IL"/>
        </w:rPr>
        <w:t xml:space="preserve"> and implausible that the same sort of thing should have recurred, it seems not much less plausible that it should have happened once. The more significant question is why the Scriptures include a second, similar story. W</w:t>
      </w:r>
      <w:r w:rsidRPr="00700E3E">
        <w:rPr>
          <w:lang w:bidi="he-IL"/>
        </w:rPr>
        <w:t xml:space="preserve">hy </w:t>
      </w:r>
      <w:r>
        <w:rPr>
          <w:lang w:bidi="he-IL"/>
        </w:rPr>
        <w:t xml:space="preserve">do </w:t>
      </w:r>
      <w:r w:rsidRPr="00700E3E">
        <w:rPr>
          <w:lang w:bidi="he-IL"/>
        </w:rPr>
        <w:t xml:space="preserve">we </w:t>
      </w:r>
      <w:r>
        <w:rPr>
          <w:lang w:bidi="he-IL"/>
        </w:rPr>
        <w:t>need to read such a story twice?</w:t>
      </w:r>
      <w:r w:rsidRPr="00700E3E">
        <w:rPr>
          <w:lang w:bidi="he-IL"/>
        </w:rPr>
        <w:t xml:space="preserve"> </w:t>
      </w:r>
      <w:r>
        <w:rPr>
          <w:lang w:bidi="he-IL"/>
        </w:rPr>
        <w:t xml:space="preserve">Presumably the second story is told and </w:t>
      </w:r>
      <w:r w:rsidRPr="008D4AAD">
        <w:rPr>
          <w:lang w:bidi="he-IL"/>
        </w:rPr>
        <w:t xml:space="preserve">included in the </w:t>
      </w:r>
      <w:r>
        <w:rPr>
          <w:lang w:bidi="he-IL"/>
        </w:rPr>
        <w:t>Scriptures because</w:t>
      </w:r>
      <w:r w:rsidRPr="008D4AAD">
        <w:rPr>
          <w:lang w:bidi="he-IL"/>
        </w:rPr>
        <w:t xml:space="preserve"> it raises </w:t>
      </w:r>
      <w:r>
        <w:rPr>
          <w:lang w:bidi="he-IL"/>
        </w:rPr>
        <w:t xml:space="preserve">issues that </w:t>
      </w:r>
      <w:r w:rsidRPr="008D4AAD">
        <w:rPr>
          <w:lang w:bidi="he-IL"/>
        </w:rPr>
        <w:t>are important enough to discuss twice and because it discusses them in a way th</w:t>
      </w:r>
      <w:r>
        <w:rPr>
          <w:lang w:bidi="he-IL"/>
        </w:rPr>
        <w:t xml:space="preserve">at also allows </w:t>
      </w:r>
      <w:r w:rsidRPr="008D4AAD">
        <w:rPr>
          <w:lang w:bidi="he-IL"/>
        </w:rPr>
        <w:t>insight</w:t>
      </w:r>
      <w:r>
        <w:rPr>
          <w:lang w:bidi="he-IL"/>
        </w:rPr>
        <w:t>s</w:t>
      </w:r>
      <w:r w:rsidRPr="008D4AAD">
        <w:rPr>
          <w:lang w:bidi="he-IL"/>
        </w:rPr>
        <w:t xml:space="preserve"> to emerge</w:t>
      </w:r>
      <w:r>
        <w:rPr>
          <w:lang w:bidi="he-IL"/>
        </w:rPr>
        <w:t xml:space="preserve"> that did not emerge from the first version</w:t>
      </w:r>
      <w:r w:rsidRPr="008D4AAD">
        <w:rPr>
          <w:lang w:bidi="he-IL"/>
        </w:rPr>
        <w:t>.</w:t>
      </w:r>
      <w:r>
        <w:rPr>
          <w:lang w:bidi="he-IL"/>
        </w:rPr>
        <w:t xml:space="preserve"> </w:t>
      </w:r>
      <w:r w:rsidRPr="002E489B">
        <w:rPr>
          <w:lang w:bidi="he-IL"/>
        </w:rPr>
        <w:t>Whereas the first story with its reference to Sarah’s attractiveness suggests implications regarding a husband’s attitude to his wife’s sexuality, the absence of this reference in the second story and the anthropological background suggests implications regarding the way a husband may seek to use his wife in connection with politics or business or church. Women are often pawns, not least in the context of migration.</w:t>
      </w:r>
      <w:r w:rsidR="00BD1BF4">
        <w:rPr>
          <w:lang w:bidi="he-IL"/>
        </w:rPr>
        <w:t xml:space="preserve"> </w:t>
      </w:r>
      <w:r>
        <w:rPr>
          <w:lang w:bidi="he-IL"/>
        </w:rPr>
        <w:t xml:space="preserve">Gen 20 is more reflective than 12:9—13:4. </w:t>
      </w:r>
      <w:r w:rsidRPr="00523295">
        <w:rPr>
          <w:lang w:bidi="he-IL"/>
        </w:rPr>
        <w:t>Dialogue between God and Abimelek and between Abimelek and Abraham is more prominent than action. There is comparison and contrast between the dialogues: both involve acc</w:t>
      </w:r>
      <w:r w:rsidR="000C29B8">
        <w:rPr>
          <w:lang w:bidi="he-IL"/>
        </w:rPr>
        <w:t>usation which cannot be contested</w:t>
      </w:r>
      <w:r w:rsidRPr="00523295">
        <w:rPr>
          <w:lang w:bidi="he-IL"/>
        </w:rPr>
        <w:t>, and then defense which asks for extenuating circumstances to be taken into account, but in Abraham’s case the extenuating circumstances do not remove his guilt.</w:t>
      </w:r>
      <w:r w:rsidRPr="00523295">
        <w:rPr>
          <w:vertAlign w:val="superscript"/>
          <w:lang w:bidi="he-IL"/>
        </w:rPr>
        <w:footnoteReference w:id="532"/>
      </w:r>
      <w:r w:rsidRPr="00523295">
        <w:rPr>
          <w:lang w:bidi="he-IL"/>
        </w:rPr>
        <w:t xml:space="preserve"> Key elements in the action appear only in parenthesis near the end.</w:t>
      </w:r>
    </w:p>
    <w:p w14:paraId="36A57F3F" w14:textId="77777777" w:rsidR="00D349BE" w:rsidRDefault="00D349BE" w:rsidP="00D349BE">
      <w:pPr>
        <w:rPr>
          <w:lang w:bidi="he-IL"/>
        </w:rPr>
      </w:pPr>
      <w:r>
        <w:rPr>
          <w:lang w:bidi="he-IL"/>
        </w:rPr>
        <w:lastRenderedPageBreak/>
        <w:t>MT makes Gen 20 a second paragraph within 18:1—2</w:t>
      </w:r>
      <w:r w:rsidR="00A33588">
        <w:rPr>
          <w:lang w:bidi="he-IL"/>
        </w:rPr>
        <w:t xml:space="preserve">1:21, following on 18:1—19:38. </w:t>
      </w:r>
      <w:r>
        <w:rPr>
          <w:lang w:bidi="he-IL"/>
        </w:rPr>
        <w:t xml:space="preserve">In traditional Pentateuchal criticism it belongs to the </w:t>
      </w:r>
      <w:r w:rsidR="00A33588">
        <w:rPr>
          <w:lang w:bidi="he-IL"/>
        </w:rPr>
        <w:t xml:space="preserve">Elohistic version of Abraham’s </w:t>
      </w:r>
      <w:r>
        <w:rPr>
          <w:lang w:bidi="he-IL"/>
        </w:rPr>
        <w:t xml:space="preserve">story, in which it is the equivalent of 12:9—13:4 in the Yahwistic version. The obvious marker is the use of the word </w:t>
      </w:r>
      <w:r>
        <w:rPr>
          <w:i/>
          <w:lang w:bidi="he-IL"/>
        </w:rPr>
        <w:t xml:space="preserve">’ĕlōhîm </w:t>
      </w:r>
      <w:r>
        <w:rPr>
          <w:lang w:bidi="he-IL"/>
        </w:rPr>
        <w:t>for God (</w:t>
      </w:r>
      <w:r w:rsidRPr="00441DDF">
        <w:rPr>
          <w:lang w:bidi="he-IL"/>
        </w:rPr>
        <w:t>though the closing parenthesis refers to Yahweh)</w:t>
      </w:r>
      <w:r>
        <w:rPr>
          <w:lang w:bidi="he-IL"/>
        </w:rPr>
        <w:t>, but dreams are also characteristic of the Elohistic version.</w:t>
      </w:r>
      <w:r>
        <w:rPr>
          <w:rStyle w:val="FootnoteReference"/>
          <w:lang w:bidi="he-IL"/>
        </w:rPr>
        <w:footnoteReference w:id="533"/>
      </w:r>
      <w:r>
        <w:rPr>
          <w:lang w:bidi="he-IL"/>
        </w:rPr>
        <w:t xml:space="preserve"> </w:t>
      </w:r>
    </w:p>
    <w:p w14:paraId="060F58E6" w14:textId="77777777" w:rsidR="00005E8E" w:rsidRDefault="00005E8E" w:rsidP="00D349BE">
      <w:pPr>
        <w:rPr>
          <w:lang w:bidi="he-IL"/>
        </w:rPr>
      </w:pPr>
      <w:r>
        <w:rPr>
          <w:lang w:bidi="he-IL"/>
        </w:rPr>
        <w:t>The setting of Gen 20 in the context of the surrounding chapters raises another question, about the geographica</w:t>
      </w:r>
      <w:r w:rsidR="00517766">
        <w:rPr>
          <w:lang w:bidi="he-IL"/>
        </w:rPr>
        <w:t>l references in</w:t>
      </w:r>
      <w:r>
        <w:rPr>
          <w:lang w:bidi="he-IL"/>
        </w:rPr>
        <w:t xml:space="preserve"> these chapters. The data are as follows:</w:t>
      </w:r>
    </w:p>
    <w:p w14:paraId="15D22E33" w14:textId="77777777" w:rsidR="00005E8E" w:rsidRDefault="00005E8E" w:rsidP="00D349BE">
      <w:pPr>
        <w:rPr>
          <w:lang w:bidi="he-IL"/>
        </w:rPr>
      </w:pPr>
    </w:p>
    <w:p w14:paraId="3B43084F" w14:textId="77777777" w:rsidR="00005E8E" w:rsidRDefault="00005E8E" w:rsidP="00D349BE">
      <w:pPr>
        <w:rPr>
          <w:lang w:bidi="he-IL"/>
        </w:rPr>
      </w:pPr>
      <w:r>
        <w:rPr>
          <w:lang w:bidi="he-IL"/>
        </w:rPr>
        <w:t>20:1a</w:t>
      </w:r>
      <w:r>
        <w:rPr>
          <w:lang w:bidi="he-IL"/>
        </w:rPr>
        <w:tab/>
      </w:r>
      <w:r>
        <w:rPr>
          <w:lang w:bidi="he-IL"/>
        </w:rPr>
        <w:tab/>
        <w:t xml:space="preserve">Abraham moves to live in the </w:t>
      </w:r>
      <w:r w:rsidR="009542B9">
        <w:rPr>
          <w:lang w:bidi="he-IL"/>
        </w:rPr>
        <w:t>Negev</w:t>
      </w:r>
    </w:p>
    <w:p w14:paraId="15A297DE" w14:textId="77777777" w:rsidR="00005E8E" w:rsidRDefault="00005E8E" w:rsidP="00D349BE">
      <w:pPr>
        <w:rPr>
          <w:lang w:bidi="he-IL"/>
        </w:rPr>
      </w:pPr>
      <w:r>
        <w:rPr>
          <w:lang w:bidi="he-IL"/>
        </w:rPr>
        <w:t>20:1b</w:t>
      </w:r>
      <w:r>
        <w:rPr>
          <w:lang w:bidi="he-IL"/>
        </w:rPr>
        <w:tab/>
      </w:r>
      <w:r>
        <w:rPr>
          <w:lang w:bidi="he-IL"/>
        </w:rPr>
        <w:tab/>
        <w:t>He goes as a temporary resident to Gerar</w:t>
      </w:r>
    </w:p>
    <w:p w14:paraId="19A8D8F9" w14:textId="77777777" w:rsidR="00005E8E" w:rsidRDefault="00005E8E" w:rsidP="00D349BE">
      <w:pPr>
        <w:rPr>
          <w:lang w:bidi="he-IL"/>
        </w:rPr>
      </w:pPr>
      <w:r>
        <w:rPr>
          <w:lang w:bidi="he-IL"/>
        </w:rPr>
        <w:t>21:14</w:t>
      </w:r>
      <w:r>
        <w:rPr>
          <w:lang w:bidi="he-IL"/>
        </w:rPr>
        <w:tab/>
      </w:r>
      <w:r>
        <w:rPr>
          <w:lang w:bidi="he-IL"/>
        </w:rPr>
        <w:tab/>
      </w:r>
      <w:proofErr w:type="gramStart"/>
      <w:r>
        <w:rPr>
          <w:lang w:bidi="he-IL"/>
        </w:rPr>
        <w:t>After</w:t>
      </w:r>
      <w:proofErr w:type="gramEnd"/>
      <w:r>
        <w:rPr>
          <w:lang w:bidi="he-IL"/>
        </w:rPr>
        <w:t xml:space="preserve"> her expulsion from the family Hagar </w:t>
      </w:r>
      <w:r w:rsidR="008D4E32">
        <w:rPr>
          <w:lang w:bidi="he-IL"/>
        </w:rPr>
        <w:t>wanders in the Beer Sheba wilderness</w:t>
      </w:r>
    </w:p>
    <w:p w14:paraId="7D987A35" w14:textId="77777777" w:rsidR="00005E8E" w:rsidRDefault="00005E8E" w:rsidP="00D349BE">
      <w:pPr>
        <w:rPr>
          <w:lang w:bidi="he-IL"/>
        </w:rPr>
      </w:pPr>
      <w:r>
        <w:rPr>
          <w:lang w:bidi="he-IL"/>
        </w:rPr>
        <w:t>21:22-31</w:t>
      </w:r>
      <w:r>
        <w:rPr>
          <w:lang w:bidi="he-IL"/>
        </w:rPr>
        <w:tab/>
        <w:t>Abraham and the king of Gerar make a pact at Beer Sheba</w:t>
      </w:r>
    </w:p>
    <w:p w14:paraId="5D953478" w14:textId="77777777" w:rsidR="00005E8E" w:rsidRDefault="00005E8E" w:rsidP="00D349BE">
      <w:pPr>
        <w:rPr>
          <w:lang w:bidi="he-IL"/>
        </w:rPr>
      </w:pPr>
      <w:r>
        <w:rPr>
          <w:lang w:bidi="he-IL"/>
        </w:rPr>
        <w:t>21:32</w:t>
      </w:r>
      <w:r>
        <w:rPr>
          <w:lang w:bidi="he-IL"/>
        </w:rPr>
        <w:tab/>
      </w:r>
      <w:r>
        <w:rPr>
          <w:lang w:bidi="he-IL"/>
        </w:rPr>
        <w:tab/>
      </w:r>
      <w:proofErr w:type="gramStart"/>
      <w:r>
        <w:rPr>
          <w:lang w:bidi="he-IL"/>
        </w:rPr>
        <w:t>The</w:t>
      </w:r>
      <w:proofErr w:type="gramEnd"/>
      <w:r>
        <w:rPr>
          <w:lang w:bidi="he-IL"/>
        </w:rPr>
        <w:t xml:space="preserve"> king returns to Philistine territory</w:t>
      </w:r>
    </w:p>
    <w:p w14:paraId="400ACB1E" w14:textId="77777777" w:rsidR="00005E8E" w:rsidRDefault="00005E8E" w:rsidP="00D349BE">
      <w:pPr>
        <w:rPr>
          <w:lang w:bidi="he-IL"/>
        </w:rPr>
      </w:pPr>
      <w:r>
        <w:rPr>
          <w:lang w:bidi="he-IL"/>
        </w:rPr>
        <w:t>21:33</w:t>
      </w:r>
      <w:r>
        <w:rPr>
          <w:lang w:bidi="he-IL"/>
        </w:rPr>
        <w:tab/>
      </w:r>
      <w:r>
        <w:rPr>
          <w:lang w:bidi="he-IL"/>
        </w:rPr>
        <w:tab/>
        <w:t>Abraham is a long-time temporary resident in Philistine territory</w:t>
      </w:r>
    </w:p>
    <w:p w14:paraId="791F0A79" w14:textId="77777777" w:rsidR="00B444DB" w:rsidRDefault="00B444DB" w:rsidP="00D349BE">
      <w:pPr>
        <w:rPr>
          <w:lang w:bidi="he-IL"/>
        </w:rPr>
      </w:pPr>
      <w:r>
        <w:rPr>
          <w:lang w:bidi="he-IL"/>
        </w:rPr>
        <w:t>22:19</w:t>
      </w:r>
      <w:r>
        <w:rPr>
          <w:lang w:bidi="he-IL"/>
        </w:rPr>
        <w:tab/>
      </w:r>
      <w:r>
        <w:rPr>
          <w:lang w:bidi="he-IL"/>
        </w:rPr>
        <w:tab/>
        <w:t>Abraham lives in Beer Sheba.</w:t>
      </w:r>
    </w:p>
    <w:p w14:paraId="36E1B639" w14:textId="77777777" w:rsidR="00F72BA0" w:rsidRDefault="00F72BA0" w:rsidP="00D349BE">
      <w:pPr>
        <w:rPr>
          <w:lang w:bidi="he-IL"/>
        </w:rPr>
      </w:pPr>
    </w:p>
    <w:p w14:paraId="0C1882B3" w14:textId="77777777" w:rsidR="00C944A7" w:rsidRDefault="00C944A7" w:rsidP="00F72BA0">
      <w:pPr>
        <w:pStyle w:val="PlainText"/>
      </w:pPr>
      <w:r>
        <w:t xml:space="preserve">Among the </w:t>
      </w:r>
      <w:r w:rsidR="00F72BA0">
        <w:t>implication</w:t>
      </w:r>
      <w:r>
        <w:t>s of these data, and the questions they raise, are the following.</w:t>
      </w:r>
    </w:p>
    <w:p w14:paraId="235AC646" w14:textId="77777777" w:rsidR="00C944A7" w:rsidRDefault="00C944A7" w:rsidP="00F72BA0">
      <w:pPr>
        <w:pStyle w:val="PlainText"/>
      </w:pPr>
    </w:p>
    <w:p w14:paraId="6C753C93" w14:textId="64559DC7" w:rsidR="00C944A7" w:rsidRDefault="00C944A7" w:rsidP="00C944A7">
      <w:pPr>
        <w:pStyle w:val="PlainText"/>
        <w:numPr>
          <w:ilvl w:val="0"/>
          <w:numId w:val="46"/>
        </w:numPr>
      </w:pPr>
      <w:r>
        <w:t>T</w:t>
      </w:r>
      <w:r w:rsidR="00F72BA0">
        <w:t xml:space="preserve">he </w:t>
      </w:r>
      <w:r w:rsidR="009542B9">
        <w:t>Negev</w:t>
      </w:r>
      <w:r w:rsidR="00F72BA0">
        <w:t xml:space="preserve"> in general and the Beer Sheba region in particular was home for Abraham through the period covered by these stories, which </w:t>
      </w:r>
      <w:r w:rsidR="00197A0C">
        <w:t xml:space="preserve">assumption </w:t>
      </w:r>
      <w:r w:rsidR="00F72BA0">
        <w:t>raises no difficulties.</w:t>
      </w:r>
      <w:r w:rsidR="00727890">
        <w:t xml:space="preserve"> </w:t>
      </w:r>
    </w:p>
    <w:p w14:paraId="68A1C8BD" w14:textId="77777777" w:rsidR="00F72BA0" w:rsidRDefault="00C944A7" w:rsidP="00C944A7">
      <w:pPr>
        <w:pStyle w:val="PlainText"/>
        <w:numPr>
          <w:ilvl w:val="0"/>
          <w:numId w:val="46"/>
        </w:numPr>
      </w:pPr>
      <w:r>
        <w:t>T</w:t>
      </w:r>
      <w:r w:rsidR="00F72BA0">
        <w:t xml:space="preserve">he Philistines </w:t>
      </w:r>
      <w:r>
        <w:t>are present in Abraham’</w:t>
      </w:r>
      <w:r w:rsidR="00AE4985">
        <w:t>s day and they control the Beer S</w:t>
      </w:r>
      <w:r>
        <w:t>he</w:t>
      </w:r>
      <w:r w:rsidR="00197A0C">
        <w:t>ba region. Bu</w:t>
      </w:r>
      <w:r>
        <w:t xml:space="preserve">t </w:t>
      </w:r>
      <w:r w:rsidR="00AE4985">
        <w:t xml:space="preserve">most biblical references to the Philistines and all non-biblical references come from the </w:t>
      </w:r>
      <w:r w:rsidR="00517766">
        <w:t xml:space="preserve">period after the Israelites are </w:t>
      </w:r>
      <w:r w:rsidR="00AE4985">
        <w:t>in Canaan</w:t>
      </w:r>
      <w:r>
        <w:t xml:space="preserve">, </w:t>
      </w:r>
      <w:r w:rsidR="00AE4985">
        <w:t>n</w:t>
      </w:r>
      <w:r>
        <w:t xml:space="preserve">or </w:t>
      </w:r>
      <w:r w:rsidR="00AE4985">
        <w:t xml:space="preserve">are the </w:t>
      </w:r>
      <w:r w:rsidR="00AE4985" w:rsidRPr="00AE4985">
        <w:t>Philistines</w:t>
      </w:r>
      <w:r w:rsidR="00AE4985">
        <w:t xml:space="preserve"> associated with</w:t>
      </w:r>
      <w:r>
        <w:t xml:space="preserve"> an area as far southeast as Beer Sheba.</w:t>
      </w:r>
    </w:p>
    <w:p w14:paraId="219EE5E2" w14:textId="11445814" w:rsidR="00C944A7" w:rsidRDefault="00C944A7" w:rsidP="00C944A7">
      <w:pPr>
        <w:pStyle w:val="PlainText"/>
        <w:numPr>
          <w:ilvl w:val="0"/>
          <w:numId w:val="46"/>
        </w:numPr>
      </w:pPr>
      <w:r>
        <w:t>While 10:</w:t>
      </w:r>
      <w:r w:rsidR="005F5602">
        <w:t>18-</w:t>
      </w:r>
      <w:r>
        <w:t>19 ref</w:t>
      </w:r>
      <w:r w:rsidR="005F5602">
        <w:t>ers to a place called Gerar near Gaza</w:t>
      </w:r>
      <w:r w:rsidR="00D45F5A">
        <w:t>,</w:t>
      </w:r>
      <w:r w:rsidR="00D45F5A" w:rsidRPr="00D45F5A">
        <w:t xml:space="preserve"> </w:t>
      </w:r>
      <w:r w:rsidR="00D45F5A">
        <w:t xml:space="preserve">forty or fifty miles </w:t>
      </w:r>
      <w:r w:rsidR="00D45F5A" w:rsidRPr="00517766">
        <w:t>north</w:t>
      </w:r>
      <w:r w:rsidR="00D45F5A">
        <w:t xml:space="preserve"> of Qadesh and Shur</w:t>
      </w:r>
      <w:r w:rsidR="005F5602">
        <w:t xml:space="preserve"> </w:t>
      </w:r>
      <w:r>
        <w:t>in what was su</w:t>
      </w:r>
      <w:r w:rsidR="005F5602">
        <w:t>bsequently Philistine territory, it describes it</w:t>
      </w:r>
      <w:r w:rsidR="001F3C5F">
        <w:t xml:space="preserve"> as Canaanite territory; and Abimelek</w:t>
      </w:r>
      <w:r w:rsidR="00197A0C">
        <w:t xml:space="preserve"> looks like a Canaan</w:t>
      </w:r>
      <w:r w:rsidR="001F3C5F">
        <w:t>ite name, not a Philistine one, like Melkizedeq, though it is also the name of Gideon’s son (Judg 8:31).</w:t>
      </w:r>
    </w:p>
    <w:p w14:paraId="67E5E62B" w14:textId="77777777" w:rsidR="005F5602" w:rsidRDefault="005F5602" w:rsidP="00C944A7">
      <w:pPr>
        <w:pStyle w:val="PlainText"/>
        <w:numPr>
          <w:ilvl w:val="0"/>
          <w:numId w:val="46"/>
        </w:numPr>
      </w:pPr>
      <w:r>
        <w:rPr>
          <w:i/>
        </w:rPr>
        <w:t>Jub</w:t>
      </w:r>
      <w:r>
        <w:t xml:space="preserve"> 16:10 has Abraham living “between Qadesh and Shur in the mount</w:t>
      </w:r>
      <w:r w:rsidRPr="005F5602">
        <w:t>a</w:t>
      </w:r>
      <w:r>
        <w:t>i</w:t>
      </w:r>
      <w:r w:rsidRPr="005F5602">
        <w:t>ns of Gerar</w:t>
      </w:r>
      <w:r>
        <w:t>”— a different Gerar.</w:t>
      </w:r>
      <w:r w:rsidR="00CD1EAF">
        <w:rPr>
          <w:rStyle w:val="FootnoteReference"/>
        </w:rPr>
        <w:footnoteReference w:id="534"/>
      </w:r>
    </w:p>
    <w:p w14:paraId="79BBDC01" w14:textId="77777777" w:rsidR="00CD1EAF" w:rsidRDefault="00CD1EAF" w:rsidP="00CD1EAF">
      <w:pPr>
        <w:pStyle w:val="PlainText"/>
      </w:pPr>
    </w:p>
    <w:p w14:paraId="36F41125" w14:textId="1B719DE0" w:rsidR="00CD1EAF" w:rsidRDefault="00CD1EAF" w:rsidP="00CD1EAF">
      <w:pPr>
        <w:pStyle w:val="PlainText"/>
      </w:pPr>
      <w:r>
        <w:t>I infer that the Gerar to which Gen 20—</w:t>
      </w:r>
      <w:r w:rsidR="00197A0C">
        <w:t xml:space="preserve">22 refers is </w:t>
      </w:r>
      <w:r>
        <w:t xml:space="preserve">this southern Gerar in the </w:t>
      </w:r>
      <w:r w:rsidR="009542B9">
        <w:t>Negev</w:t>
      </w:r>
      <w:r>
        <w:t xml:space="preserve">, and that the inhabitants of the area are called Philistines because it was Philistines who controlled the region around </w:t>
      </w:r>
      <w:r w:rsidR="00AE4985">
        <w:t xml:space="preserve">the northern </w:t>
      </w:r>
      <w:r>
        <w:t>Gerar when the story was being told in t</w:t>
      </w:r>
      <w:r w:rsidR="00197A0C">
        <w:t>he time b</w:t>
      </w:r>
      <w:r w:rsidR="00517766">
        <w:t>etween Moses and David</w:t>
      </w:r>
      <w:r w:rsidR="001F3C5F">
        <w:t>, though the area would have counted broadly as Canaan. But t</w:t>
      </w:r>
      <w:r w:rsidR="00197A0C">
        <w:t xml:space="preserve">he audience might be bemused at the idea of Abraham getting involved with “Canaanites” in the way he does with </w:t>
      </w:r>
      <w:r w:rsidR="00D45F5A">
        <w:t>“</w:t>
      </w:r>
      <w:r w:rsidR="00197A0C">
        <w:t>Philistines.</w:t>
      </w:r>
      <w:r w:rsidR="00D45F5A">
        <w:t>”</w:t>
      </w:r>
    </w:p>
    <w:p w14:paraId="2D2151CD" w14:textId="70C26DEC" w:rsidR="003D2488" w:rsidRDefault="003C6F22" w:rsidP="001F3C5F">
      <w:pPr>
        <w:rPr>
          <w:lang w:bidi="he-IL"/>
        </w:rPr>
      </w:pPr>
      <w:r>
        <w:rPr>
          <w:b/>
          <w:lang w:bidi="he-IL"/>
        </w:rPr>
        <w:t>20:1-3</w:t>
      </w:r>
      <w:r w:rsidR="0097294E">
        <w:rPr>
          <w:b/>
          <w:lang w:bidi="he-IL"/>
        </w:rPr>
        <w:t xml:space="preserve">. </w:t>
      </w:r>
      <w:proofErr w:type="gramStart"/>
      <w:r w:rsidR="00BB2537">
        <w:rPr>
          <w:lang w:bidi="he-IL"/>
        </w:rPr>
        <w:t>The</w:t>
      </w:r>
      <w:proofErr w:type="gramEnd"/>
      <w:r w:rsidR="00BB2537">
        <w:rPr>
          <w:lang w:bidi="he-IL"/>
        </w:rPr>
        <w:t xml:space="preserve"> </w:t>
      </w:r>
      <w:r w:rsidR="004E2F6D">
        <w:rPr>
          <w:lang w:bidi="he-IL"/>
        </w:rPr>
        <w:t xml:space="preserve">unusual </w:t>
      </w:r>
      <w:r w:rsidR="0090446E">
        <w:rPr>
          <w:lang w:bidi="he-IL"/>
        </w:rPr>
        <w:t>in</w:t>
      </w:r>
      <w:r w:rsidR="002A5AE1">
        <w:rPr>
          <w:lang w:bidi="he-IL"/>
        </w:rPr>
        <w:t>t</w:t>
      </w:r>
      <w:r>
        <w:rPr>
          <w:lang w:bidi="he-IL"/>
        </w:rPr>
        <w:t xml:space="preserve">roduction to the chapter with its </w:t>
      </w:r>
      <w:r w:rsidR="004E2F6D">
        <w:rPr>
          <w:lang w:bidi="he-IL"/>
        </w:rPr>
        <w:t>account of Abraham’s move</w:t>
      </w:r>
      <w:r>
        <w:rPr>
          <w:lang w:bidi="he-IL"/>
        </w:rPr>
        <w:t xml:space="preserve"> marks it</w:t>
      </w:r>
      <w:r w:rsidR="004E2F6D">
        <w:rPr>
          <w:lang w:bidi="he-IL"/>
        </w:rPr>
        <w:t xml:space="preserve"> as background to Gen 20—21 as a whole.</w:t>
      </w:r>
      <w:r w:rsidR="00727890">
        <w:rPr>
          <w:lang w:bidi="he-IL"/>
        </w:rPr>
        <w:t xml:space="preserve"> </w:t>
      </w:r>
      <w:r w:rsidR="002A5AE1">
        <w:rPr>
          <w:lang w:bidi="he-IL"/>
        </w:rPr>
        <w:t>It also portrays the relocation as a kind of reprise of movements</w:t>
      </w:r>
      <w:r w:rsidR="004E2F6D">
        <w:rPr>
          <w:lang w:bidi="he-IL"/>
        </w:rPr>
        <w:t xml:space="preserve"> in 12:9</w:t>
      </w:r>
      <w:r w:rsidR="002A5AE1">
        <w:rPr>
          <w:lang w:bidi="he-IL"/>
        </w:rPr>
        <w:t xml:space="preserve">-10 and 16:7, 14; both links will imply some irony. </w:t>
      </w:r>
      <w:r w:rsidR="0097294E">
        <w:rPr>
          <w:lang w:bidi="he-IL"/>
        </w:rPr>
        <w:t>There need be no particular reason for Abrah</w:t>
      </w:r>
      <w:r w:rsidR="00AC70C3">
        <w:rPr>
          <w:lang w:bidi="he-IL"/>
        </w:rPr>
        <w:t xml:space="preserve">am to move from Mamre to the </w:t>
      </w:r>
      <w:r w:rsidR="009542B9">
        <w:rPr>
          <w:lang w:bidi="he-IL"/>
        </w:rPr>
        <w:t>Negev</w:t>
      </w:r>
      <w:r w:rsidR="00AC70C3">
        <w:rPr>
          <w:lang w:bidi="he-IL"/>
        </w:rPr>
        <w:t>; tent-dwelling shepherd groups do move around. The area around Mamre gets more rainfall</w:t>
      </w:r>
      <w:r w:rsidR="00BB2537">
        <w:rPr>
          <w:lang w:bidi="he-IL"/>
        </w:rPr>
        <w:t xml:space="preserve"> and therefore grows more grass,</w:t>
      </w:r>
      <w:r>
        <w:rPr>
          <w:lang w:bidi="he-IL"/>
        </w:rPr>
        <w:t xml:space="preserve"> but for the same reason there might be more competition for </w:t>
      </w:r>
      <w:r w:rsidR="00AC70C3">
        <w:rPr>
          <w:lang w:bidi="he-IL"/>
        </w:rPr>
        <w:t xml:space="preserve">pasture </w:t>
      </w:r>
      <w:r>
        <w:rPr>
          <w:lang w:bidi="he-IL"/>
        </w:rPr>
        <w:t xml:space="preserve">in that region </w:t>
      </w:r>
      <w:r w:rsidR="00AC70C3">
        <w:rPr>
          <w:lang w:bidi="he-IL"/>
        </w:rPr>
        <w:t>(cf. 13:5-7—especially the reference to the other peoples living in the ar</w:t>
      </w:r>
      <w:r w:rsidR="002A5AE1">
        <w:rPr>
          <w:lang w:bidi="he-IL"/>
        </w:rPr>
        <w:t xml:space="preserve">ea). </w:t>
      </w:r>
      <w:r>
        <w:rPr>
          <w:lang w:bidi="he-IL"/>
        </w:rPr>
        <w:t xml:space="preserve">But maybe </w:t>
      </w:r>
      <w:r w:rsidR="003D56BA">
        <w:rPr>
          <w:lang w:bidi="he-IL"/>
        </w:rPr>
        <w:t>“</w:t>
      </w:r>
      <w:r>
        <w:rPr>
          <w:lang w:bidi="he-IL"/>
        </w:rPr>
        <w:t>from there</w:t>
      </w:r>
      <w:r w:rsidR="003D56BA">
        <w:rPr>
          <w:lang w:bidi="he-IL"/>
        </w:rPr>
        <w:t>”</w:t>
      </w:r>
      <w:r>
        <w:rPr>
          <w:lang w:bidi="he-IL"/>
        </w:rPr>
        <w:t xml:space="preserve"> suggests getting away from the scene of the events in Gen 18—19 and specifically from Lot</w:t>
      </w:r>
      <w:r w:rsidR="00425E22">
        <w:rPr>
          <w:lang w:bidi="he-IL"/>
        </w:rPr>
        <w:t xml:space="preserve"> (</w:t>
      </w:r>
      <w:r w:rsidR="00425E22">
        <w:t xml:space="preserve">so </w:t>
      </w:r>
      <w:r w:rsidR="00425E22">
        <w:rPr>
          <w:i/>
        </w:rPr>
        <w:t>GenR</w:t>
      </w:r>
      <w:r w:rsidR="00425E22">
        <w:t xml:space="preserve"> 50:1-4);</w:t>
      </w:r>
      <w:r>
        <w:rPr>
          <w:lang w:bidi="he-IL"/>
        </w:rPr>
        <w:t xml:space="preserve"> or perhaps (more positively) Abraham is continuing </w:t>
      </w:r>
      <w:r>
        <w:rPr>
          <w:lang w:bidi="he-IL"/>
        </w:rPr>
        <w:lastRenderedPageBreak/>
        <w:t>the process of fulfilling God’s command to settle</w:t>
      </w:r>
      <w:r w:rsidRPr="003C6F22">
        <w:rPr>
          <w:lang w:bidi="he-IL"/>
        </w:rPr>
        <w:t xml:space="preserve"> in all the parts of Canaan</w:t>
      </w:r>
      <w:r w:rsidR="00CA7921">
        <w:rPr>
          <w:lang w:bidi="he-IL"/>
        </w:rPr>
        <w:t>.</w:t>
      </w:r>
      <w:r w:rsidR="00CA7921">
        <w:rPr>
          <w:rStyle w:val="FootnoteReference"/>
          <w:lang w:bidi="he-IL"/>
        </w:rPr>
        <w:footnoteReference w:id="535"/>
      </w:r>
      <w:r w:rsidR="001F3C5F">
        <w:rPr>
          <w:lang w:bidi="he-IL"/>
        </w:rPr>
        <w:t xml:space="preserve"> S</w:t>
      </w:r>
      <w:r w:rsidR="008C62E8">
        <w:rPr>
          <w:lang w:bidi="he-IL"/>
        </w:rPr>
        <w:t xml:space="preserve">pecifically, he is </w:t>
      </w:r>
      <w:r w:rsidR="00E64E66">
        <w:rPr>
          <w:lang w:bidi="he-IL"/>
        </w:rPr>
        <w:t>stay</w:t>
      </w:r>
      <w:r w:rsidR="008C62E8">
        <w:rPr>
          <w:lang w:bidi="he-IL"/>
        </w:rPr>
        <w:t>ing</w:t>
      </w:r>
      <w:r w:rsidR="00E64E66">
        <w:rPr>
          <w:lang w:bidi="he-IL"/>
        </w:rPr>
        <w:t xml:space="preserve"> temporarily </w:t>
      </w:r>
      <w:r w:rsidR="00147F3C">
        <w:rPr>
          <w:lang w:bidi="he-IL"/>
        </w:rPr>
        <w:t>in Gerar</w:t>
      </w:r>
      <w:r w:rsidR="008C62E8">
        <w:rPr>
          <w:lang w:bidi="he-IL"/>
        </w:rPr>
        <w:t xml:space="preserve"> </w:t>
      </w:r>
      <w:r w:rsidR="001F3C5F">
        <w:rPr>
          <w:lang w:bidi="he-IL"/>
        </w:rPr>
        <w:t xml:space="preserve">as </w:t>
      </w:r>
      <w:r w:rsidR="008C62E8">
        <w:rPr>
          <w:lang w:bidi="he-IL"/>
        </w:rPr>
        <w:t>a resident alien</w:t>
      </w:r>
      <w:r w:rsidR="00E64E66">
        <w:rPr>
          <w:lang w:bidi="he-IL"/>
        </w:rPr>
        <w:t>, as</w:t>
      </w:r>
      <w:r w:rsidR="00E64E66" w:rsidRPr="00E64E66">
        <w:rPr>
          <w:lang w:bidi="he-IL"/>
        </w:rPr>
        <w:t xml:space="preserve"> Lot </w:t>
      </w:r>
      <w:r w:rsidR="00E64E66">
        <w:rPr>
          <w:lang w:bidi="he-IL"/>
        </w:rPr>
        <w:t xml:space="preserve">had been </w:t>
      </w:r>
      <w:r w:rsidR="00E64E66" w:rsidRPr="00E64E66">
        <w:rPr>
          <w:lang w:bidi="he-IL"/>
        </w:rPr>
        <w:t xml:space="preserve">in Sodom, and as he had been in Egypt. </w:t>
      </w:r>
      <w:r w:rsidR="003D2488">
        <w:rPr>
          <w:lang w:bidi="he-IL"/>
        </w:rPr>
        <w:t>Like the towns in the Dead Sea area that featured in Gen 14, a place such as Gerar would be a nominally independent city-state which had a king whom one might t</w:t>
      </w:r>
      <w:r w:rsidR="00E64E66">
        <w:rPr>
          <w:lang w:bidi="he-IL"/>
        </w:rPr>
        <w:t>hink of as more like a mayor but</w:t>
      </w:r>
      <w:r w:rsidR="003D2488">
        <w:rPr>
          <w:lang w:bidi="he-IL"/>
        </w:rPr>
        <w:t xml:space="preserve"> which was subject to Egyptian control of its foreign policy and to Egyptian taxation. </w:t>
      </w:r>
    </w:p>
    <w:p w14:paraId="724BEC94" w14:textId="0EA5D30A" w:rsidR="00AC70C3" w:rsidRDefault="00363473" w:rsidP="00924958">
      <w:pPr>
        <w:rPr>
          <w:lang w:bidi="he-IL"/>
        </w:rPr>
      </w:pPr>
      <w:r>
        <w:rPr>
          <w:lang w:bidi="he-IL"/>
        </w:rPr>
        <w:t>In Gerar</w:t>
      </w:r>
      <w:r w:rsidR="008D4AAD">
        <w:rPr>
          <w:lang w:bidi="he-IL"/>
        </w:rPr>
        <w:t xml:space="preserve"> a </w:t>
      </w:r>
      <w:r w:rsidR="003D2488">
        <w:rPr>
          <w:lang w:bidi="he-IL"/>
        </w:rPr>
        <w:t xml:space="preserve">question </w:t>
      </w:r>
      <w:r w:rsidR="00636675">
        <w:rPr>
          <w:lang w:bidi="he-IL"/>
        </w:rPr>
        <w:t xml:space="preserve">about Sarah </w:t>
      </w:r>
      <w:r w:rsidR="003D2488">
        <w:rPr>
          <w:lang w:bidi="he-IL"/>
        </w:rPr>
        <w:t xml:space="preserve">arises </w:t>
      </w:r>
      <w:r w:rsidR="008D4AAD">
        <w:rPr>
          <w:lang w:bidi="he-IL"/>
        </w:rPr>
        <w:t>(v. 2), as it did</w:t>
      </w:r>
      <w:r w:rsidR="003D2488">
        <w:rPr>
          <w:lang w:bidi="he-IL"/>
        </w:rPr>
        <w:t xml:space="preserve"> in 12:10-20. </w:t>
      </w:r>
      <w:r w:rsidR="00792DF7">
        <w:rPr>
          <w:lang w:bidi="he-IL"/>
        </w:rPr>
        <w:t>Perhaps</w:t>
      </w:r>
      <w:r w:rsidR="00FC5266">
        <w:rPr>
          <w:lang w:bidi="he-IL"/>
        </w:rPr>
        <w:t xml:space="preserve"> we are to infer that </w:t>
      </w:r>
      <w:r w:rsidR="00EF5CC0">
        <w:rPr>
          <w:lang w:bidi="he-IL"/>
        </w:rPr>
        <w:t xml:space="preserve">Sarah would be </w:t>
      </w:r>
      <w:r w:rsidR="00792DF7">
        <w:rPr>
          <w:lang w:bidi="he-IL"/>
        </w:rPr>
        <w:t xml:space="preserve">just as good-looking </w:t>
      </w:r>
      <w:r w:rsidR="00EF5CC0">
        <w:rPr>
          <w:lang w:bidi="he-IL"/>
        </w:rPr>
        <w:t xml:space="preserve">in the eyes of Abimelek </w:t>
      </w:r>
      <w:r w:rsidR="00792DF7">
        <w:rPr>
          <w:lang w:bidi="he-IL"/>
        </w:rPr>
        <w:t xml:space="preserve">twenty years </w:t>
      </w:r>
      <w:r w:rsidR="00EF5CC0">
        <w:rPr>
          <w:lang w:bidi="he-IL"/>
        </w:rPr>
        <w:t>after the Egyptian escapade,</w:t>
      </w:r>
      <w:r w:rsidR="00792DF7">
        <w:rPr>
          <w:lang w:bidi="he-IL"/>
        </w:rPr>
        <w:t xml:space="preserve"> </w:t>
      </w:r>
      <w:r w:rsidR="00EF5CC0">
        <w:rPr>
          <w:lang w:bidi="he-IL"/>
        </w:rPr>
        <w:t>when she was a mere seventy;</w:t>
      </w:r>
      <w:r w:rsidR="00EF5CC0" w:rsidRPr="00EF5CC0">
        <w:rPr>
          <w:vertAlign w:val="superscript"/>
          <w:lang w:bidi="he-IL"/>
        </w:rPr>
        <w:footnoteReference w:id="536"/>
      </w:r>
      <w:r w:rsidR="00EF5CC0">
        <w:rPr>
          <w:lang w:bidi="he-IL"/>
        </w:rPr>
        <w:t xml:space="preserve"> </w:t>
      </w:r>
      <w:r w:rsidR="00792DF7">
        <w:rPr>
          <w:lang w:bidi="he-IL"/>
        </w:rPr>
        <w:t>it would be a wise view for a husband</w:t>
      </w:r>
      <w:r>
        <w:rPr>
          <w:lang w:bidi="he-IL"/>
        </w:rPr>
        <w:t xml:space="preserve"> to take. But the </w:t>
      </w:r>
      <w:r w:rsidR="00EF5CC0">
        <w:rPr>
          <w:lang w:bidi="he-IL"/>
        </w:rPr>
        <w:t>convention</w:t>
      </w:r>
      <w:r w:rsidR="00792DF7">
        <w:rPr>
          <w:lang w:bidi="he-IL"/>
        </w:rPr>
        <w:t xml:space="preserve"> that leaders use their womenfolk as diplomatic currency </w:t>
      </w:r>
      <w:r w:rsidR="00E6531A">
        <w:rPr>
          <w:lang w:bidi="he-IL"/>
        </w:rPr>
        <w:t xml:space="preserve">or </w:t>
      </w:r>
      <w:r w:rsidR="001F3C5F">
        <w:rPr>
          <w:lang w:bidi="he-IL"/>
        </w:rPr>
        <w:t xml:space="preserve">that they </w:t>
      </w:r>
      <w:r w:rsidR="00E6531A">
        <w:rPr>
          <w:lang w:bidi="he-IL"/>
        </w:rPr>
        <w:t xml:space="preserve">value them as management assets </w:t>
      </w:r>
      <w:r w:rsidR="00792DF7">
        <w:rPr>
          <w:lang w:bidi="he-IL"/>
        </w:rPr>
        <w:t>makes this assumption unnecessary</w:t>
      </w:r>
      <w:r w:rsidR="00FC5266">
        <w:rPr>
          <w:lang w:bidi="he-IL"/>
        </w:rPr>
        <w:t xml:space="preserve">. </w:t>
      </w:r>
      <w:r w:rsidR="00EF5CC0">
        <w:rPr>
          <w:lang w:bidi="he-IL"/>
        </w:rPr>
        <w:t xml:space="preserve">The convention might mean that </w:t>
      </w:r>
      <w:r w:rsidR="00FC5266">
        <w:rPr>
          <w:lang w:bidi="he-IL"/>
        </w:rPr>
        <w:t xml:space="preserve">Abimelek </w:t>
      </w:r>
      <w:r w:rsidR="00EF5CC0">
        <w:rPr>
          <w:lang w:bidi="he-IL"/>
        </w:rPr>
        <w:t>has</w:t>
      </w:r>
      <w:r w:rsidR="00792DF7">
        <w:rPr>
          <w:lang w:bidi="he-IL"/>
        </w:rPr>
        <w:t xml:space="preserve"> quite a harem</w:t>
      </w:r>
      <w:r>
        <w:rPr>
          <w:lang w:bidi="he-IL"/>
        </w:rPr>
        <w:t xml:space="preserve"> even if only one wife (v. 17)</w:t>
      </w:r>
      <w:r w:rsidR="00EF5CC0">
        <w:rPr>
          <w:lang w:bidi="he-IL"/>
        </w:rPr>
        <w:t xml:space="preserve">. </w:t>
      </w:r>
      <w:r w:rsidR="001F3C5F">
        <w:rPr>
          <w:lang w:bidi="he-IL"/>
        </w:rPr>
        <w:t>H</w:t>
      </w:r>
      <w:r>
        <w:rPr>
          <w:lang w:bidi="he-IL"/>
        </w:rPr>
        <w:t>is</w:t>
      </w:r>
      <w:r w:rsidR="00EF5CC0">
        <w:rPr>
          <w:lang w:bidi="he-IL"/>
        </w:rPr>
        <w:t xml:space="preserve"> s</w:t>
      </w:r>
      <w:r w:rsidR="00924958">
        <w:rPr>
          <w:lang w:bidi="he-IL"/>
        </w:rPr>
        <w:t xml:space="preserve">aying that he </w:t>
      </w:r>
      <w:r w:rsidR="003D56BA">
        <w:rPr>
          <w:lang w:bidi="he-IL"/>
        </w:rPr>
        <w:t>“</w:t>
      </w:r>
      <w:r w:rsidR="00924958">
        <w:rPr>
          <w:lang w:bidi="he-IL"/>
        </w:rPr>
        <w:t>got</w:t>
      </w:r>
      <w:r w:rsidR="003D56BA">
        <w:rPr>
          <w:lang w:bidi="he-IL"/>
        </w:rPr>
        <w:t>”</w:t>
      </w:r>
      <w:r w:rsidR="00924958">
        <w:rPr>
          <w:lang w:bidi="he-IL"/>
        </w:rPr>
        <w:t xml:space="preserve"> Sarah </w:t>
      </w:r>
      <w:r w:rsidR="00EF5CC0">
        <w:rPr>
          <w:lang w:bidi="he-IL"/>
        </w:rPr>
        <w:t>might</w:t>
      </w:r>
      <w:r w:rsidR="00512982">
        <w:rPr>
          <w:lang w:bidi="he-IL"/>
        </w:rPr>
        <w:t xml:space="preserve"> </w:t>
      </w:r>
      <w:r w:rsidR="00EF5CC0">
        <w:rPr>
          <w:lang w:bidi="he-IL"/>
        </w:rPr>
        <w:t>imply</w:t>
      </w:r>
      <w:r w:rsidR="00924958">
        <w:rPr>
          <w:lang w:bidi="he-IL"/>
        </w:rPr>
        <w:t xml:space="preserve"> that he married her (cf. </w:t>
      </w:r>
      <w:r w:rsidR="00EF5CC0">
        <w:rPr>
          <w:lang w:bidi="he-IL"/>
        </w:rPr>
        <w:t xml:space="preserve">the use of the verb in </w:t>
      </w:r>
      <w:r w:rsidR="00924958">
        <w:rPr>
          <w:lang w:bidi="he-IL"/>
        </w:rPr>
        <w:t>19:14</w:t>
      </w:r>
      <w:r w:rsidR="00EF5CC0">
        <w:rPr>
          <w:lang w:bidi="he-IL"/>
        </w:rPr>
        <w:t xml:space="preserve">), </w:t>
      </w:r>
      <w:r>
        <w:rPr>
          <w:lang w:bidi="he-IL"/>
        </w:rPr>
        <w:t xml:space="preserve">but </w:t>
      </w:r>
      <w:r w:rsidR="00EF5CC0">
        <w:rPr>
          <w:lang w:bidi="he-IL"/>
        </w:rPr>
        <w:t xml:space="preserve">to make this point </w:t>
      </w:r>
      <w:r w:rsidR="00512982">
        <w:rPr>
          <w:lang w:bidi="he-IL"/>
        </w:rPr>
        <w:t xml:space="preserve">it is common to add </w:t>
      </w:r>
      <w:r w:rsidR="003D56BA">
        <w:rPr>
          <w:lang w:bidi="he-IL"/>
        </w:rPr>
        <w:t>“</w:t>
      </w:r>
      <w:r w:rsidR="00512982">
        <w:rPr>
          <w:lang w:bidi="he-IL"/>
        </w:rPr>
        <w:t>as wife</w:t>
      </w:r>
      <w:r w:rsidR="003D56BA">
        <w:rPr>
          <w:lang w:bidi="he-IL"/>
        </w:rPr>
        <w:t>”</w:t>
      </w:r>
      <w:r w:rsidR="00512982">
        <w:rPr>
          <w:lang w:bidi="he-IL"/>
        </w:rPr>
        <w:t xml:space="preserve"> (25:1, 20; 28:2, 6, 9</w:t>
      </w:r>
      <w:r w:rsidR="00EF5CC0">
        <w:rPr>
          <w:lang w:bidi="he-IL"/>
        </w:rPr>
        <w:t>), as</w:t>
      </w:r>
      <w:r w:rsidR="00512982">
        <w:rPr>
          <w:lang w:bidi="he-IL"/>
        </w:rPr>
        <w:t xml:space="preserve"> </w:t>
      </w:r>
      <w:r w:rsidR="0029324B">
        <w:rPr>
          <w:lang w:bidi="he-IL"/>
        </w:rPr>
        <w:t>Phar</w:t>
      </w:r>
      <w:r w:rsidR="00874D00">
        <w:rPr>
          <w:lang w:bidi="he-IL"/>
        </w:rPr>
        <w:t>a</w:t>
      </w:r>
      <w:r w:rsidR="0029324B">
        <w:rPr>
          <w:lang w:bidi="he-IL"/>
        </w:rPr>
        <w:t>o</w:t>
      </w:r>
      <w:r w:rsidR="00EF5CC0">
        <w:rPr>
          <w:lang w:bidi="he-IL"/>
        </w:rPr>
        <w:t>h did</w:t>
      </w:r>
      <w:r w:rsidR="00874D00">
        <w:rPr>
          <w:lang w:bidi="he-IL"/>
        </w:rPr>
        <w:t xml:space="preserve"> (</w:t>
      </w:r>
      <w:r w:rsidR="00512982">
        <w:rPr>
          <w:lang w:bidi="he-IL"/>
        </w:rPr>
        <w:t>12:19</w:t>
      </w:r>
      <w:r>
        <w:rPr>
          <w:lang w:bidi="he-IL"/>
        </w:rPr>
        <w:t xml:space="preserve">), and </w:t>
      </w:r>
      <w:r w:rsidR="00874D00">
        <w:rPr>
          <w:lang w:bidi="he-IL"/>
        </w:rPr>
        <w:t>Sar</w:t>
      </w:r>
      <w:r w:rsidR="00EF5CC0">
        <w:rPr>
          <w:lang w:bidi="he-IL"/>
        </w:rPr>
        <w:t xml:space="preserve">ah is </w:t>
      </w:r>
      <w:r>
        <w:rPr>
          <w:lang w:bidi="he-IL"/>
        </w:rPr>
        <w:t xml:space="preserve">here </w:t>
      </w:r>
      <w:r w:rsidR="00EF5CC0">
        <w:rPr>
          <w:lang w:bidi="he-IL"/>
        </w:rPr>
        <w:t>invariably described as Abraham’s wife.</w:t>
      </w:r>
      <w:r w:rsidR="00874D00">
        <w:rPr>
          <w:rStyle w:val="FootnoteReference"/>
          <w:lang w:bidi="he-IL"/>
        </w:rPr>
        <w:footnoteReference w:id="537"/>
      </w:r>
      <w:r w:rsidR="00727890">
        <w:rPr>
          <w:lang w:bidi="he-IL"/>
        </w:rPr>
        <w:t xml:space="preserve"> </w:t>
      </w:r>
    </w:p>
    <w:p w14:paraId="65BFD210" w14:textId="2C769AF1" w:rsidR="00310050" w:rsidRDefault="003B59E7" w:rsidP="00F62D32">
      <w:pPr>
        <w:rPr>
          <w:lang w:bidi="he-IL"/>
        </w:rPr>
      </w:pPr>
      <w:r>
        <w:rPr>
          <w:lang w:bidi="he-IL"/>
        </w:rPr>
        <w:t xml:space="preserve">The first distinctive theme </w:t>
      </w:r>
      <w:r w:rsidR="00EF5CC0">
        <w:rPr>
          <w:lang w:bidi="he-IL"/>
        </w:rPr>
        <w:t xml:space="preserve">in this version of the story </w:t>
      </w:r>
      <w:r>
        <w:rPr>
          <w:lang w:bidi="he-IL"/>
        </w:rPr>
        <w:t>(v. 3) is God’s appearing to Abimelek in a dream</w:t>
      </w:r>
      <w:r w:rsidR="00EF5CC0">
        <w:rPr>
          <w:lang w:bidi="he-IL"/>
        </w:rPr>
        <w:t>; such</w:t>
      </w:r>
      <w:r w:rsidR="00363473">
        <w:rPr>
          <w:lang w:bidi="he-IL"/>
        </w:rPr>
        <w:t xml:space="preserve"> appearing </w:t>
      </w:r>
      <w:r w:rsidR="00C846C0">
        <w:rPr>
          <w:lang w:bidi="he-IL"/>
        </w:rPr>
        <w:t>will recur in the stories of Jacob and Laban and extensively in the Joseph story (Gen 28; 31; 37—42)</w:t>
      </w:r>
      <w:r>
        <w:rPr>
          <w:lang w:bidi="he-IL"/>
        </w:rPr>
        <w:t xml:space="preserve">. </w:t>
      </w:r>
      <w:r w:rsidR="001714FA" w:rsidRPr="001714FA">
        <w:rPr>
          <w:lang w:bidi="he-IL"/>
        </w:rPr>
        <w:t>The two methods of discipline that God employs in relation to Abimelek are dreams and afflictions.</w:t>
      </w:r>
      <w:r w:rsidR="001714FA" w:rsidRPr="001714FA">
        <w:rPr>
          <w:vertAlign w:val="superscript"/>
          <w:lang w:bidi="he-IL"/>
        </w:rPr>
        <w:footnoteReference w:id="538"/>
      </w:r>
      <w:r w:rsidR="001714FA" w:rsidRPr="001714FA">
        <w:rPr>
          <w:lang w:bidi="he-IL"/>
        </w:rPr>
        <w:t xml:space="preserve"> Sometimes God acts to stop a person doing something </w:t>
      </w:r>
      <w:r w:rsidR="001F3C5F">
        <w:rPr>
          <w:lang w:bidi="he-IL"/>
        </w:rPr>
        <w:t>that would be objectively wrong;</w:t>
      </w:r>
      <w:r w:rsidR="001714FA" w:rsidRPr="001714FA">
        <w:rPr>
          <w:lang w:bidi="he-IL"/>
        </w:rPr>
        <w:t xml:space="preserve"> God </w:t>
      </w:r>
      <w:r w:rsidR="001F3C5F">
        <w:rPr>
          <w:lang w:bidi="he-IL"/>
        </w:rPr>
        <w:t xml:space="preserve">warned Cain but </w:t>
      </w:r>
      <w:r w:rsidR="001714FA" w:rsidRPr="001714FA">
        <w:rPr>
          <w:lang w:bidi="he-IL"/>
        </w:rPr>
        <w:t>didn’</w:t>
      </w:r>
      <w:r w:rsidR="001714FA">
        <w:rPr>
          <w:lang w:bidi="he-IL"/>
        </w:rPr>
        <w:t xml:space="preserve">t stop </w:t>
      </w:r>
      <w:r w:rsidR="001F3C5F">
        <w:rPr>
          <w:lang w:bidi="he-IL"/>
        </w:rPr>
        <w:t>him, and (as far as we know)</w:t>
      </w:r>
      <w:r w:rsidR="001714FA" w:rsidRPr="001714FA">
        <w:rPr>
          <w:lang w:bidi="he-IL"/>
        </w:rPr>
        <w:t xml:space="preserve"> didn’t warn the people of Sodom. God can also appear and give revelations in dreams to individuals outside the chosen people as well as to members of his chosen people (see also e.g., Daniel). While the First Testament can dismiss </w:t>
      </w:r>
      <w:r w:rsidR="001F3C5F">
        <w:rPr>
          <w:lang w:bidi="he-IL"/>
        </w:rPr>
        <w:t>dreams or issue warnings about them</w:t>
      </w:r>
      <w:r w:rsidR="001714FA" w:rsidRPr="001714FA">
        <w:rPr>
          <w:lang w:bidi="he-IL"/>
        </w:rPr>
        <w:t xml:space="preserve"> (e.g., Jer 23:25-32; Qoh 5:3, 7 [2, 6]) as it can about prophecies an</w:t>
      </w:r>
      <w:r w:rsidR="001F3C5F">
        <w:rPr>
          <w:lang w:bidi="he-IL"/>
        </w:rPr>
        <w:t>d visions, in principle it doesn’</w:t>
      </w:r>
      <w:r w:rsidR="001714FA" w:rsidRPr="001714FA">
        <w:rPr>
          <w:lang w:bidi="he-IL"/>
        </w:rPr>
        <w:t>t regard them as questionable in value or as inferior to other ways God communicates or people gain insight.</w:t>
      </w:r>
      <w:r w:rsidR="001714FA">
        <w:rPr>
          <w:lang w:bidi="he-IL"/>
        </w:rPr>
        <w:t xml:space="preserve"> </w:t>
      </w:r>
      <w:r w:rsidR="00363473">
        <w:rPr>
          <w:lang w:bidi="he-IL"/>
        </w:rPr>
        <w:t>A deity’s</w:t>
      </w:r>
      <w:r w:rsidR="00E6531A">
        <w:rPr>
          <w:lang w:bidi="he-IL"/>
        </w:rPr>
        <w:t xml:space="preserve"> communicating</w:t>
      </w:r>
      <w:r w:rsidR="001214E9">
        <w:rPr>
          <w:lang w:bidi="he-IL"/>
        </w:rPr>
        <w:t xml:space="preserve"> with a king in a dream is also a familiar Middle Eastern notion. </w:t>
      </w:r>
      <w:r w:rsidR="00C846C0">
        <w:rPr>
          <w:lang w:bidi="he-IL"/>
        </w:rPr>
        <w:t>The king would be unwise</w:t>
      </w:r>
      <w:r w:rsidR="00363473">
        <w:rPr>
          <w:lang w:bidi="he-IL"/>
        </w:rPr>
        <w:t xml:space="preserve"> to trust every dream, but he will be able to test this one</w:t>
      </w:r>
      <w:r w:rsidR="00C846C0">
        <w:rPr>
          <w:lang w:bidi="he-IL"/>
        </w:rPr>
        <w:t xml:space="preserve"> by confronting Abraham with its contents.</w:t>
      </w:r>
      <w:r w:rsidR="002661BB">
        <w:rPr>
          <w:lang w:bidi="he-IL"/>
        </w:rPr>
        <w:t xml:space="preserve"> </w:t>
      </w:r>
      <w:r w:rsidR="00B76C31">
        <w:rPr>
          <w:lang w:bidi="he-IL"/>
        </w:rPr>
        <w:t xml:space="preserve">The </w:t>
      </w:r>
      <w:r w:rsidR="00363473">
        <w:rPr>
          <w:lang w:bidi="he-IL"/>
        </w:rPr>
        <w:t>story thus complements the earlier one</w:t>
      </w:r>
      <w:r w:rsidR="00EB7FA7">
        <w:rPr>
          <w:lang w:bidi="he-IL"/>
        </w:rPr>
        <w:t xml:space="preserve"> in that 12:12 went straight t</w:t>
      </w:r>
      <w:r w:rsidR="00F81188">
        <w:rPr>
          <w:lang w:bidi="he-IL"/>
        </w:rPr>
        <w:t>o the afflictions Abraham brought about</w:t>
      </w:r>
      <w:r w:rsidR="00EB7FA7">
        <w:rPr>
          <w:lang w:bidi="he-IL"/>
        </w:rPr>
        <w:t xml:space="preserve"> and never indicated how Pharaoh knew their cause</w:t>
      </w:r>
      <w:r w:rsidR="00F81188">
        <w:rPr>
          <w:lang w:bidi="he-IL"/>
        </w:rPr>
        <w:t>, wh</w:t>
      </w:r>
      <w:r w:rsidR="00363473">
        <w:rPr>
          <w:lang w:bidi="he-IL"/>
        </w:rPr>
        <w:t xml:space="preserve">ile this version jumps </w:t>
      </w:r>
      <w:r w:rsidR="00F81188">
        <w:rPr>
          <w:lang w:bidi="he-IL"/>
        </w:rPr>
        <w:t xml:space="preserve">to the latter question and refers to </w:t>
      </w:r>
      <w:r w:rsidR="001214E9">
        <w:rPr>
          <w:lang w:bidi="he-IL"/>
        </w:rPr>
        <w:t xml:space="preserve">the </w:t>
      </w:r>
      <w:r w:rsidR="00F81188">
        <w:rPr>
          <w:lang w:bidi="he-IL"/>
        </w:rPr>
        <w:t xml:space="preserve">afflictions only later. </w:t>
      </w:r>
      <w:r w:rsidR="00374E62">
        <w:rPr>
          <w:lang w:bidi="he-IL"/>
        </w:rPr>
        <w:t>God</w:t>
      </w:r>
      <w:r w:rsidR="001214E9">
        <w:rPr>
          <w:lang w:bidi="he-IL"/>
        </w:rPr>
        <w:t xml:space="preserve"> speaks </w:t>
      </w:r>
      <w:r w:rsidR="00374E62">
        <w:rPr>
          <w:lang w:bidi="he-IL"/>
        </w:rPr>
        <w:t xml:space="preserve">to Abimelek </w:t>
      </w:r>
      <w:r w:rsidR="000A718F">
        <w:rPr>
          <w:lang w:bidi="he-IL"/>
        </w:rPr>
        <w:t>not to declare a judge’s judgment but to warn him about the danger he is in.</w:t>
      </w:r>
      <w:r w:rsidR="000A718F">
        <w:rPr>
          <w:rStyle w:val="FootnoteReference"/>
          <w:lang w:bidi="he-IL"/>
        </w:rPr>
        <w:footnoteReference w:id="539"/>
      </w:r>
      <w:r w:rsidR="000A718F">
        <w:rPr>
          <w:lang w:bidi="he-IL"/>
        </w:rPr>
        <w:t xml:space="preserve"> </w:t>
      </w:r>
      <w:r w:rsidR="00C65CD5">
        <w:rPr>
          <w:lang w:bidi="he-IL"/>
        </w:rPr>
        <w:t xml:space="preserve">Although the Torah will make death </w:t>
      </w:r>
      <w:r w:rsidR="00441DDF">
        <w:rPr>
          <w:lang w:bidi="he-IL"/>
        </w:rPr>
        <w:t xml:space="preserve">the penalty for adultery, </w:t>
      </w:r>
      <w:r w:rsidR="00C65CD5">
        <w:rPr>
          <w:lang w:bidi="he-IL"/>
        </w:rPr>
        <w:t>we know of no occasions when the penalty was</w:t>
      </w:r>
      <w:r w:rsidR="00441DDF">
        <w:rPr>
          <w:lang w:bidi="he-IL"/>
        </w:rPr>
        <w:t xml:space="preserve"> exacted</w:t>
      </w:r>
      <w:r w:rsidR="00C65CD5">
        <w:rPr>
          <w:lang w:bidi="he-IL"/>
        </w:rPr>
        <w:t>, and it is often</w:t>
      </w:r>
      <w:r w:rsidR="00441DDF">
        <w:rPr>
          <w:lang w:bidi="he-IL"/>
        </w:rPr>
        <w:t xml:space="preserve"> a mistake to interpret the Torah as laying down laws for applying in the court</w:t>
      </w:r>
      <w:r w:rsidR="00363473">
        <w:rPr>
          <w:lang w:bidi="he-IL"/>
        </w:rPr>
        <w:t>, though i</w:t>
      </w:r>
      <w:r w:rsidR="00C65CD5">
        <w:rPr>
          <w:lang w:bidi="he-IL"/>
        </w:rPr>
        <w:t xml:space="preserve">n any case, </w:t>
      </w:r>
      <w:r w:rsidR="00C65CD5" w:rsidRPr="00C65CD5">
        <w:rPr>
          <w:lang w:bidi="he-IL"/>
        </w:rPr>
        <w:t xml:space="preserve">the </w:t>
      </w:r>
      <w:r w:rsidR="00363473">
        <w:rPr>
          <w:lang w:bidi="he-IL"/>
        </w:rPr>
        <w:t xml:space="preserve">Torah’s rules </w:t>
      </w:r>
      <w:r w:rsidR="00C65CD5" w:rsidRPr="00C65CD5">
        <w:rPr>
          <w:lang w:bidi="he-IL"/>
        </w:rPr>
        <w:t>have not yet been laid down</w:t>
      </w:r>
      <w:r w:rsidR="00441DDF">
        <w:rPr>
          <w:lang w:bidi="he-IL"/>
        </w:rPr>
        <w:t>.</w:t>
      </w:r>
      <w:r w:rsidR="00C65CD5">
        <w:rPr>
          <w:lang w:bidi="he-IL"/>
        </w:rPr>
        <w:t xml:space="preserve"> </w:t>
      </w:r>
      <w:r w:rsidR="00310050">
        <w:rPr>
          <w:lang w:bidi="he-IL"/>
        </w:rPr>
        <w:t>But further, the danger about adulte</w:t>
      </w:r>
      <w:r w:rsidR="00363473">
        <w:rPr>
          <w:lang w:bidi="he-IL"/>
        </w:rPr>
        <w:t>ry</w:t>
      </w:r>
      <w:r w:rsidR="00310050">
        <w:rPr>
          <w:lang w:bidi="he-IL"/>
        </w:rPr>
        <w:t xml:space="preserve"> lies at least as much from the cuckolded husband as from the law (cf. Prov 6:34-35): </w:t>
      </w:r>
      <w:r w:rsidR="003D56BA">
        <w:rPr>
          <w:lang w:val="en-GB" w:bidi="he-IL"/>
        </w:rPr>
        <w:t>“</w:t>
      </w:r>
      <w:r w:rsidR="00310050" w:rsidRPr="00310050">
        <w:rPr>
          <w:lang w:val="en-GB" w:bidi="he-IL"/>
        </w:rPr>
        <w:t>she belongs to someone</w:t>
      </w:r>
      <w:r w:rsidR="00310050">
        <w:rPr>
          <w:lang w:val="en-GB" w:bidi="he-IL"/>
        </w:rPr>
        <w:t>.</w:t>
      </w:r>
      <w:r w:rsidR="003D56BA">
        <w:rPr>
          <w:lang w:bidi="he-IL"/>
        </w:rPr>
        <w:t>”</w:t>
      </w:r>
    </w:p>
    <w:p w14:paraId="0AEAAA06" w14:textId="7E9D83DA" w:rsidR="004E693D" w:rsidRPr="00081370" w:rsidRDefault="00F81188" w:rsidP="00CF7FD6">
      <w:pPr>
        <w:rPr>
          <w:rFonts w:eastAsiaTheme="minorHAnsi" w:cs="Minion-Regular"/>
        </w:rPr>
      </w:pPr>
      <w:r>
        <w:rPr>
          <w:b/>
          <w:lang w:bidi="he-IL"/>
        </w:rPr>
        <w:t>20:4-7</w:t>
      </w:r>
      <w:r>
        <w:rPr>
          <w:lang w:bidi="he-IL"/>
        </w:rPr>
        <w:t>. Western readers would have thought that</w:t>
      </w:r>
      <w:r w:rsidR="00374E62">
        <w:rPr>
          <w:lang w:bidi="he-IL"/>
        </w:rPr>
        <w:t xml:space="preserve"> </w:t>
      </w:r>
      <w:r w:rsidR="003D56BA">
        <w:rPr>
          <w:lang w:bidi="he-IL"/>
        </w:rPr>
        <w:t>“</w:t>
      </w:r>
      <w:r w:rsidR="00374E62">
        <w:rPr>
          <w:lang w:bidi="he-IL"/>
        </w:rPr>
        <w:t>getting</w:t>
      </w:r>
      <w:r w:rsidR="003D56BA">
        <w:rPr>
          <w:lang w:bidi="he-IL"/>
        </w:rPr>
        <w:t>”</w:t>
      </w:r>
      <w:r w:rsidR="00374E62">
        <w:rPr>
          <w:lang w:bidi="he-IL"/>
        </w:rPr>
        <w:t xml:space="preserve"> a woman as a wife or a member of one’s harem</w:t>
      </w:r>
      <w:r>
        <w:rPr>
          <w:lang w:bidi="he-IL"/>
        </w:rPr>
        <w:t xml:space="preserve"> would mean having sex with her at the firs</w:t>
      </w:r>
      <w:r w:rsidR="00310050">
        <w:rPr>
          <w:lang w:bidi="he-IL"/>
        </w:rPr>
        <w:t>t opportunity. B</w:t>
      </w:r>
      <w:r w:rsidR="00374E62">
        <w:rPr>
          <w:lang w:bidi="he-IL"/>
        </w:rPr>
        <w:t xml:space="preserve">ut </w:t>
      </w:r>
      <w:r w:rsidR="00310050">
        <w:rPr>
          <w:lang w:bidi="he-IL"/>
        </w:rPr>
        <w:t>if a woman is</w:t>
      </w:r>
      <w:r>
        <w:rPr>
          <w:lang w:bidi="he-IL"/>
        </w:rPr>
        <w:t xml:space="preserve"> prized as much as </w:t>
      </w:r>
      <w:r w:rsidR="00310050">
        <w:rPr>
          <w:lang w:bidi="he-IL"/>
        </w:rPr>
        <w:t>a sign</w:t>
      </w:r>
      <w:r>
        <w:rPr>
          <w:lang w:bidi="he-IL"/>
        </w:rPr>
        <w:t xml:space="preserve"> of prestige</w:t>
      </w:r>
      <w:r w:rsidR="00E04A3F">
        <w:rPr>
          <w:lang w:bidi="he-IL"/>
        </w:rPr>
        <w:t xml:space="preserve"> </w:t>
      </w:r>
      <w:r w:rsidR="00374E62">
        <w:rPr>
          <w:lang w:bidi="he-IL"/>
        </w:rPr>
        <w:t xml:space="preserve">or </w:t>
      </w:r>
      <w:r w:rsidR="00310050">
        <w:rPr>
          <w:lang w:bidi="he-IL"/>
        </w:rPr>
        <w:t xml:space="preserve">a </w:t>
      </w:r>
      <w:r w:rsidR="000A718F">
        <w:rPr>
          <w:lang w:bidi="he-IL"/>
        </w:rPr>
        <w:t xml:space="preserve">means of making diplomatic alliances </w:t>
      </w:r>
      <w:r w:rsidR="00E6531A">
        <w:rPr>
          <w:lang w:bidi="he-IL"/>
        </w:rPr>
        <w:t xml:space="preserve">or a management resource </w:t>
      </w:r>
      <w:r w:rsidR="00E04A3F">
        <w:rPr>
          <w:lang w:bidi="he-IL"/>
        </w:rPr>
        <w:t>as for reasons to do with sex</w:t>
      </w:r>
      <w:r w:rsidR="00310050">
        <w:rPr>
          <w:lang w:bidi="he-IL"/>
        </w:rPr>
        <w:t>, she is</w:t>
      </w:r>
      <w:r>
        <w:rPr>
          <w:lang w:bidi="he-IL"/>
        </w:rPr>
        <w:t xml:space="preserve"> more like an item of clothing or jewelry </w:t>
      </w:r>
      <w:r w:rsidR="00E04A3F">
        <w:rPr>
          <w:lang w:bidi="he-IL"/>
        </w:rPr>
        <w:t xml:space="preserve">in a Western context, </w:t>
      </w:r>
      <w:r>
        <w:rPr>
          <w:lang w:bidi="he-IL"/>
        </w:rPr>
        <w:t xml:space="preserve">which </w:t>
      </w:r>
      <w:r w:rsidR="00E04A3F">
        <w:rPr>
          <w:lang w:bidi="he-IL"/>
        </w:rPr>
        <w:t>a purchaser may not feel the need to wear immediately</w:t>
      </w:r>
      <w:r w:rsidR="00E6531A">
        <w:rPr>
          <w:lang w:bidi="he-IL"/>
        </w:rPr>
        <w:t xml:space="preserve"> (or maybe she would need an extensive beauty treatment like Esther, especially after spending a few decades in the desert)</w:t>
      </w:r>
      <w:r w:rsidR="00E04A3F">
        <w:rPr>
          <w:lang w:bidi="he-IL"/>
        </w:rPr>
        <w:t>.</w:t>
      </w:r>
      <w:r w:rsidR="00E6531A">
        <w:rPr>
          <w:rStyle w:val="FootnoteReference"/>
          <w:lang w:bidi="he-IL"/>
        </w:rPr>
        <w:footnoteReference w:id="540"/>
      </w:r>
      <w:r w:rsidR="00E04A3F">
        <w:rPr>
          <w:lang w:bidi="he-IL"/>
        </w:rPr>
        <w:t xml:space="preserve"> Abimelek addresses God </w:t>
      </w:r>
      <w:r w:rsidR="00374E62">
        <w:rPr>
          <w:lang w:bidi="he-IL"/>
        </w:rPr>
        <w:t xml:space="preserve">as </w:t>
      </w:r>
      <w:r w:rsidR="003D56BA">
        <w:rPr>
          <w:lang w:bidi="he-IL"/>
        </w:rPr>
        <w:t>“</w:t>
      </w:r>
      <w:r w:rsidR="00374E62">
        <w:rPr>
          <w:lang w:bidi="he-IL"/>
        </w:rPr>
        <w:t>Lord</w:t>
      </w:r>
      <w:r w:rsidR="003D56BA">
        <w:rPr>
          <w:lang w:bidi="he-IL"/>
        </w:rPr>
        <w:t>”</w:t>
      </w:r>
      <w:r w:rsidR="00374E62">
        <w:rPr>
          <w:lang w:bidi="he-IL"/>
        </w:rPr>
        <w:t xml:space="preserve"> </w:t>
      </w:r>
      <w:r w:rsidR="00E04A3F">
        <w:rPr>
          <w:lang w:bidi="he-IL"/>
        </w:rPr>
        <w:t xml:space="preserve">in the same way as Abraham </w:t>
      </w:r>
      <w:r w:rsidR="00374E62">
        <w:rPr>
          <w:lang w:bidi="he-IL"/>
        </w:rPr>
        <w:t xml:space="preserve">did </w:t>
      </w:r>
      <w:r w:rsidR="00E04A3F">
        <w:rPr>
          <w:lang w:bidi="he-IL"/>
        </w:rPr>
        <w:t>in Gen 18 (a</w:t>
      </w:r>
      <w:r w:rsidR="000A718F">
        <w:rPr>
          <w:lang w:bidi="he-IL"/>
        </w:rPr>
        <w:t>nd Moses in Exod 4—5; 34:9). His</w:t>
      </w:r>
      <w:r w:rsidR="00E04A3F">
        <w:rPr>
          <w:lang w:bidi="he-IL"/>
        </w:rPr>
        <w:t xml:space="preserve"> reference to killing a nation </w:t>
      </w:r>
      <w:r w:rsidR="004E693D">
        <w:rPr>
          <w:lang w:bidi="he-IL"/>
        </w:rPr>
        <w:t xml:space="preserve">perhaps </w:t>
      </w:r>
      <w:r w:rsidR="00E04A3F">
        <w:rPr>
          <w:lang w:bidi="he-IL"/>
        </w:rPr>
        <w:t xml:space="preserve">presupposes the </w:t>
      </w:r>
      <w:r w:rsidR="00310050">
        <w:rPr>
          <w:lang w:bidi="he-IL"/>
        </w:rPr>
        <w:t xml:space="preserve">afflictions </w:t>
      </w:r>
      <w:r w:rsidR="004E693D">
        <w:rPr>
          <w:lang w:bidi="he-IL"/>
        </w:rPr>
        <w:t xml:space="preserve">of which we will hear in due course, which </w:t>
      </w:r>
      <w:r w:rsidR="00B76C31">
        <w:rPr>
          <w:lang w:bidi="he-IL"/>
        </w:rPr>
        <w:t>are not</w:t>
      </w:r>
      <w:r w:rsidR="003F3B64">
        <w:rPr>
          <w:lang w:bidi="he-IL"/>
        </w:rPr>
        <w:t xml:space="preserve"> confined </w:t>
      </w:r>
      <w:r w:rsidR="003F3B64">
        <w:rPr>
          <w:lang w:bidi="he-IL"/>
        </w:rPr>
        <w:lastRenderedPageBreak/>
        <w:t xml:space="preserve">to the king (see vv. 17-18): if the royal household is never going to have any more babies, it </w:t>
      </w:r>
      <w:r w:rsidR="004E693D">
        <w:rPr>
          <w:lang w:bidi="he-IL"/>
        </w:rPr>
        <w:t>does imperil</w:t>
      </w:r>
      <w:r w:rsidR="003F3B64">
        <w:rPr>
          <w:lang w:bidi="he-IL"/>
        </w:rPr>
        <w:t xml:space="preserve"> the nation</w:t>
      </w:r>
      <w:r w:rsidR="004E693D">
        <w:rPr>
          <w:lang w:bidi="he-IL"/>
        </w:rPr>
        <w:t>. God himself is</w:t>
      </w:r>
      <w:r w:rsidR="00310050" w:rsidRPr="00310050">
        <w:rPr>
          <w:lang w:bidi="he-IL"/>
        </w:rPr>
        <w:t xml:space="preserve"> th</w:t>
      </w:r>
      <w:r w:rsidR="004E693D">
        <w:rPr>
          <w:lang w:bidi="he-IL"/>
        </w:rPr>
        <w:t>e prospective executioner</w:t>
      </w:r>
      <w:r w:rsidR="00716BE9">
        <w:rPr>
          <w:lang w:bidi="he-IL"/>
        </w:rPr>
        <w:t>, which</w:t>
      </w:r>
      <w:r w:rsidR="004E693D">
        <w:rPr>
          <w:lang w:bidi="he-IL"/>
        </w:rPr>
        <w:t xml:space="preserve"> makes even clearer that v. 3 wa</w:t>
      </w:r>
      <w:r w:rsidR="00310050" w:rsidRPr="00310050">
        <w:rPr>
          <w:lang w:bidi="he-IL"/>
        </w:rPr>
        <w:t xml:space="preserve">s </w:t>
      </w:r>
      <w:r w:rsidR="004E693D">
        <w:rPr>
          <w:lang w:bidi="he-IL"/>
        </w:rPr>
        <w:t xml:space="preserve">not </w:t>
      </w:r>
      <w:r w:rsidR="00310050" w:rsidRPr="00310050">
        <w:rPr>
          <w:lang w:bidi="he-IL"/>
        </w:rPr>
        <w:t>speaking simply of capital puni</w:t>
      </w:r>
      <w:r w:rsidR="00B76C31">
        <w:rPr>
          <w:lang w:bidi="he-IL"/>
        </w:rPr>
        <w:t>shment for adultery. Perhaps</w:t>
      </w:r>
      <w:r w:rsidR="00310050" w:rsidRPr="00310050">
        <w:rPr>
          <w:lang w:bidi="he-IL"/>
        </w:rPr>
        <w:t xml:space="preserve"> the implicit point is that God will go to any lengths</w:t>
      </w:r>
      <w:r w:rsidR="00716BE9">
        <w:rPr>
          <w:lang w:bidi="he-IL"/>
        </w:rPr>
        <w:t xml:space="preserve"> to protect Sarah </w:t>
      </w:r>
      <w:r w:rsidR="00310050" w:rsidRPr="00310050">
        <w:rPr>
          <w:lang w:bidi="he-IL"/>
        </w:rPr>
        <w:t>because of her destiny to bear the child in whom God’s promise is due for fulfillment within a matter of months, and Abimelek’s action unwittingly puts it in jeopardy.</w:t>
      </w:r>
      <w:r w:rsidR="00310050" w:rsidRPr="00310050">
        <w:rPr>
          <w:vertAlign w:val="superscript"/>
          <w:lang w:bidi="he-IL"/>
        </w:rPr>
        <w:footnoteReference w:id="541"/>
      </w:r>
      <w:r w:rsidR="004E693D" w:rsidRPr="004E693D">
        <w:rPr>
          <w:lang w:bidi="he-IL"/>
        </w:rPr>
        <w:t xml:space="preserve"> </w:t>
      </w:r>
      <w:r w:rsidR="00081370" w:rsidRPr="00081370">
        <w:rPr>
          <w:lang w:bidi="he-IL"/>
        </w:rPr>
        <w:t xml:space="preserve">But there’s no </w:t>
      </w:r>
      <w:r w:rsidR="00081370">
        <w:rPr>
          <w:lang w:bidi="he-IL"/>
        </w:rPr>
        <w:t xml:space="preserve">explicit reference to this consideration and </w:t>
      </w:r>
      <w:r w:rsidR="00716BE9">
        <w:rPr>
          <w:lang w:bidi="he-IL"/>
        </w:rPr>
        <w:t xml:space="preserve">it’s the </w:t>
      </w:r>
      <w:r w:rsidR="00081370" w:rsidRPr="00081370">
        <w:rPr>
          <w:lang w:bidi="he-IL"/>
        </w:rPr>
        <w:t>king’s moral position that is in focus.</w:t>
      </w:r>
      <w:r w:rsidR="00081370" w:rsidRPr="00081370">
        <w:rPr>
          <w:vertAlign w:val="superscript"/>
          <w:lang w:bidi="he-IL"/>
        </w:rPr>
        <w:footnoteReference w:id="542"/>
      </w:r>
      <w:r w:rsidR="00081370">
        <w:rPr>
          <w:lang w:bidi="he-IL"/>
        </w:rPr>
        <w:t xml:space="preserve"> H</w:t>
      </w:r>
      <w:r w:rsidR="004E693D" w:rsidRPr="004E693D">
        <w:rPr>
          <w:lang w:bidi="he-IL"/>
        </w:rPr>
        <w:t xml:space="preserve">is </w:t>
      </w:r>
      <w:r w:rsidR="00716BE9">
        <w:rPr>
          <w:lang w:bidi="he-IL"/>
        </w:rPr>
        <w:t xml:space="preserve">own </w:t>
      </w:r>
      <w:r w:rsidR="004E693D" w:rsidRPr="004E693D">
        <w:rPr>
          <w:lang w:bidi="he-IL"/>
        </w:rPr>
        <w:t xml:space="preserve">words presuppose that a nation can be faithful. The word resonates with 18:23-32 and hints that Gerar is no Sodom. So the question it suggests is, </w:t>
      </w:r>
      <w:r w:rsidR="003D56BA">
        <w:rPr>
          <w:lang w:bidi="he-IL"/>
        </w:rPr>
        <w:t>“</w:t>
      </w:r>
      <w:r w:rsidR="004E693D" w:rsidRPr="004E693D">
        <w:rPr>
          <w:lang w:bidi="he-IL"/>
        </w:rPr>
        <w:t xml:space="preserve">will God destroy the people of Gerar as he did </w:t>
      </w:r>
      <w:r w:rsidR="00C00535">
        <w:rPr>
          <w:lang w:bidi="he-IL"/>
        </w:rPr>
        <w:t>the people of Sodom</w:t>
      </w:r>
      <w:r w:rsidR="004E693D" w:rsidRPr="004E693D">
        <w:rPr>
          <w:lang w:bidi="he-IL"/>
        </w:rPr>
        <w:t>? Is Gerar next?</w:t>
      </w:r>
      <w:r w:rsidR="003D56BA">
        <w:rPr>
          <w:lang w:bidi="he-IL"/>
        </w:rPr>
        <w:t>”</w:t>
      </w:r>
      <w:r w:rsidR="004E693D" w:rsidRPr="004E693D">
        <w:rPr>
          <w:vertAlign w:val="superscript"/>
          <w:lang w:bidi="he-IL"/>
        </w:rPr>
        <w:footnoteReference w:id="543"/>
      </w:r>
      <w:r w:rsidR="00B76C31">
        <w:rPr>
          <w:rStyle w:val="CommentReference"/>
        </w:rPr>
        <w:t>—</w:t>
      </w:r>
      <w:r w:rsidR="00F71909">
        <w:rPr>
          <w:lang w:bidi="he-IL"/>
        </w:rPr>
        <w:t>even if the trouble issues</w:t>
      </w:r>
      <w:r w:rsidR="00CF7FD6">
        <w:rPr>
          <w:lang w:bidi="he-IL"/>
        </w:rPr>
        <w:t xml:space="preserve"> from their happening to be in the wrong place at the wrong time rather than being as deserving as Sodom?</w:t>
      </w:r>
      <w:r w:rsidR="00CF7FD6" w:rsidRPr="00D109B7">
        <w:rPr>
          <w:rStyle w:val="FootnoteReference"/>
          <w:lang w:bidi="he-IL"/>
        </w:rPr>
        <w:t xml:space="preserve"> </w:t>
      </w:r>
      <w:r w:rsidR="00CF7FD6">
        <w:rPr>
          <w:rStyle w:val="FootnoteReference"/>
          <w:lang w:bidi="he-IL"/>
        </w:rPr>
        <w:footnoteReference w:id="544"/>
      </w:r>
    </w:p>
    <w:p w14:paraId="67896578" w14:textId="77777777" w:rsidR="003F3B64" w:rsidRDefault="009B43FD" w:rsidP="00F62D32">
      <w:pPr>
        <w:rPr>
          <w:lang w:bidi="he-IL"/>
        </w:rPr>
      </w:pPr>
      <w:r>
        <w:rPr>
          <w:lang w:bidi="he-IL"/>
        </w:rPr>
        <w:t>To underline his point (v. 5), Abimelek</w:t>
      </w:r>
      <w:r w:rsidR="003F3B64">
        <w:rPr>
          <w:lang w:bidi="he-IL"/>
        </w:rPr>
        <w:t xml:space="preserve"> adds a claim to integrity, </w:t>
      </w:r>
      <w:r w:rsidR="00694FA5">
        <w:rPr>
          <w:lang w:bidi="he-IL"/>
        </w:rPr>
        <w:t>which is ironically the quality God expected of Ab</w:t>
      </w:r>
      <w:r w:rsidR="00716BE9">
        <w:rPr>
          <w:lang w:bidi="he-IL"/>
        </w:rPr>
        <w:t xml:space="preserve">raham (17:1), and </w:t>
      </w:r>
      <w:r w:rsidR="00930EBF">
        <w:rPr>
          <w:lang w:bidi="he-IL"/>
        </w:rPr>
        <w:t xml:space="preserve">a claim </w:t>
      </w:r>
      <w:r w:rsidR="00694FA5">
        <w:rPr>
          <w:lang w:bidi="he-IL"/>
        </w:rPr>
        <w:t>to have</w:t>
      </w:r>
      <w:r w:rsidR="003F3B64">
        <w:rPr>
          <w:lang w:bidi="he-IL"/>
        </w:rPr>
        <w:t xml:space="preserve"> the same qualities as Noah </w:t>
      </w:r>
      <w:r w:rsidR="00694FA5">
        <w:rPr>
          <w:lang w:bidi="he-IL"/>
        </w:rPr>
        <w:t xml:space="preserve">possessed </w:t>
      </w:r>
      <w:r w:rsidR="003F3B64">
        <w:rPr>
          <w:lang w:bidi="he-IL"/>
        </w:rPr>
        <w:t xml:space="preserve">(6:9). </w:t>
      </w:r>
      <w:r w:rsidR="00131E6F">
        <w:rPr>
          <w:lang w:bidi="he-IL"/>
        </w:rPr>
        <w:t xml:space="preserve">Is there </w:t>
      </w:r>
      <w:r w:rsidR="00131E6F" w:rsidRPr="00131E6F">
        <w:rPr>
          <w:lang w:bidi="he-IL"/>
        </w:rPr>
        <w:t>a comedic, parodic aspect to th</w:t>
      </w:r>
      <w:r w:rsidR="00131E6F">
        <w:rPr>
          <w:lang w:bidi="he-IL"/>
        </w:rPr>
        <w:t>e portrait?</w:t>
      </w:r>
      <w:r w:rsidR="00131E6F">
        <w:rPr>
          <w:rStyle w:val="FootnoteReference"/>
          <w:lang w:bidi="he-IL"/>
        </w:rPr>
        <w:footnoteReference w:id="545"/>
      </w:r>
      <w:r w:rsidR="00131E6F" w:rsidRPr="00131E6F">
        <w:rPr>
          <w:lang w:bidi="he-IL"/>
        </w:rPr>
        <w:t xml:space="preserve"> </w:t>
      </w:r>
      <w:r w:rsidR="003D56BA">
        <w:rPr>
          <w:lang w:bidi="he-IL"/>
        </w:rPr>
        <w:t>“</w:t>
      </w:r>
      <w:r w:rsidR="00694FA5">
        <w:rPr>
          <w:lang w:bidi="he-IL"/>
        </w:rPr>
        <w:t>My hands are clean,</w:t>
      </w:r>
      <w:r w:rsidR="003D56BA">
        <w:rPr>
          <w:lang w:bidi="he-IL"/>
        </w:rPr>
        <w:t>”</w:t>
      </w:r>
      <w:r w:rsidR="00694FA5">
        <w:rPr>
          <w:lang w:bidi="he-IL"/>
        </w:rPr>
        <w:t xml:space="preserve"> moreover, he adds. </w:t>
      </w:r>
      <w:r w:rsidR="00C861E1">
        <w:rPr>
          <w:lang w:bidi="he-IL"/>
        </w:rPr>
        <w:t>The word (</w:t>
      </w:r>
      <w:r w:rsidR="00C861E1">
        <w:rPr>
          <w:i/>
          <w:lang w:bidi="he-IL"/>
        </w:rPr>
        <w:t>nāqîn</w:t>
      </w:r>
      <w:r w:rsidR="00C861E1">
        <w:rPr>
          <w:lang w:bidi="he-IL"/>
        </w:rPr>
        <w:t>) denotes being free of liability and thus exempt from punishment</w:t>
      </w:r>
      <w:r>
        <w:rPr>
          <w:lang w:bidi="he-IL"/>
        </w:rPr>
        <w:t xml:space="preserve"> or obligation (Abraham will apply</w:t>
      </w:r>
      <w:r w:rsidR="00C861E1">
        <w:rPr>
          <w:lang w:bidi="he-IL"/>
        </w:rPr>
        <w:t xml:space="preserve"> the </w:t>
      </w:r>
      <w:r>
        <w:rPr>
          <w:lang w:bidi="he-IL"/>
        </w:rPr>
        <w:t>related verb to</w:t>
      </w:r>
      <w:r w:rsidR="00C861E1">
        <w:rPr>
          <w:lang w:bidi="he-IL"/>
        </w:rPr>
        <w:t xml:space="preserve"> his servant’s freedom from liability if he does his duty in seeking out a wife fo</w:t>
      </w:r>
      <w:r>
        <w:rPr>
          <w:lang w:bidi="he-IL"/>
        </w:rPr>
        <w:t>r Isaac). F</w:t>
      </w:r>
      <w:r w:rsidR="00C861E1">
        <w:rPr>
          <w:lang w:bidi="he-IL"/>
        </w:rPr>
        <w:t xml:space="preserve">aithfulness is </w:t>
      </w:r>
      <w:r w:rsidR="00716BE9">
        <w:rPr>
          <w:lang w:bidi="he-IL"/>
        </w:rPr>
        <w:t xml:space="preserve">thus </w:t>
      </w:r>
      <w:r w:rsidR="00C861E1">
        <w:rPr>
          <w:lang w:bidi="he-IL"/>
        </w:rPr>
        <w:t>spelled out in both positive and negative terms, in the presence of inner integrity and in the absence of wrongful outward action.</w:t>
      </w:r>
      <w:r w:rsidR="009B0F9F">
        <w:rPr>
          <w:lang w:bidi="he-IL"/>
        </w:rPr>
        <w:t xml:space="preserve"> </w:t>
      </w:r>
      <w:r w:rsidR="00930EBF">
        <w:rPr>
          <w:lang w:bidi="he-IL"/>
        </w:rPr>
        <w:t>So i</w:t>
      </w:r>
      <w:r w:rsidR="00930EBF" w:rsidRPr="00930EBF">
        <w:rPr>
          <w:lang w:bidi="he-IL"/>
        </w:rPr>
        <w:t xml:space="preserve">t’s possible for a </w:t>
      </w:r>
      <w:r w:rsidR="00930EBF">
        <w:rPr>
          <w:lang w:bidi="he-IL"/>
        </w:rPr>
        <w:t xml:space="preserve">ruler and a </w:t>
      </w:r>
      <w:r w:rsidR="00930EBF" w:rsidRPr="00930EBF">
        <w:rPr>
          <w:lang w:bidi="he-IL"/>
        </w:rPr>
        <w:t>nation to be characterized by faithfulness and integrity. Faithfulness is a matter of the inner person and its intentions and desires. It’s also a matter of outward action with the hand</w:t>
      </w:r>
      <w:r w:rsidR="00930EBF">
        <w:rPr>
          <w:lang w:bidi="he-IL"/>
        </w:rPr>
        <w:t>s and other parts of the body. But e</w:t>
      </w:r>
      <w:r w:rsidR="00930EBF" w:rsidRPr="00930EBF">
        <w:rPr>
          <w:lang w:bidi="he-IL"/>
        </w:rPr>
        <w:t>ven if a person acts in ignorance and/or through being misled by someone else, their actions can be objectively wrong and can incur guilt.</w:t>
      </w:r>
      <w:r w:rsidR="00930EBF">
        <w:rPr>
          <w:lang w:bidi="he-IL"/>
        </w:rPr>
        <w:t xml:space="preserve"> </w:t>
      </w:r>
      <w:r w:rsidR="00694FA5">
        <w:rPr>
          <w:lang w:bidi="he-IL"/>
        </w:rPr>
        <w:t>T</w:t>
      </w:r>
      <w:r>
        <w:rPr>
          <w:lang w:bidi="he-IL"/>
        </w:rPr>
        <w:t xml:space="preserve">he narrative had not </w:t>
      </w:r>
      <w:r w:rsidR="00694FA5">
        <w:rPr>
          <w:lang w:bidi="he-IL"/>
        </w:rPr>
        <w:t>told us that Sarah had confirmed Abraham’s statement about</w:t>
      </w:r>
      <w:r>
        <w:rPr>
          <w:lang w:bidi="he-IL"/>
        </w:rPr>
        <w:t xml:space="preserve"> their relationship, as it had </w:t>
      </w:r>
      <w:r w:rsidR="00694FA5">
        <w:rPr>
          <w:lang w:bidi="he-IL"/>
        </w:rPr>
        <w:t>not told us about the affl</w:t>
      </w:r>
      <w:r>
        <w:rPr>
          <w:lang w:bidi="he-IL"/>
        </w:rPr>
        <w:t xml:space="preserve">ictions in the royal household. It </w:t>
      </w:r>
      <w:r w:rsidR="00694FA5">
        <w:rPr>
          <w:lang w:bidi="he-IL"/>
        </w:rPr>
        <w:t>focus</w:t>
      </w:r>
      <w:r>
        <w:rPr>
          <w:lang w:bidi="he-IL"/>
        </w:rPr>
        <w:t>es o</w:t>
      </w:r>
      <w:r w:rsidR="00716BE9">
        <w:rPr>
          <w:lang w:bidi="he-IL"/>
        </w:rPr>
        <w:t>n certain features of the story,</w:t>
      </w:r>
      <w:r w:rsidR="00694FA5">
        <w:rPr>
          <w:lang w:bidi="he-IL"/>
        </w:rPr>
        <w:t xml:space="preserve"> </w:t>
      </w:r>
      <w:r>
        <w:rPr>
          <w:lang w:bidi="he-IL"/>
        </w:rPr>
        <w:t>sometimes simply leaves the audience</w:t>
      </w:r>
      <w:r w:rsidR="00694FA5">
        <w:rPr>
          <w:lang w:bidi="he-IL"/>
        </w:rPr>
        <w:t xml:space="preserve"> to fill in the gaps</w:t>
      </w:r>
      <w:r>
        <w:rPr>
          <w:lang w:bidi="he-IL"/>
        </w:rPr>
        <w:t xml:space="preserve">, </w:t>
      </w:r>
      <w:proofErr w:type="gramStart"/>
      <w:r>
        <w:rPr>
          <w:lang w:bidi="he-IL"/>
        </w:rPr>
        <w:t>sometimes</w:t>
      </w:r>
      <w:proofErr w:type="gramEnd"/>
      <w:r>
        <w:rPr>
          <w:lang w:bidi="he-IL"/>
        </w:rPr>
        <w:t xml:space="preserve"> fills them in later</w:t>
      </w:r>
      <w:r w:rsidR="00930EBF">
        <w:rPr>
          <w:lang w:bidi="he-IL"/>
        </w:rPr>
        <w:t xml:space="preserve">. </w:t>
      </w:r>
    </w:p>
    <w:p w14:paraId="1D069CC4" w14:textId="71362A56" w:rsidR="009B0F9F" w:rsidRDefault="00506369" w:rsidP="00F62D32">
      <w:pPr>
        <w:rPr>
          <w:lang w:bidi="he-IL"/>
        </w:rPr>
      </w:pPr>
      <w:r>
        <w:rPr>
          <w:lang w:bidi="he-IL"/>
        </w:rPr>
        <w:t>God confirms Abimelek’s claim (v. 6), apparently restatin</w:t>
      </w:r>
      <w:r w:rsidR="00934C2A">
        <w:rPr>
          <w:lang w:bidi="he-IL"/>
        </w:rPr>
        <w:t>g his wor</w:t>
      </w:r>
      <w:r w:rsidR="009B43FD">
        <w:rPr>
          <w:lang w:bidi="he-IL"/>
        </w:rPr>
        <w:t>ds about clean hands with</w:t>
      </w:r>
      <w:r>
        <w:rPr>
          <w:lang w:bidi="he-IL"/>
        </w:rPr>
        <w:t xml:space="preserve"> more gene</w:t>
      </w:r>
      <w:r w:rsidR="00E53F1F">
        <w:rPr>
          <w:lang w:bidi="he-IL"/>
        </w:rPr>
        <w:t>r</w:t>
      </w:r>
      <w:r>
        <w:rPr>
          <w:lang w:bidi="he-IL"/>
        </w:rPr>
        <w:t>al words about wrongdoing</w:t>
      </w:r>
      <w:r w:rsidR="00E53F1F">
        <w:rPr>
          <w:lang w:bidi="he-IL"/>
        </w:rPr>
        <w:t>; God knows Abimelek</w:t>
      </w:r>
      <w:r>
        <w:rPr>
          <w:lang w:bidi="he-IL"/>
        </w:rPr>
        <w:t xml:space="preserve"> </w:t>
      </w:r>
      <w:r w:rsidR="00E53F1F">
        <w:rPr>
          <w:lang w:bidi="he-IL"/>
        </w:rPr>
        <w:t>is nothing like Sodom (</w:t>
      </w:r>
      <w:r>
        <w:rPr>
          <w:lang w:bidi="he-IL"/>
        </w:rPr>
        <w:t>13:13; 18:20</w:t>
      </w:r>
      <w:r w:rsidR="00E53F1F">
        <w:rPr>
          <w:lang w:bidi="he-IL"/>
        </w:rPr>
        <w:t>).</w:t>
      </w:r>
      <w:r w:rsidR="00DA1044">
        <w:rPr>
          <w:lang w:bidi="he-IL"/>
        </w:rPr>
        <w:t xml:space="preserve"> All</w:t>
      </w:r>
      <w:r w:rsidR="00934C2A">
        <w:rPr>
          <w:lang w:bidi="he-IL"/>
        </w:rPr>
        <w:t xml:space="preserve"> </w:t>
      </w:r>
      <w:r w:rsidR="00DA1044">
        <w:rPr>
          <w:lang w:bidi="he-IL"/>
        </w:rPr>
        <w:t>Canaanites should not be tarred with the same brush.</w:t>
      </w:r>
      <w:r w:rsidR="00DA1044">
        <w:rPr>
          <w:rStyle w:val="FootnoteReference"/>
          <w:lang w:bidi="he-IL"/>
        </w:rPr>
        <w:footnoteReference w:id="546"/>
      </w:r>
      <w:r w:rsidR="00DA1044">
        <w:rPr>
          <w:lang w:bidi="he-IL"/>
        </w:rPr>
        <w:t xml:space="preserve"> </w:t>
      </w:r>
      <w:r w:rsidR="00934C2A">
        <w:rPr>
          <w:lang w:bidi="he-IL"/>
        </w:rPr>
        <w:t xml:space="preserve">Again the audience has to fill in the gaps (or will be able to do so later) by working out that </w:t>
      </w:r>
      <w:r w:rsidR="00716BE9">
        <w:rPr>
          <w:lang w:bidi="he-IL"/>
        </w:rPr>
        <w:t>the afflictions were the means whereby</w:t>
      </w:r>
      <w:r w:rsidR="009B43FD">
        <w:rPr>
          <w:lang w:bidi="he-IL"/>
        </w:rPr>
        <w:t xml:space="preserve"> God held him back. He</w:t>
      </w:r>
      <w:r w:rsidR="00716BE9">
        <w:rPr>
          <w:lang w:bidi="he-IL"/>
        </w:rPr>
        <w:t xml:space="preserve"> did so for Sarah’s sake,</w:t>
      </w:r>
      <w:r w:rsidR="00934C2A">
        <w:rPr>
          <w:lang w:bidi="he-IL"/>
        </w:rPr>
        <w:t xml:space="preserve"> for Ab</w:t>
      </w:r>
      <w:r w:rsidR="00716BE9">
        <w:rPr>
          <w:lang w:bidi="he-IL"/>
        </w:rPr>
        <w:t>raham’s sake,</w:t>
      </w:r>
      <w:r w:rsidR="00934C2A">
        <w:rPr>
          <w:lang w:bidi="he-IL"/>
        </w:rPr>
        <w:t xml:space="preserve"> </w:t>
      </w:r>
      <w:r w:rsidR="003A218F">
        <w:rPr>
          <w:lang w:bidi="he-IL"/>
        </w:rPr>
        <w:t>fo</w:t>
      </w:r>
      <w:r w:rsidR="009B43FD">
        <w:rPr>
          <w:lang w:bidi="he-IL"/>
        </w:rPr>
        <w:t>r Abimelek’s sake</w:t>
      </w:r>
      <w:r w:rsidR="00716BE9">
        <w:rPr>
          <w:lang w:bidi="he-IL"/>
        </w:rPr>
        <w:t>,</w:t>
      </w:r>
      <w:r w:rsidR="00E06292">
        <w:rPr>
          <w:lang w:bidi="he-IL"/>
        </w:rPr>
        <w:t xml:space="preserve"> and</w:t>
      </w:r>
      <w:r w:rsidR="003A218F">
        <w:rPr>
          <w:lang w:bidi="he-IL"/>
        </w:rPr>
        <w:t xml:space="preserve"> fo</w:t>
      </w:r>
      <w:r w:rsidR="00081370">
        <w:rPr>
          <w:lang w:bidi="he-IL"/>
        </w:rPr>
        <w:t>r the sake of marital propriety</w:t>
      </w:r>
      <w:r w:rsidR="00716BE9">
        <w:rPr>
          <w:lang w:bidi="he-IL"/>
        </w:rPr>
        <w:t>, but</w:t>
      </w:r>
      <w:r w:rsidR="00F71909">
        <w:rPr>
          <w:lang w:bidi="he-IL"/>
        </w:rPr>
        <w:t xml:space="preserve"> also</w:t>
      </w:r>
      <w:r w:rsidR="009B43FD">
        <w:rPr>
          <w:lang w:bidi="he-IL"/>
        </w:rPr>
        <w:t xml:space="preserve"> </w:t>
      </w:r>
      <w:r w:rsidR="00081370">
        <w:rPr>
          <w:lang w:bidi="he-IL"/>
        </w:rPr>
        <w:t xml:space="preserve">for his own sake. </w:t>
      </w:r>
      <w:r w:rsidR="00E06292">
        <w:rPr>
          <w:lang w:bidi="he-IL"/>
        </w:rPr>
        <w:t xml:space="preserve">Abimelek’s wrongdoing would be committed </w:t>
      </w:r>
      <w:r w:rsidR="003D56BA">
        <w:rPr>
          <w:lang w:bidi="he-IL"/>
        </w:rPr>
        <w:t>“</w:t>
      </w:r>
      <w:r w:rsidR="00E06292">
        <w:rPr>
          <w:lang w:bidi="he-IL"/>
        </w:rPr>
        <w:t xml:space="preserve">against </w:t>
      </w:r>
      <w:r w:rsidR="00BB53EE">
        <w:rPr>
          <w:lang w:bidi="he-IL"/>
        </w:rPr>
        <w:t>me</w:t>
      </w:r>
      <w:r w:rsidR="003D56BA">
        <w:rPr>
          <w:lang w:bidi="he-IL"/>
        </w:rPr>
        <w:t>”</w:t>
      </w:r>
      <w:r w:rsidR="00BB53EE">
        <w:rPr>
          <w:lang w:bidi="he-IL"/>
        </w:rPr>
        <w:t xml:space="preserve"> both for moral-t</w:t>
      </w:r>
      <w:r w:rsidR="00F71909">
        <w:rPr>
          <w:lang w:bidi="he-IL"/>
        </w:rPr>
        <w:t xml:space="preserve">ype reasons (cf. 39:9) and </w:t>
      </w:r>
      <w:r w:rsidR="00123294" w:rsidRPr="00123294">
        <w:rPr>
          <w:lang w:bidi="he-IL"/>
        </w:rPr>
        <w:t>because Sarah has</w:t>
      </w:r>
      <w:r w:rsidR="00081370">
        <w:rPr>
          <w:lang w:bidi="he-IL"/>
        </w:rPr>
        <w:t xml:space="preserve"> that</w:t>
      </w:r>
      <w:r w:rsidR="00123294">
        <w:rPr>
          <w:lang w:bidi="he-IL"/>
        </w:rPr>
        <w:t xml:space="preserve"> special place in his purpose</w:t>
      </w:r>
      <w:r w:rsidR="00A9246A">
        <w:rPr>
          <w:lang w:bidi="he-IL"/>
        </w:rPr>
        <w:t>.</w:t>
      </w:r>
      <w:r w:rsidR="00755435">
        <w:rPr>
          <w:lang w:bidi="he-IL"/>
        </w:rPr>
        <w:t xml:space="preserve"> </w:t>
      </w:r>
    </w:p>
    <w:p w14:paraId="21B8BB76" w14:textId="66BF1F15" w:rsidR="003A218F" w:rsidRDefault="003A218F" w:rsidP="00F62D32">
      <w:pPr>
        <w:rPr>
          <w:lang w:bidi="he-IL"/>
        </w:rPr>
      </w:pPr>
      <w:r>
        <w:rPr>
          <w:lang w:bidi="he-IL"/>
        </w:rPr>
        <w:t>But Abimelek has to</w:t>
      </w:r>
      <w:r w:rsidR="001714FA">
        <w:rPr>
          <w:lang w:bidi="he-IL"/>
        </w:rPr>
        <w:t xml:space="preserve"> take action (v. 7), as Cain needed</w:t>
      </w:r>
      <w:r>
        <w:rPr>
          <w:lang w:bidi="he-IL"/>
        </w:rPr>
        <w:t xml:space="preserve"> to but did not. </w:t>
      </w:r>
      <w:r w:rsidR="006F544F" w:rsidRPr="006F544F">
        <w:rPr>
          <w:lang w:bidi="he-IL"/>
        </w:rPr>
        <w:t xml:space="preserve">God’s warning is </w:t>
      </w:r>
      <w:r w:rsidR="006F544F">
        <w:rPr>
          <w:lang w:bidi="he-IL"/>
        </w:rPr>
        <w:t>also the one he issued to Ev</w:t>
      </w:r>
      <w:r w:rsidR="00F71909">
        <w:rPr>
          <w:lang w:bidi="he-IL"/>
        </w:rPr>
        <w:t xml:space="preserve">e (2:17), which she took little </w:t>
      </w:r>
      <w:r w:rsidR="006F544F">
        <w:rPr>
          <w:lang w:bidi="he-IL"/>
        </w:rPr>
        <w:t>notice of. Here, b</w:t>
      </w:r>
      <w:r w:rsidR="0083647B">
        <w:rPr>
          <w:lang w:bidi="he-IL"/>
        </w:rPr>
        <w:t>oth the fact of v. 3 and the fact of v. 6 have to be taken into account.</w:t>
      </w:r>
      <w:r w:rsidR="00727890">
        <w:rPr>
          <w:lang w:bidi="he-IL"/>
        </w:rPr>
        <w:t xml:space="preserve"> </w:t>
      </w:r>
      <w:r w:rsidR="0083647B">
        <w:rPr>
          <w:lang w:bidi="he-IL"/>
        </w:rPr>
        <w:t xml:space="preserve">The fact of v. 6 can only win over the fact of v. 3 if Abimelek takes the necessary action. </w:t>
      </w:r>
      <w:r w:rsidR="00F71909">
        <w:rPr>
          <w:lang w:bidi="he-IL"/>
        </w:rPr>
        <w:t>Even though he</w:t>
      </w:r>
      <w:r>
        <w:rPr>
          <w:lang w:bidi="he-IL"/>
        </w:rPr>
        <w:t xml:space="preserve"> has not had sex with Sarah, and even though it was not his fault that he had taken a married woman into his harem, he is still a dead man unless</w:t>
      </w:r>
      <w:r w:rsidR="00774332">
        <w:rPr>
          <w:lang w:bidi="he-IL"/>
        </w:rPr>
        <w:t xml:space="preserve"> he puts things right. God</w:t>
      </w:r>
      <w:r>
        <w:rPr>
          <w:lang w:bidi="he-IL"/>
        </w:rPr>
        <w:t xml:space="preserve"> makes two other striking points</w:t>
      </w:r>
      <w:r w:rsidR="00716BE9">
        <w:rPr>
          <w:lang w:bidi="he-IL"/>
        </w:rPr>
        <w:t>.</w:t>
      </w:r>
      <w:r>
        <w:rPr>
          <w:lang w:bidi="he-IL"/>
        </w:rPr>
        <w:t xml:space="preserve"> One is th</w:t>
      </w:r>
      <w:r w:rsidR="00081370">
        <w:rPr>
          <w:lang w:bidi="he-IL"/>
        </w:rPr>
        <w:t>at Abimelek’s actions will indeed</w:t>
      </w:r>
      <w:r>
        <w:rPr>
          <w:lang w:bidi="he-IL"/>
        </w:rPr>
        <w:t xml:space="preserve"> have further consequences not just for himself but for the rest of his household, perhaps </w:t>
      </w:r>
      <w:r w:rsidR="00081370">
        <w:rPr>
          <w:lang w:bidi="he-IL"/>
        </w:rPr>
        <w:t>for his realm as a whole. R</w:t>
      </w:r>
      <w:r>
        <w:rPr>
          <w:lang w:bidi="he-IL"/>
        </w:rPr>
        <w:t>ulers are either a blessing or a curse to their people.</w:t>
      </w:r>
      <w:r w:rsidR="00774332">
        <w:rPr>
          <w:lang w:bidi="he-IL"/>
        </w:rPr>
        <w:t xml:space="preserve"> Th</w:t>
      </w:r>
      <w:r w:rsidR="00081370">
        <w:rPr>
          <w:lang w:bidi="he-IL"/>
        </w:rPr>
        <w:t>e other is that Abraham has a role to play</w:t>
      </w:r>
      <w:r w:rsidR="00774332">
        <w:rPr>
          <w:lang w:bidi="he-IL"/>
        </w:rPr>
        <w:t xml:space="preserve"> </w:t>
      </w:r>
      <w:r w:rsidR="00081370">
        <w:rPr>
          <w:lang w:bidi="he-IL"/>
        </w:rPr>
        <w:t>in putting things right. He</w:t>
      </w:r>
      <w:r w:rsidR="00F71909">
        <w:rPr>
          <w:lang w:bidi="he-IL"/>
        </w:rPr>
        <w:t xml:space="preserve"> doesn’</w:t>
      </w:r>
      <w:r w:rsidR="00774332">
        <w:rPr>
          <w:lang w:bidi="he-IL"/>
        </w:rPr>
        <w:t>t</w:t>
      </w:r>
      <w:r w:rsidR="00081370">
        <w:rPr>
          <w:lang w:bidi="he-IL"/>
        </w:rPr>
        <w:t xml:space="preserve"> have to repent, though </w:t>
      </w:r>
      <w:r w:rsidR="00774332">
        <w:rPr>
          <w:lang w:bidi="he-IL"/>
        </w:rPr>
        <w:t>that might do no harm, and it i</w:t>
      </w:r>
      <w:r w:rsidR="00716BE9">
        <w:rPr>
          <w:lang w:bidi="he-IL"/>
        </w:rPr>
        <w:t>s just as well</w:t>
      </w:r>
      <w:r w:rsidR="00F71909">
        <w:rPr>
          <w:lang w:bidi="he-IL"/>
        </w:rPr>
        <w:t xml:space="preserve"> that he doesn’t have to</w:t>
      </w:r>
      <w:r w:rsidR="00716BE9">
        <w:rPr>
          <w:lang w:bidi="he-IL"/>
        </w:rPr>
        <w:t xml:space="preserve">, </w:t>
      </w:r>
      <w:r w:rsidR="00716BE9">
        <w:rPr>
          <w:lang w:bidi="he-IL"/>
        </w:rPr>
        <w:lastRenderedPageBreak/>
        <w:t>because he doesn’</w:t>
      </w:r>
      <w:r w:rsidR="00F71909">
        <w:rPr>
          <w:lang w:bidi="he-IL"/>
        </w:rPr>
        <w:t>t</w:t>
      </w:r>
      <w:r w:rsidR="00774332">
        <w:rPr>
          <w:lang w:bidi="he-IL"/>
        </w:rPr>
        <w:t>. Rather, while God could presumably put things right without Abraham being involved, he intends to involve Abraham in a way that might</w:t>
      </w:r>
      <w:r w:rsidR="00B3766E">
        <w:rPr>
          <w:lang w:bidi="he-IL"/>
        </w:rPr>
        <w:t xml:space="preserve"> be seen as a form</w:t>
      </w:r>
      <w:r w:rsidR="00774332">
        <w:rPr>
          <w:lang w:bidi="he-IL"/>
        </w:rPr>
        <w:t xml:space="preserve"> of repentance—not repentance in the form of sorrow but repentance in the sense of a change of direction. Instead of walking </w:t>
      </w:r>
      <w:r w:rsidR="00081370">
        <w:rPr>
          <w:lang w:bidi="he-IL"/>
        </w:rPr>
        <w:t xml:space="preserve">in </w:t>
      </w:r>
      <w:r w:rsidR="00774332">
        <w:rPr>
          <w:lang w:bidi="he-IL"/>
        </w:rPr>
        <w:t xml:space="preserve">a way that brings Abimelek trouble, he is to walk </w:t>
      </w:r>
      <w:r w:rsidR="00081370">
        <w:rPr>
          <w:lang w:bidi="he-IL"/>
        </w:rPr>
        <w:t xml:space="preserve">in </w:t>
      </w:r>
      <w:r w:rsidR="00774332">
        <w:rPr>
          <w:lang w:bidi="he-IL"/>
        </w:rPr>
        <w:t>a way that restores things for Abimelek. Abraham will be able to do so because he is a prophet, which means being a membe</w:t>
      </w:r>
      <w:r w:rsidR="00716BE9">
        <w:rPr>
          <w:lang w:bidi="he-IL"/>
        </w:rPr>
        <w:t xml:space="preserve">r of God’s cabinet who can </w:t>
      </w:r>
      <w:r w:rsidR="00774332">
        <w:rPr>
          <w:lang w:bidi="he-IL"/>
        </w:rPr>
        <w:t xml:space="preserve">speak up </w:t>
      </w:r>
      <w:r w:rsidR="0094675A">
        <w:rPr>
          <w:lang w:bidi="he-IL"/>
        </w:rPr>
        <w:t xml:space="preserve">there </w:t>
      </w:r>
      <w:r w:rsidR="00774332">
        <w:rPr>
          <w:lang w:bidi="he-IL"/>
        </w:rPr>
        <w:t>on Abimelek’s behalf.</w:t>
      </w:r>
      <w:r w:rsidR="0094675A">
        <w:rPr>
          <w:lang w:bidi="he-IL"/>
        </w:rPr>
        <w:t xml:space="preserve"> We have had hints that Abraham is a quasi-prophetic figure (15:1-2; 18:17-21, 22-33); here his status is explicit</w:t>
      </w:r>
      <w:r w:rsidR="00465147">
        <w:rPr>
          <w:lang w:bidi="he-IL"/>
        </w:rPr>
        <w:t>.</w:t>
      </w:r>
      <w:r w:rsidR="008D7049">
        <w:rPr>
          <w:rStyle w:val="FootnoteReference"/>
          <w:lang w:bidi="he-IL"/>
        </w:rPr>
        <w:footnoteReference w:id="547"/>
      </w:r>
      <w:r w:rsidR="00716BE9">
        <w:rPr>
          <w:lang w:bidi="he-IL"/>
        </w:rPr>
        <w:t xml:space="preserve"> Technically it is</w:t>
      </w:r>
      <w:r w:rsidR="00081370">
        <w:rPr>
          <w:lang w:bidi="he-IL"/>
        </w:rPr>
        <w:t xml:space="preserve"> </w:t>
      </w:r>
      <w:r w:rsidR="00465147">
        <w:rPr>
          <w:lang w:bidi="he-IL"/>
        </w:rPr>
        <w:t>an</w:t>
      </w:r>
      <w:r w:rsidR="00716BE9">
        <w:rPr>
          <w:lang w:bidi="he-IL"/>
        </w:rPr>
        <w:t>other</w:t>
      </w:r>
      <w:r w:rsidR="00465147">
        <w:rPr>
          <w:lang w:bidi="he-IL"/>
        </w:rPr>
        <w:t xml:space="preserve"> anachronism; the point of the designation is that Abraham can fulfill a key aspect of </w:t>
      </w:r>
      <w:r w:rsidR="00B3766E">
        <w:rPr>
          <w:lang w:bidi="he-IL"/>
        </w:rPr>
        <w:t xml:space="preserve">what belonged to </w:t>
      </w:r>
      <w:r w:rsidR="00465147">
        <w:rPr>
          <w:lang w:bidi="he-IL"/>
        </w:rPr>
        <w:t xml:space="preserve">the role of a prophet in the audience’s day. </w:t>
      </w:r>
      <w:r w:rsidR="00716BE9">
        <w:rPr>
          <w:lang w:bidi="he-IL"/>
        </w:rPr>
        <w:t>A</w:t>
      </w:r>
      <w:r w:rsidR="00B3766E">
        <w:rPr>
          <w:lang w:bidi="he-IL"/>
        </w:rPr>
        <w:t>nd a</w:t>
      </w:r>
      <w:r w:rsidR="00716BE9">
        <w:rPr>
          <w:lang w:bidi="he-IL"/>
        </w:rPr>
        <w:t xml:space="preserve"> prophet can pray</w:t>
      </w:r>
      <w:r w:rsidR="000703AC">
        <w:rPr>
          <w:lang w:bidi="he-IL"/>
        </w:rPr>
        <w:t xml:space="preserve"> for people outside the chosen people as well as for insiders.</w:t>
      </w:r>
      <w:r w:rsidR="001358ED">
        <w:rPr>
          <w:lang w:bidi="he-IL"/>
        </w:rPr>
        <w:t xml:space="preserve"> </w:t>
      </w:r>
      <w:r w:rsidR="003D56BA">
        <w:rPr>
          <w:lang w:bidi="he-IL"/>
        </w:rPr>
        <w:t>“</w:t>
      </w:r>
      <w:r w:rsidR="001358ED">
        <w:rPr>
          <w:lang w:bidi="he-IL"/>
        </w:rPr>
        <w:t>Pleading</w:t>
      </w:r>
      <w:r w:rsidR="003D56BA">
        <w:rPr>
          <w:lang w:bidi="he-IL"/>
        </w:rPr>
        <w:t>”</w:t>
      </w:r>
      <w:r w:rsidR="001358ED">
        <w:rPr>
          <w:lang w:bidi="he-IL"/>
        </w:rPr>
        <w:t xml:space="preserve"> (</w:t>
      </w:r>
      <w:r w:rsidR="001358ED">
        <w:rPr>
          <w:i/>
          <w:lang w:bidi="he-IL"/>
        </w:rPr>
        <w:t>pālal</w:t>
      </w:r>
      <w:r w:rsidR="001358ED">
        <w:rPr>
          <w:lang w:bidi="he-IL"/>
        </w:rPr>
        <w:t xml:space="preserve"> hitpael) in this context means intercession, asking God to do something for someone else (cf. 1 Sam 12:19, 23—Samuel as a prophet), though in other contexts it can mean asking God to do something for onese</w:t>
      </w:r>
      <w:r w:rsidR="00FC5266">
        <w:rPr>
          <w:lang w:bidi="he-IL"/>
        </w:rPr>
        <w:t>lf (e.g</w:t>
      </w:r>
      <w:r w:rsidR="006F544F">
        <w:rPr>
          <w:lang w:bidi="he-IL"/>
        </w:rPr>
        <w:t>., 1 Sam 1; 1 Kings 8). While this word</w:t>
      </w:r>
      <w:r w:rsidR="00FC5266">
        <w:rPr>
          <w:lang w:bidi="he-IL"/>
        </w:rPr>
        <w:t xml:space="preserve"> and related words usually denote prayer, they sometimes refer to the making of judicial decisions, so the English word </w:t>
      </w:r>
      <w:r w:rsidR="003D56BA">
        <w:rPr>
          <w:lang w:bidi="he-IL"/>
        </w:rPr>
        <w:t>“</w:t>
      </w:r>
      <w:r w:rsidR="00FC5266">
        <w:rPr>
          <w:lang w:bidi="he-IL"/>
        </w:rPr>
        <w:t>plead</w:t>
      </w:r>
      <w:r w:rsidR="003D56BA">
        <w:rPr>
          <w:lang w:bidi="he-IL"/>
        </w:rPr>
        <w:t>”</w:t>
      </w:r>
      <w:r w:rsidR="00FC5266">
        <w:rPr>
          <w:lang w:bidi="he-IL"/>
        </w:rPr>
        <w:t xml:space="preserve"> which likewise has courtroom connot</w:t>
      </w:r>
      <w:r w:rsidR="006F544F">
        <w:rPr>
          <w:lang w:bidi="he-IL"/>
        </w:rPr>
        <w:t>ations conveys the implications of a prophet’s being a member of the divine cabinet where de</w:t>
      </w:r>
      <w:r w:rsidR="00B3766E">
        <w:rPr>
          <w:lang w:bidi="he-IL"/>
        </w:rPr>
        <w:t>cisions get taken and therefore being able to issue a plea on someone’s behalf there</w:t>
      </w:r>
    </w:p>
    <w:p w14:paraId="46FC5072" w14:textId="6DFC2A6F" w:rsidR="00882039" w:rsidRDefault="00882039" w:rsidP="00F62D32">
      <w:pPr>
        <w:rPr>
          <w:lang w:bidi="he-IL"/>
        </w:rPr>
      </w:pPr>
      <w:r>
        <w:rPr>
          <w:b/>
          <w:lang w:bidi="he-IL"/>
        </w:rPr>
        <w:t>20:8-13</w:t>
      </w:r>
      <w:r w:rsidR="000703AC">
        <w:rPr>
          <w:b/>
          <w:lang w:bidi="he-IL"/>
        </w:rPr>
        <w:t xml:space="preserve">. </w:t>
      </w:r>
      <w:r w:rsidR="001714FA">
        <w:rPr>
          <w:lang w:bidi="he-IL"/>
        </w:rPr>
        <w:t xml:space="preserve">Abraham </w:t>
      </w:r>
      <w:r w:rsidR="00B3766E">
        <w:rPr>
          <w:lang w:bidi="he-IL"/>
        </w:rPr>
        <w:t xml:space="preserve">had </w:t>
      </w:r>
      <w:r w:rsidR="001714FA">
        <w:rPr>
          <w:lang w:bidi="he-IL"/>
        </w:rPr>
        <w:t>got</w:t>
      </w:r>
      <w:r w:rsidR="000703AC">
        <w:rPr>
          <w:lang w:bidi="he-IL"/>
        </w:rPr>
        <w:t xml:space="preserve"> going early to check out what had happened to Sodom (19:27)</w:t>
      </w:r>
      <w:r w:rsidR="001714FA">
        <w:rPr>
          <w:lang w:bidi="he-IL"/>
        </w:rPr>
        <w:t>; in a nice inversion</w:t>
      </w:r>
      <w:r w:rsidR="000703AC">
        <w:rPr>
          <w:lang w:bidi="he-IL"/>
        </w:rPr>
        <w:t>, Abimelek gets going briskly the morning after his drea</w:t>
      </w:r>
      <w:r w:rsidR="00F95A06">
        <w:rPr>
          <w:lang w:bidi="he-IL"/>
        </w:rPr>
        <w:t xml:space="preserve">m and tells his staff about it, and they respond in the appropriate fashion. </w:t>
      </w:r>
    </w:p>
    <w:p w14:paraId="18A7AE0F" w14:textId="6C5B8BFB" w:rsidR="00084153" w:rsidRDefault="00F95A06" w:rsidP="00F62D32">
      <w:pPr>
        <w:rPr>
          <w:lang w:bidi="he-IL"/>
        </w:rPr>
      </w:pPr>
      <w:r>
        <w:rPr>
          <w:lang w:bidi="he-IL"/>
        </w:rPr>
        <w:t xml:space="preserve">Then </w:t>
      </w:r>
      <w:r w:rsidR="00882039">
        <w:rPr>
          <w:lang w:bidi="he-IL"/>
        </w:rPr>
        <w:t>(v</w:t>
      </w:r>
      <w:r w:rsidR="00084153">
        <w:rPr>
          <w:lang w:bidi="he-IL"/>
        </w:rPr>
        <w:t>v</w:t>
      </w:r>
      <w:r w:rsidR="00882039">
        <w:rPr>
          <w:lang w:bidi="he-IL"/>
        </w:rPr>
        <w:t>. 9</w:t>
      </w:r>
      <w:r w:rsidR="00084153">
        <w:rPr>
          <w:lang w:bidi="he-IL"/>
        </w:rPr>
        <w:t>-10</w:t>
      </w:r>
      <w:r w:rsidR="00882039">
        <w:rPr>
          <w:lang w:bidi="he-IL"/>
        </w:rPr>
        <w:t xml:space="preserve">) </w:t>
      </w:r>
      <w:r>
        <w:rPr>
          <w:lang w:bidi="he-IL"/>
        </w:rPr>
        <w:t>he confronts Ab</w:t>
      </w:r>
      <w:r w:rsidR="006F544F">
        <w:rPr>
          <w:lang w:bidi="he-IL"/>
        </w:rPr>
        <w:t xml:space="preserve">raham </w:t>
      </w:r>
      <w:r>
        <w:rPr>
          <w:lang w:bidi="he-IL"/>
        </w:rPr>
        <w:t xml:space="preserve">about his wrongdoing </w:t>
      </w:r>
      <w:r w:rsidR="00E64458">
        <w:rPr>
          <w:lang w:bidi="he-IL"/>
        </w:rPr>
        <w:t>in words s</w:t>
      </w:r>
      <w:r w:rsidR="00B3766E">
        <w:rPr>
          <w:lang w:bidi="he-IL"/>
        </w:rPr>
        <w:t>imilar to Pharaoh’s (12:18)</w:t>
      </w:r>
      <w:r>
        <w:rPr>
          <w:lang w:bidi="he-IL"/>
        </w:rPr>
        <w:t xml:space="preserve">. </w:t>
      </w:r>
      <w:r w:rsidR="00B3766E">
        <w:rPr>
          <w:lang w:bidi="he-IL"/>
        </w:rPr>
        <w:t>He</w:t>
      </w:r>
      <w:r>
        <w:rPr>
          <w:lang w:bidi="he-IL"/>
        </w:rPr>
        <w:t xml:space="preserve"> speaks in elegantly poetic fashion</w:t>
      </w:r>
      <w:r w:rsidR="001714FA">
        <w:rPr>
          <w:lang w:bidi="he-IL"/>
        </w:rPr>
        <w:t>,</w:t>
      </w:r>
      <w:r>
        <w:rPr>
          <w:lang w:bidi="he-IL"/>
        </w:rPr>
        <w:t xml:space="preserve"> in the cir</w:t>
      </w:r>
      <w:r w:rsidR="00B27747">
        <w:rPr>
          <w:lang w:bidi="he-IL"/>
        </w:rPr>
        <w:t>cumstances (done-wrong-wrong-do</w:t>
      </w:r>
      <w:r>
        <w:rPr>
          <w:lang w:bidi="he-IL"/>
        </w:rPr>
        <w:t>ings-done-done).</w:t>
      </w:r>
      <w:r w:rsidR="00E06292">
        <w:rPr>
          <w:lang w:bidi="he-IL"/>
        </w:rPr>
        <w:t xml:space="preserve"> While the audience knows that Abi</w:t>
      </w:r>
      <w:r w:rsidR="001714FA">
        <w:rPr>
          <w:lang w:bidi="he-IL"/>
        </w:rPr>
        <w:t>melek’s wrongdoing would imperil</w:t>
      </w:r>
      <w:r w:rsidR="00E06292">
        <w:rPr>
          <w:lang w:bidi="he-IL"/>
        </w:rPr>
        <w:t xml:space="preserve"> God’s purpose to have Sarah bear Isaac, Abimelek himself is concerned ab</w:t>
      </w:r>
      <w:r w:rsidR="007B19E7">
        <w:rPr>
          <w:lang w:bidi="he-IL"/>
        </w:rPr>
        <w:t xml:space="preserve">out the </w:t>
      </w:r>
      <w:r w:rsidR="003D56BA">
        <w:rPr>
          <w:lang w:bidi="he-IL"/>
        </w:rPr>
        <w:t>“</w:t>
      </w:r>
      <w:r w:rsidR="007B19E7">
        <w:rPr>
          <w:lang w:bidi="he-IL"/>
        </w:rPr>
        <w:t>great sin</w:t>
      </w:r>
      <w:r w:rsidR="003D56BA">
        <w:rPr>
          <w:lang w:bidi="he-IL"/>
        </w:rPr>
        <w:t>”</w:t>
      </w:r>
      <w:r w:rsidR="007B19E7">
        <w:rPr>
          <w:lang w:bidi="he-IL"/>
        </w:rPr>
        <w:t xml:space="preserve"> of adultery as one form of sexual outrage that is </w:t>
      </w:r>
      <w:r w:rsidR="003D56BA">
        <w:rPr>
          <w:lang w:bidi="he-IL"/>
        </w:rPr>
        <w:t>“</w:t>
      </w:r>
      <w:r w:rsidR="007B19E7">
        <w:rPr>
          <w:lang w:bidi="he-IL"/>
        </w:rPr>
        <w:t>not done</w:t>
      </w:r>
      <w:r w:rsidR="00254D13">
        <w:rPr>
          <w:lang w:bidi="he-IL"/>
        </w:rPr>
        <w:t>,</w:t>
      </w:r>
      <w:r w:rsidR="003D56BA">
        <w:rPr>
          <w:lang w:bidi="he-IL"/>
        </w:rPr>
        <w:t>”</w:t>
      </w:r>
      <w:r w:rsidR="007B19E7">
        <w:rPr>
          <w:lang w:bidi="he-IL"/>
        </w:rPr>
        <w:t xml:space="preserve"> in</w:t>
      </w:r>
      <w:r w:rsidR="00E64458">
        <w:rPr>
          <w:lang w:bidi="he-IL"/>
        </w:rPr>
        <w:t xml:space="preserve"> Israel (Gen 34:7; 2 </w:t>
      </w:r>
      <w:r w:rsidR="001714FA">
        <w:rPr>
          <w:lang w:bidi="he-IL"/>
        </w:rPr>
        <w:t>Sam 13:12) or</w:t>
      </w:r>
      <w:r w:rsidR="006F544F">
        <w:rPr>
          <w:lang w:bidi="he-IL"/>
        </w:rPr>
        <w:t xml:space="preserve"> </w:t>
      </w:r>
      <w:r w:rsidR="00E64458">
        <w:rPr>
          <w:lang w:bidi="he-IL"/>
        </w:rPr>
        <w:t>anywhere else.</w:t>
      </w:r>
      <w:r w:rsidR="00E64458">
        <w:rPr>
          <w:rStyle w:val="FootnoteReference"/>
          <w:lang w:bidi="he-IL"/>
        </w:rPr>
        <w:footnoteReference w:id="548"/>
      </w:r>
      <w:r w:rsidR="00E64458">
        <w:rPr>
          <w:lang w:bidi="he-IL"/>
        </w:rPr>
        <w:t xml:space="preserve"> </w:t>
      </w:r>
      <w:r w:rsidR="001714FA">
        <w:rPr>
          <w:lang w:bidi="he-IL"/>
        </w:rPr>
        <w:t xml:space="preserve">He doesn’t call it </w:t>
      </w:r>
      <w:proofErr w:type="gramStart"/>
      <w:r w:rsidR="001714FA">
        <w:rPr>
          <w:lang w:bidi="he-IL"/>
        </w:rPr>
        <w:t>a</w:t>
      </w:r>
      <w:proofErr w:type="gramEnd"/>
      <w:r w:rsidR="001714FA">
        <w:rPr>
          <w:lang w:bidi="he-IL"/>
        </w:rPr>
        <w:t xml:space="preserve"> </w:t>
      </w:r>
      <w:r w:rsidR="000A718F">
        <w:rPr>
          <w:i/>
          <w:lang w:bidi="he-IL"/>
        </w:rPr>
        <w:t>nᵉbālāh</w:t>
      </w:r>
      <w:r w:rsidR="00E55FA7">
        <w:rPr>
          <w:lang w:bidi="he-IL"/>
        </w:rPr>
        <w:t>, an act</w:t>
      </w:r>
      <w:r w:rsidR="000A718F">
        <w:rPr>
          <w:lang w:bidi="he-IL"/>
        </w:rPr>
        <w:t xml:space="preserve"> of villainy (Gen 34:7; </w:t>
      </w:r>
      <w:r w:rsidR="00E55FA7">
        <w:rPr>
          <w:lang w:bidi="he-IL"/>
        </w:rPr>
        <w:t xml:space="preserve">cf. </w:t>
      </w:r>
      <w:r w:rsidR="00E55FA7">
        <w:rPr>
          <w:i/>
          <w:lang w:bidi="he-IL"/>
        </w:rPr>
        <w:t xml:space="preserve">nābāl </w:t>
      </w:r>
      <w:r w:rsidR="00E55FA7">
        <w:rPr>
          <w:lang w:bidi="he-IL"/>
        </w:rPr>
        <w:t>in 2 Sam 13:</w:t>
      </w:r>
      <w:r w:rsidR="00E55FA7" w:rsidRPr="00E55FA7">
        <w:rPr>
          <w:lang w:bidi="he-IL"/>
        </w:rPr>
        <w:t>13</w:t>
      </w:r>
      <w:r w:rsidR="000A718F">
        <w:rPr>
          <w:lang w:bidi="he-IL"/>
        </w:rPr>
        <w:t>) but he could have done.</w:t>
      </w:r>
      <w:r w:rsidR="000A718F">
        <w:rPr>
          <w:rStyle w:val="FootnoteReference"/>
          <w:lang w:bidi="he-IL"/>
        </w:rPr>
        <w:footnoteReference w:id="549"/>
      </w:r>
      <w:r w:rsidR="00084153">
        <w:rPr>
          <w:lang w:bidi="he-IL"/>
        </w:rPr>
        <w:t xml:space="preserve"> </w:t>
      </w:r>
      <w:r w:rsidR="006F544F" w:rsidRPr="006F544F">
        <w:rPr>
          <w:lang w:bidi="he-IL"/>
        </w:rPr>
        <w:t xml:space="preserve">The redundant </w:t>
      </w:r>
      <w:r w:rsidR="00254D13">
        <w:rPr>
          <w:lang w:bidi="he-IL"/>
        </w:rPr>
        <w:t>renewed introduction to hi</w:t>
      </w:r>
      <w:r w:rsidR="006F544F" w:rsidRPr="006F544F">
        <w:rPr>
          <w:lang w:bidi="he-IL"/>
        </w:rPr>
        <w:t xml:space="preserve">s further question </w:t>
      </w:r>
      <w:r w:rsidR="00084153">
        <w:rPr>
          <w:lang w:bidi="he-IL"/>
        </w:rPr>
        <w:t>in v. 10</w:t>
      </w:r>
      <w:r w:rsidR="006F544F">
        <w:rPr>
          <w:lang w:bidi="he-IL"/>
        </w:rPr>
        <w:t xml:space="preserve"> points to</w:t>
      </w:r>
      <w:r w:rsidR="00930EBF">
        <w:rPr>
          <w:lang w:bidi="he-IL"/>
        </w:rPr>
        <w:t xml:space="preserve"> Abraham’s inability to reply to this rebuke,</w:t>
      </w:r>
      <w:r w:rsidR="006249DC">
        <w:rPr>
          <w:lang w:bidi="he-IL"/>
        </w:rPr>
        <w:t xml:space="preserve"> as in 12:18-19</w:t>
      </w:r>
      <w:r w:rsidR="006F544F">
        <w:rPr>
          <w:lang w:bidi="he-IL"/>
        </w:rPr>
        <w:t>.</w:t>
      </w:r>
      <w:r w:rsidR="00BD60B7" w:rsidRPr="00BD60B7">
        <w:rPr>
          <w:vertAlign w:val="superscript"/>
          <w:lang w:bidi="he-IL"/>
        </w:rPr>
        <w:footnoteReference w:id="550"/>
      </w:r>
      <w:r w:rsidR="006F544F">
        <w:rPr>
          <w:lang w:bidi="he-IL"/>
        </w:rPr>
        <w:t xml:space="preserve"> </w:t>
      </w:r>
      <w:r w:rsidR="00254D13">
        <w:rPr>
          <w:lang w:bidi="he-IL"/>
        </w:rPr>
        <w:t>Abimelek</w:t>
      </w:r>
      <w:r w:rsidR="0088304B">
        <w:rPr>
          <w:lang w:bidi="he-IL"/>
        </w:rPr>
        <w:t xml:space="preserve"> </w:t>
      </w:r>
      <w:r w:rsidR="00084153">
        <w:rPr>
          <w:lang w:bidi="he-IL"/>
        </w:rPr>
        <w:t xml:space="preserve">thus </w:t>
      </w:r>
      <w:r w:rsidR="0088304B">
        <w:rPr>
          <w:lang w:bidi="he-IL"/>
        </w:rPr>
        <w:t>begins by restating</w:t>
      </w:r>
      <w:r w:rsidR="00930EBF">
        <w:rPr>
          <w:lang w:bidi="he-IL"/>
        </w:rPr>
        <w:t xml:space="preserve"> </w:t>
      </w:r>
      <w:r w:rsidR="00254D13">
        <w:rPr>
          <w:lang w:bidi="he-IL"/>
        </w:rPr>
        <w:t xml:space="preserve">the second of </w:t>
      </w:r>
      <w:r w:rsidR="00930EBF">
        <w:rPr>
          <w:lang w:bidi="he-IL"/>
        </w:rPr>
        <w:t>his</w:t>
      </w:r>
      <w:r w:rsidR="00B27747">
        <w:rPr>
          <w:lang w:bidi="he-IL"/>
        </w:rPr>
        <w:t xml:space="preserve"> question</w:t>
      </w:r>
      <w:r w:rsidR="00254D13">
        <w:rPr>
          <w:lang w:bidi="he-IL"/>
        </w:rPr>
        <w:t>s</w:t>
      </w:r>
      <w:r w:rsidR="00B27747">
        <w:rPr>
          <w:lang w:bidi="he-IL"/>
        </w:rPr>
        <w:t xml:space="preserve"> in v. 9.</w:t>
      </w:r>
      <w:r w:rsidR="0088304B">
        <w:rPr>
          <w:lang w:bidi="he-IL"/>
        </w:rPr>
        <w:t xml:space="preserve"> </w:t>
      </w:r>
    </w:p>
    <w:p w14:paraId="5C9BCFE2" w14:textId="373381D6" w:rsidR="00EE378A" w:rsidRDefault="0088304B" w:rsidP="00F62D32">
      <w:pPr>
        <w:rPr>
          <w:lang w:bidi="he-IL"/>
        </w:rPr>
      </w:pPr>
      <w:r>
        <w:rPr>
          <w:lang w:bidi="he-IL"/>
        </w:rPr>
        <w:t>Abra</w:t>
      </w:r>
      <w:r w:rsidR="00930EBF">
        <w:rPr>
          <w:lang w:bidi="he-IL"/>
        </w:rPr>
        <w:t xml:space="preserve">ham’s initial response </w:t>
      </w:r>
      <w:r w:rsidR="00084153">
        <w:rPr>
          <w:lang w:bidi="he-IL"/>
        </w:rPr>
        <w:t xml:space="preserve">(vv. 11-12) </w:t>
      </w:r>
      <w:r w:rsidR="00930EBF">
        <w:rPr>
          <w:lang w:bidi="he-IL"/>
        </w:rPr>
        <w:t xml:space="preserve">has </w:t>
      </w:r>
      <w:r w:rsidR="00084153">
        <w:rPr>
          <w:lang w:bidi="he-IL"/>
        </w:rPr>
        <w:t xml:space="preserve">already </w:t>
      </w:r>
      <w:r>
        <w:rPr>
          <w:lang w:bidi="he-IL"/>
        </w:rPr>
        <w:t>been anticipatorily proved wrong by everythin</w:t>
      </w:r>
      <w:r w:rsidR="00075A45">
        <w:rPr>
          <w:lang w:bidi="he-IL"/>
        </w:rPr>
        <w:t xml:space="preserve">g that we have heard in vv. 3-8, while his fear parallels his fear in 12:11-12. </w:t>
      </w:r>
      <w:r w:rsidR="00DC135C">
        <w:rPr>
          <w:lang w:bidi="he-IL"/>
        </w:rPr>
        <w:t xml:space="preserve">His </w:t>
      </w:r>
      <w:r w:rsidR="00075A45">
        <w:rPr>
          <w:lang w:bidi="he-IL"/>
        </w:rPr>
        <w:t>then explains how he was being economical with the truth there and here. Fu</w:t>
      </w:r>
      <w:r w:rsidR="00DC135C">
        <w:rPr>
          <w:lang w:bidi="he-IL"/>
        </w:rPr>
        <w:t xml:space="preserve">rther irony issues from </w:t>
      </w:r>
      <w:r w:rsidR="00075A45">
        <w:rPr>
          <w:lang w:bidi="he-IL"/>
        </w:rPr>
        <w:t>this admiss</w:t>
      </w:r>
      <w:r w:rsidR="00A9246A">
        <w:rPr>
          <w:lang w:bidi="he-IL"/>
        </w:rPr>
        <w:t>ion</w:t>
      </w:r>
      <w:r w:rsidR="00DC135C">
        <w:rPr>
          <w:lang w:bidi="he-IL"/>
        </w:rPr>
        <w:t>’s following</w:t>
      </w:r>
      <w:r w:rsidR="00A9246A">
        <w:rPr>
          <w:lang w:bidi="he-IL"/>
        </w:rPr>
        <w:t xml:space="preserve"> on 19:30-38. </w:t>
      </w:r>
      <w:r w:rsidR="00DC135C">
        <w:rPr>
          <w:lang w:bidi="he-IL"/>
        </w:rPr>
        <w:t xml:space="preserve">Is he </w:t>
      </w:r>
      <w:r w:rsidR="009C2B2A">
        <w:rPr>
          <w:lang w:bidi="he-IL"/>
        </w:rPr>
        <w:t xml:space="preserve">as bad as Lot? While </w:t>
      </w:r>
      <w:r w:rsidR="00DC135C" w:rsidRPr="00DC135C">
        <w:rPr>
          <w:lang w:bidi="he-IL"/>
        </w:rPr>
        <w:t xml:space="preserve">the rules in the Torah </w:t>
      </w:r>
      <w:r w:rsidR="00DC135C">
        <w:rPr>
          <w:lang w:bidi="he-IL"/>
        </w:rPr>
        <w:t xml:space="preserve">will not mention </w:t>
      </w:r>
      <w:r w:rsidR="009C2B2A">
        <w:rPr>
          <w:lang w:bidi="he-IL"/>
        </w:rPr>
        <w:t>sex between a</w:t>
      </w:r>
      <w:r w:rsidR="009C2B2A" w:rsidRPr="009C2B2A">
        <w:rPr>
          <w:lang w:bidi="he-IL"/>
        </w:rPr>
        <w:t xml:space="preserve"> father </w:t>
      </w:r>
      <w:r w:rsidR="00DC135C">
        <w:rPr>
          <w:lang w:bidi="he-IL"/>
        </w:rPr>
        <w:t>and a daughter</w:t>
      </w:r>
      <w:r w:rsidR="009C2B2A">
        <w:rPr>
          <w:lang w:bidi="he-IL"/>
        </w:rPr>
        <w:t xml:space="preserve">, </w:t>
      </w:r>
      <w:r w:rsidR="00DC135C">
        <w:rPr>
          <w:lang w:bidi="he-IL"/>
        </w:rPr>
        <w:t xml:space="preserve">they will explicitly forbid </w:t>
      </w:r>
      <w:r w:rsidR="009C2B2A">
        <w:rPr>
          <w:lang w:bidi="he-IL"/>
        </w:rPr>
        <w:t>m</w:t>
      </w:r>
      <w:r w:rsidR="00075A45">
        <w:rPr>
          <w:lang w:bidi="he-IL"/>
        </w:rPr>
        <w:t>arrying your half-sister</w:t>
      </w:r>
      <w:r w:rsidR="00374C59">
        <w:rPr>
          <w:lang w:bidi="he-IL"/>
        </w:rPr>
        <w:t xml:space="preserve"> (Lev </w:t>
      </w:r>
      <w:r w:rsidR="00A511C9">
        <w:rPr>
          <w:lang w:bidi="he-IL"/>
        </w:rPr>
        <w:t xml:space="preserve">18:9, 11; </w:t>
      </w:r>
      <w:r w:rsidR="00374C59">
        <w:rPr>
          <w:lang w:bidi="he-IL"/>
        </w:rPr>
        <w:t>20:17)</w:t>
      </w:r>
      <w:r w:rsidR="00A9246A">
        <w:rPr>
          <w:lang w:bidi="he-IL"/>
        </w:rPr>
        <w:t>, though 2 Sam 13:13 implies that such ru</w:t>
      </w:r>
      <w:r w:rsidR="00DC135C">
        <w:rPr>
          <w:lang w:bidi="he-IL"/>
        </w:rPr>
        <w:t>les may have been more theory than</w:t>
      </w:r>
      <w:r w:rsidR="00A9246A">
        <w:rPr>
          <w:lang w:bidi="he-IL"/>
        </w:rPr>
        <w:t xml:space="preserve"> practice.</w:t>
      </w:r>
      <w:r w:rsidR="00727890">
        <w:rPr>
          <w:lang w:bidi="he-IL"/>
        </w:rPr>
        <w:t xml:space="preserve"> </w:t>
      </w:r>
    </w:p>
    <w:p w14:paraId="6083071D" w14:textId="345C47BB" w:rsidR="00490445" w:rsidRDefault="00882039" w:rsidP="00F62D32">
      <w:pPr>
        <w:rPr>
          <w:lang w:bidi="he-IL"/>
        </w:rPr>
      </w:pPr>
      <w:r>
        <w:rPr>
          <w:lang w:bidi="he-IL"/>
        </w:rPr>
        <w:t xml:space="preserve">Abraham’s description of being made to wander from Terah’s household </w:t>
      </w:r>
      <w:r w:rsidR="00EE378A">
        <w:rPr>
          <w:lang w:bidi="he-IL"/>
        </w:rPr>
        <w:t xml:space="preserve">(v. 13) </w:t>
      </w:r>
      <w:r>
        <w:rPr>
          <w:lang w:bidi="he-IL"/>
        </w:rPr>
        <w:t>sounds like an attempt to make excuses and blame God for the deception into which he was driven</w:t>
      </w:r>
      <w:r w:rsidR="00ED397A">
        <w:rPr>
          <w:lang w:bidi="he-IL"/>
        </w:rPr>
        <w:t xml:space="preserve"> (for the verb, cf. 21:14; also Ps 107:4)</w:t>
      </w:r>
      <w:r w:rsidR="00DC135C">
        <w:rPr>
          <w:lang w:bidi="he-IL"/>
        </w:rPr>
        <w:t>. Yet</w:t>
      </w:r>
      <w:r>
        <w:rPr>
          <w:lang w:bidi="he-IL"/>
        </w:rPr>
        <w:t xml:space="preserve"> his reference to the </w:t>
      </w:r>
      <w:r w:rsidR="003D56BA">
        <w:rPr>
          <w:lang w:bidi="he-IL"/>
        </w:rPr>
        <w:t>“</w:t>
      </w:r>
      <w:r>
        <w:rPr>
          <w:lang w:bidi="he-IL"/>
        </w:rPr>
        <w:t>commitment</w:t>
      </w:r>
      <w:r w:rsidR="003D56BA">
        <w:rPr>
          <w:lang w:bidi="he-IL"/>
        </w:rPr>
        <w:t>”</w:t>
      </w:r>
      <w:r>
        <w:rPr>
          <w:lang w:bidi="he-IL"/>
        </w:rPr>
        <w:t xml:space="preserve"> (</w:t>
      </w:r>
      <w:r>
        <w:rPr>
          <w:i/>
          <w:lang w:bidi="he-IL"/>
        </w:rPr>
        <w:t>ḥesed</w:t>
      </w:r>
      <w:r w:rsidR="00DC135C">
        <w:rPr>
          <w:lang w:bidi="he-IL"/>
        </w:rPr>
        <w:t xml:space="preserve">) he </w:t>
      </w:r>
      <w:r>
        <w:rPr>
          <w:lang w:bidi="he-IL"/>
        </w:rPr>
        <w:t>need</w:t>
      </w:r>
      <w:r w:rsidR="00DC135C">
        <w:rPr>
          <w:lang w:bidi="he-IL"/>
        </w:rPr>
        <w:t>ed</w:t>
      </w:r>
      <w:r w:rsidR="00084153">
        <w:rPr>
          <w:lang w:bidi="he-IL"/>
        </w:rPr>
        <w:t xml:space="preserve"> </w:t>
      </w:r>
      <w:r>
        <w:rPr>
          <w:lang w:bidi="he-IL"/>
        </w:rPr>
        <w:t>from Sarah does convey something of the ma</w:t>
      </w:r>
      <w:r w:rsidR="00084153">
        <w:rPr>
          <w:lang w:bidi="he-IL"/>
        </w:rPr>
        <w:t>gnitude of what he asked of her</w:t>
      </w:r>
      <w:r w:rsidR="00DC135C">
        <w:rPr>
          <w:lang w:bidi="he-IL"/>
        </w:rPr>
        <w:t>. T</w:t>
      </w:r>
      <w:r w:rsidR="002A1D06">
        <w:rPr>
          <w:lang w:bidi="he-IL"/>
        </w:rPr>
        <w:t>here is again more than one</w:t>
      </w:r>
      <w:r w:rsidR="00EE378A">
        <w:rPr>
          <w:lang w:bidi="he-IL"/>
        </w:rPr>
        <w:t xml:space="preserve"> irony in the wa</w:t>
      </w:r>
      <w:r w:rsidR="002A1D06">
        <w:rPr>
          <w:lang w:bidi="he-IL"/>
        </w:rPr>
        <w:t>y Abraham here picks up this</w:t>
      </w:r>
      <w:r w:rsidR="00EE378A">
        <w:rPr>
          <w:lang w:bidi="he-IL"/>
        </w:rPr>
        <w:t xml:space="preserve"> word</w:t>
      </w:r>
      <w:r w:rsidR="002A1D06">
        <w:rPr>
          <w:lang w:bidi="he-IL"/>
        </w:rPr>
        <w:t>,</w:t>
      </w:r>
      <w:r w:rsidR="00EE378A">
        <w:rPr>
          <w:lang w:bidi="he-IL"/>
        </w:rPr>
        <w:t xml:space="preserve"> which Lot </w:t>
      </w:r>
      <w:r w:rsidR="009C2B2A">
        <w:rPr>
          <w:lang w:bidi="he-IL"/>
        </w:rPr>
        <w:t xml:space="preserve">had </w:t>
      </w:r>
      <w:r w:rsidR="002A1D06">
        <w:rPr>
          <w:lang w:bidi="he-IL"/>
        </w:rPr>
        <w:t>introduced to the Scriptures</w:t>
      </w:r>
      <w:r w:rsidR="00084153">
        <w:rPr>
          <w:lang w:bidi="he-IL"/>
        </w:rPr>
        <w:t xml:space="preserve"> (19:19)</w:t>
      </w:r>
      <w:r w:rsidR="002A1D06">
        <w:rPr>
          <w:lang w:bidi="he-IL"/>
        </w:rPr>
        <w:t>.</w:t>
      </w:r>
      <w:r w:rsidR="00084153">
        <w:rPr>
          <w:rStyle w:val="FootnoteReference"/>
          <w:lang w:bidi="he-IL"/>
        </w:rPr>
        <w:footnoteReference w:id="551"/>
      </w:r>
      <w:r w:rsidR="002A1D06">
        <w:rPr>
          <w:lang w:bidi="he-IL"/>
        </w:rPr>
        <w:t xml:space="preserve"> Abraham</w:t>
      </w:r>
      <w:r w:rsidR="00EE378A">
        <w:rPr>
          <w:lang w:bidi="he-IL"/>
        </w:rPr>
        <w:t xml:space="preserve"> no</w:t>
      </w:r>
      <w:r w:rsidR="009C2B2A">
        <w:rPr>
          <w:lang w:bidi="he-IL"/>
        </w:rPr>
        <w:t>w tells us that he had asked Sarah</w:t>
      </w:r>
      <w:r w:rsidR="00EE378A">
        <w:rPr>
          <w:lang w:bidi="he-IL"/>
        </w:rPr>
        <w:t xml:space="preserve"> to show this commitment recurrently, from 12:11-12 onwards, which makes one ask whether the two occasions</w:t>
      </w:r>
      <w:r w:rsidR="009C2B2A">
        <w:rPr>
          <w:lang w:bidi="he-IL"/>
        </w:rPr>
        <w:t xml:space="preserve"> </w:t>
      </w:r>
      <w:r w:rsidR="00084153">
        <w:rPr>
          <w:lang w:bidi="he-IL"/>
        </w:rPr>
        <w:t xml:space="preserve">we know about are the only two. It </w:t>
      </w:r>
      <w:r w:rsidR="009C2B2A">
        <w:rPr>
          <w:lang w:bidi="he-IL"/>
        </w:rPr>
        <w:t xml:space="preserve">fits with the way </w:t>
      </w:r>
      <w:r w:rsidR="003D56BA">
        <w:rPr>
          <w:lang w:bidi="he-IL"/>
        </w:rPr>
        <w:t>“</w:t>
      </w:r>
      <w:r w:rsidR="009C2B2A">
        <w:rPr>
          <w:lang w:bidi="he-IL"/>
        </w:rPr>
        <w:t>m</w:t>
      </w:r>
      <w:r w:rsidR="00490445">
        <w:rPr>
          <w:lang w:bidi="he-IL"/>
        </w:rPr>
        <w:t xml:space="preserve">any nomadic peoples… use their women as a means of establishing relations </w:t>
      </w:r>
      <w:r w:rsidR="009C2B2A">
        <w:rPr>
          <w:lang w:bidi="he-IL"/>
        </w:rPr>
        <w:t xml:space="preserve">with the sedentary </w:t>
      </w:r>
      <w:r w:rsidR="009C2B2A">
        <w:rPr>
          <w:lang w:bidi="he-IL"/>
        </w:rPr>
        <w:lastRenderedPageBreak/>
        <w:t>population</w:t>
      </w:r>
      <w:r w:rsidR="003D56BA">
        <w:rPr>
          <w:lang w:bidi="he-IL"/>
        </w:rPr>
        <w:t>”</w:t>
      </w:r>
      <w:r w:rsidR="009C2B2A">
        <w:rPr>
          <w:lang w:bidi="he-IL"/>
        </w:rPr>
        <w:t>; t</w:t>
      </w:r>
      <w:r w:rsidR="00490445">
        <w:rPr>
          <w:lang w:bidi="he-IL"/>
        </w:rPr>
        <w:t>he stranger establishes a relationship with the people among whom he comes by offering his sister or daughter to them, but if he has to offer his wife, he has to present her as his sister.</w:t>
      </w:r>
      <w:r w:rsidR="00490445">
        <w:rPr>
          <w:rStyle w:val="FootnoteReference"/>
          <w:lang w:bidi="he-IL"/>
        </w:rPr>
        <w:footnoteReference w:id="552"/>
      </w:r>
      <w:r w:rsidR="009C2B2A">
        <w:rPr>
          <w:lang w:bidi="he-IL"/>
        </w:rPr>
        <w:t xml:space="preserve"> The yet further irony is that </w:t>
      </w:r>
      <w:r w:rsidR="009C2B2A" w:rsidRPr="009C2B2A">
        <w:rPr>
          <w:i/>
          <w:lang w:bidi="he-IL"/>
        </w:rPr>
        <w:t>ḥesed</w:t>
      </w:r>
      <w:r w:rsidR="00DC135C">
        <w:rPr>
          <w:lang w:bidi="he-IL"/>
        </w:rPr>
        <w:t xml:space="preserve"> has an Aramaic homonym denoting</w:t>
      </w:r>
      <w:r w:rsidR="00374C59">
        <w:rPr>
          <w:lang w:bidi="he-IL"/>
        </w:rPr>
        <w:t xml:space="preserve"> something as sham</w:t>
      </w:r>
      <w:r w:rsidR="00B40D95">
        <w:rPr>
          <w:lang w:bidi="he-IL"/>
        </w:rPr>
        <w:t>eful or disgraceful, and the single</w:t>
      </w:r>
      <w:r w:rsidR="00DC135C">
        <w:rPr>
          <w:lang w:bidi="he-IL"/>
        </w:rPr>
        <w:t xml:space="preserve"> occurrence in the First Testament come</w:t>
      </w:r>
      <w:r w:rsidR="00A511C9">
        <w:rPr>
          <w:lang w:bidi="he-IL"/>
        </w:rPr>
        <w:t xml:space="preserve">s </w:t>
      </w:r>
      <w:r w:rsidR="00DC135C">
        <w:rPr>
          <w:lang w:bidi="he-IL"/>
        </w:rPr>
        <w:t xml:space="preserve">in </w:t>
      </w:r>
      <w:r w:rsidR="00A511C9">
        <w:rPr>
          <w:lang w:bidi="he-IL"/>
        </w:rPr>
        <w:t>one of the rules forbidding marriage to a half-sister (Lev 20:17).</w:t>
      </w:r>
      <w:r w:rsidR="00467471">
        <w:rPr>
          <w:rStyle w:val="FootnoteReference"/>
          <w:lang w:bidi="he-IL"/>
        </w:rPr>
        <w:footnoteReference w:id="553"/>
      </w:r>
      <w:r w:rsidR="00B40D95">
        <w:rPr>
          <w:lang w:bidi="he-IL"/>
        </w:rPr>
        <w:t xml:space="preserve"> It’s as if Abraham is acknowledging that he got Sarah to undertake something shameful and disgraceful, if she is indeed his half-sister.</w:t>
      </w:r>
    </w:p>
    <w:p w14:paraId="1DB4C099" w14:textId="77777777" w:rsidR="00EE378A" w:rsidRPr="004E409B" w:rsidRDefault="00EE378A" w:rsidP="00F62D32">
      <w:pPr>
        <w:rPr>
          <w:b/>
          <w:lang w:bidi="he-IL"/>
        </w:rPr>
      </w:pPr>
      <w:r>
        <w:rPr>
          <w:b/>
          <w:lang w:bidi="he-IL"/>
        </w:rPr>
        <w:t>20:14-16</w:t>
      </w:r>
      <w:r w:rsidR="00F509D6">
        <w:rPr>
          <w:b/>
          <w:lang w:bidi="he-IL"/>
        </w:rPr>
        <w:t xml:space="preserve">. </w:t>
      </w:r>
      <w:proofErr w:type="gramStart"/>
      <w:r w:rsidR="00F509D6">
        <w:rPr>
          <w:lang w:bidi="he-IL"/>
        </w:rPr>
        <w:t>The</w:t>
      </w:r>
      <w:proofErr w:type="gramEnd"/>
      <w:r w:rsidR="00F509D6">
        <w:rPr>
          <w:lang w:bidi="he-IL"/>
        </w:rPr>
        <w:t xml:space="preserve"> sequence of events again overlaps with the one in 12:9—13:4. There Pharaoh showered gif</w:t>
      </w:r>
      <w:r w:rsidR="00B40D95">
        <w:rPr>
          <w:lang w:bidi="he-IL"/>
        </w:rPr>
        <w:t>ts on Abraham to win the hand of</w:t>
      </w:r>
      <w:r w:rsidR="00F509D6">
        <w:rPr>
          <w:lang w:bidi="he-IL"/>
        </w:rPr>
        <w:t xml:space="preserve"> his </w:t>
      </w:r>
      <w:r w:rsidR="003D56BA">
        <w:rPr>
          <w:lang w:bidi="he-IL"/>
        </w:rPr>
        <w:t>“</w:t>
      </w:r>
      <w:r w:rsidR="00F509D6">
        <w:rPr>
          <w:lang w:bidi="he-IL"/>
        </w:rPr>
        <w:t>si</w:t>
      </w:r>
      <w:r w:rsidR="00B40D95">
        <w:rPr>
          <w:lang w:bidi="he-IL"/>
        </w:rPr>
        <w:t>ster</w:t>
      </w:r>
      <w:r w:rsidR="003D56BA">
        <w:rPr>
          <w:lang w:bidi="he-IL"/>
        </w:rPr>
        <w:t>”</w:t>
      </w:r>
      <w:r w:rsidR="00B40D95">
        <w:rPr>
          <w:lang w:bidi="he-IL"/>
        </w:rPr>
        <w:t xml:space="preserve">; here Abimelek </w:t>
      </w:r>
      <w:r w:rsidR="00F509D6">
        <w:rPr>
          <w:lang w:bidi="he-IL"/>
        </w:rPr>
        <w:t>showers th</w:t>
      </w:r>
      <w:r w:rsidR="00B40D95">
        <w:rPr>
          <w:lang w:bidi="he-IL"/>
        </w:rPr>
        <w:t xml:space="preserve">e same gifts on Abraham, minus </w:t>
      </w:r>
      <w:r w:rsidR="00F509D6">
        <w:rPr>
          <w:lang w:bidi="he-IL"/>
        </w:rPr>
        <w:t>donke</w:t>
      </w:r>
      <w:r w:rsidR="00B40D95">
        <w:rPr>
          <w:lang w:bidi="he-IL"/>
        </w:rPr>
        <w:t>ys and</w:t>
      </w:r>
      <w:r w:rsidR="00F509D6">
        <w:rPr>
          <w:lang w:bidi="he-IL"/>
        </w:rPr>
        <w:t xml:space="preserve"> camels. </w:t>
      </w:r>
      <w:r w:rsidR="004E409B">
        <w:rPr>
          <w:lang w:bidi="he-IL"/>
        </w:rPr>
        <w:t xml:space="preserve">Abraham is in the </w:t>
      </w:r>
      <w:r w:rsidR="00B40D95">
        <w:rPr>
          <w:lang w:bidi="he-IL"/>
        </w:rPr>
        <w:t xml:space="preserve">one who is in the </w:t>
      </w:r>
      <w:r w:rsidR="004E409B">
        <w:rPr>
          <w:lang w:bidi="he-IL"/>
        </w:rPr>
        <w:t>wrong; Abimelek is the one who makes amends.</w:t>
      </w:r>
    </w:p>
    <w:p w14:paraId="3A4D77FD" w14:textId="77777777" w:rsidR="00307558" w:rsidRDefault="00F509D6" w:rsidP="00F62D32">
      <w:pPr>
        <w:rPr>
          <w:lang w:bidi="he-IL"/>
        </w:rPr>
      </w:pPr>
      <w:r w:rsidRPr="004E409B">
        <w:rPr>
          <w:lang w:bidi="he-IL"/>
        </w:rPr>
        <w:t>Further (v. 15), whereas Pharaoh had revoked Abraham’s re</w:t>
      </w:r>
      <w:r>
        <w:rPr>
          <w:lang w:bidi="he-IL"/>
        </w:rPr>
        <w:t xml:space="preserve">sidence permit, Abimelek continues to demonstrate what a faithful man he is </w:t>
      </w:r>
      <w:r w:rsidR="00A9246A">
        <w:rPr>
          <w:lang w:bidi="he-IL"/>
        </w:rPr>
        <w:t xml:space="preserve">by encouraging Abraham to stay and </w:t>
      </w:r>
      <w:r w:rsidR="00B40D95">
        <w:rPr>
          <w:lang w:bidi="he-IL"/>
        </w:rPr>
        <w:t xml:space="preserve">to </w:t>
      </w:r>
      <w:r w:rsidR="00A9246A">
        <w:rPr>
          <w:lang w:bidi="he-IL"/>
        </w:rPr>
        <w:t xml:space="preserve">live in Gerar, and not merely </w:t>
      </w:r>
      <w:r w:rsidR="00B40D95">
        <w:rPr>
          <w:lang w:bidi="he-IL"/>
        </w:rPr>
        <w:t xml:space="preserve">to </w:t>
      </w:r>
      <w:r w:rsidR="00A9246A">
        <w:rPr>
          <w:lang w:bidi="he-IL"/>
        </w:rPr>
        <w:t>be a resident alien.</w:t>
      </w:r>
    </w:p>
    <w:p w14:paraId="4900E68C" w14:textId="77ED4E05" w:rsidR="00343AA9" w:rsidRDefault="00B40D95" w:rsidP="00F62D32">
      <w:pPr>
        <w:rPr>
          <w:lang w:bidi="he-IL"/>
        </w:rPr>
      </w:pPr>
      <w:r>
        <w:rPr>
          <w:lang w:bidi="he-IL"/>
        </w:rPr>
        <w:t xml:space="preserve">His additional </w:t>
      </w:r>
      <w:r w:rsidR="00307558">
        <w:rPr>
          <w:lang w:bidi="he-IL"/>
        </w:rPr>
        <w:t xml:space="preserve">gift of </w:t>
      </w:r>
      <w:r w:rsidR="004E409B">
        <w:rPr>
          <w:lang w:bidi="he-IL"/>
        </w:rPr>
        <w:t xml:space="preserve">a huge amount of </w:t>
      </w:r>
      <w:r w:rsidR="00307558">
        <w:rPr>
          <w:lang w:bidi="he-IL"/>
        </w:rPr>
        <w:t xml:space="preserve">silver, </w:t>
      </w:r>
      <w:r w:rsidR="00F509D6">
        <w:rPr>
          <w:lang w:bidi="he-IL"/>
        </w:rPr>
        <w:t>the equivalent of cash</w:t>
      </w:r>
      <w:r w:rsidR="00307558">
        <w:rPr>
          <w:lang w:bidi="he-IL"/>
        </w:rPr>
        <w:t xml:space="preserve"> (v. 16),</w:t>
      </w:r>
      <w:r w:rsidR="00F509D6">
        <w:rPr>
          <w:lang w:bidi="he-IL"/>
        </w:rPr>
        <w:t xml:space="preserve"> extends the implicit correspondence with the earlier story: see 13:2. </w:t>
      </w:r>
      <w:r w:rsidR="008B0A87">
        <w:rPr>
          <w:lang w:bidi="he-IL"/>
        </w:rPr>
        <w:t>The 1000</w:t>
      </w:r>
      <w:r>
        <w:rPr>
          <w:lang w:bidi="he-IL"/>
        </w:rPr>
        <w:t xml:space="preserve"> </w:t>
      </w:r>
      <w:r w:rsidR="00EE1912">
        <w:rPr>
          <w:lang w:bidi="he-IL"/>
        </w:rPr>
        <w:t>silver pieces compare</w:t>
      </w:r>
      <w:r w:rsidR="0090231D">
        <w:rPr>
          <w:lang w:bidi="he-IL"/>
        </w:rPr>
        <w:t xml:space="preserve"> with the twenty</w:t>
      </w:r>
      <w:r>
        <w:rPr>
          <w:lang w:bidi="he-IL"/>
        </w:rPr>
        <w:t xml:space="preserve"> for which Jos</w:t>
      </w:r>
      <w:r w:rsidR="00EE1912">
        <w:rPr>
          <w:lang w:bidi="he-IL"/>
        </w:rPr>
        <w:t>eph’s br</w:t>
      </w:r>
      <w:r w:rsidR="0090231D">
        <w:rPr>
          <w:lang w:bidi="he-IL"/>
        </w:rPr>
        <w:t>others sold him (37:28), the fifteen</w:t>
      </w:r>
      <w:r w:rsidR="00EE1912">
        <w:rPr>
          <w:lang w:bidi="he-IL"/>
        </w:rPr>
        <w:t xml:space="preserve"> that Hosea p</w:t>
      </w:r>
      <w:r w:rsidR="009D2F78">
        <w:rPr>
          <w:lang w:bidi="he-IL"/>
        </w:rPr>
        <w:t>aid for his wife (Hos 3</w:t>
      </w:r>
      <w:r w:rsidR="008B0A87">
        <w:rPr>
          <w:lang w:bidi="he-IL"/>
        </w:rPr>
        <w:t xml:space="preserve">:2), </w:t>
      </w:r>
      <w:r w:rsidR="009D2F78">
        <w:rPr>
          <w:lang w:bidi="he-IL"/>
        </w:rPr>
        <w:t xml:space="preserve">the ten sheqels per year that Micah paid his Levite (Judg 17), </w:t>
      </w:r>
      <w:r w:rsidR="008B0A87">
        <w:rPr>
          <w:lang w:bidi="he-IL"/>
        </w:rPr>
        <w:t xml:space="preserve">and </w:t>
      </w:r>
      <w:r w:rsidR="00084153">
        <w:rPr>
          <w:lang w:bidi="he-IL"/>
        </w:rPr>
        <w:t xml:space="preserve">the </w:t>
      </w:r>
      <w:r w:rsidR="0090231D">
        <w:rPr>
          <w:lang w:bidi="he-IL"/>
        </w:rPr>
        <w:t>four hundred</w:t>
      </w:r>
      <w:r w:rsidR="008B0A87">
        <w:rPr>
          <w:lang w:bidi="he-IL"/>
        </w:rPr>
        <w:t xml:space="preserve"> </w:t>
      </w:r>
      <w:r w:rsidR="009D2F78">
        <w:rPr>
          <w:lang w:bidi="he-IL"/>
        </w:rPr>
        <w:t xml:space="preserve">sheqels </w:t>
      </w:r>
      <w:r w:rsidR="00084153">
        <w:rPr>
          <w:lang w:bidi="he-IL"/>
        </w:rPr>
        <w:t xml:space="preserve">that </w:t>
      </w:r>
      <w:r w:rsidR="008B0A87">
        <w:rPr>
          <w:lang w:bidi="he-IL"/>
        </w:rPr>
        <w:t>Abraham is about to pay for a burial cave (Gen 23)</w:t>
      </w:r>
      <w:r w:rsidR="00EE1912">
        <w:rPr>
          <w:lang w:bidi="he-IL"/>
        </w:rPr>
        <w:t>.</w:t>
      </w:r>
      <w:r w:rsidR="009D2F78">
        <w:rPr>
          <w:rStyle w:val="FootnoteReference"/>
          <w:lang w:bidi="he-IL"/>
        </w:rPr>
        <w:footnoteReference w:id="554"/>
      </w:r>
      <w:r w:rsidR="00EE1912">
        <w:rPr>
          <w:lang w:bidi="he-IL"/>
        </w:rPr>
        <w:t xml:space="preserve"> T</w:t>
      </w:r>
      <w:r w:rsidR="008B0A87">
        <w:rPr>
          <w:lang w:bidi="he-IL"/>
        </w:rPr>
        <w:t xml:space="preserve">he gift constitutes a </w:t>
      </w:r>
      <w:r w:rsidR="00307558">
        <w:rPr>
          <w:lang w:bidi="he-IL"/>
        </w:rPr>
        <w:t xml:space="preserve">public compensation either for taking Sarah into his harem when she was already married or for dismissing her from it in a way that could suggest that she was somehow at fault or unsatisfactory. </w:t>
      </w:r>
      <w:r w:rsidR="00EE1912">
        <w:rPr>
          <w:lang w:bidi="he-IL"/>
        </w:rPr>
        <w:t>It means that p</w:t>
      </w:r>
      <w:r w:rsidR="007B19E7">
        <w:rPr>
          <w:lang w:bidi="he-IL"/>
        </w:rPr>
        <w:t>eople will no longer look down on Sarah and her staff.</w:t>
      </w:r>
      <w:r w:rsidR="00EE1912">
        <w:rPr>
          <w:lang w:bidi="he-IL"/>
        </w:rPr>
        <w:t xml:space="preserve"> </w:t>
      </w:r>
      <w:r w:rsidR="00343AA9">
        <w:rPr>
          <w:lang w:bidi="he-IL"/>
        </w:rPr>
        <w:t xml:space="preserve">The expression </w:t>
      </w:r>
      <w:r w:rsidR="003D56BA">
        <w:rPr>
          <w:lang w:bidi="he-IL"/>
        </w:rPr>
        <w:t>“</w:t>
      </w:r>
      <w:r w:rsidR="00343AA9">
        <w:rPr>
          <w:lang w:bidi="he-IL"/>
        </w:rPr>
        <w:t>covering ove</w:t>
      </w:r>
      <w:r w:rsidR="005805B4">
        <w:rPr>
          <w:lang w:bidi="he-IL"/>
        </w:rPr>
        <w:t>r the eyes</w:t>
      </w:r>
      <w:r w:rsidR="003D56BA">
        <w:rPr>
          <w:lang w:bidi="he-IL"/>
        </w:rPr>
        <w:t>”</w:t>
      </w:r>
      <w:r w:rsidR="005805B4">
        <w:rPr>
          <w:lang w:bidi="he-IL"/>
        </w:rPr>
        <w:t xml:space="preserve"> involves catachresis. One would usually speak</w:t>
      </w:r>
      <w:r w:rsidR="00343AA9">
        <w:rPr>
          <w:lang w:bidi="he-IL"/>
        </w:rPr>
        <w:t xml:space="preserve"> of</w:t>
      </w:r>
      <w:r w:rsidR="005805B4">
        <w:rPr>
          <w:lang w:bidi="he-IL"/>
        </w:rPr>
        <w:t xml:space="preserve"> covering wrongdoing or shame</w:t>
      </w:r>
      <w:r w:rsidR="00F1762D">
        <w:rPr>
          <w:lang w:bidi="he-IL"/>
        </w:rPr>
        <w:t xml:space="preserve"> </w:t>
      </w:r>
      <w:r w:rsidR="00F1762D" w:rsidRPr="00F1762D">
        <w:rPr>
          <w:lang w:bidi="he-IL"/>
        </w:rPr>
        <w:t>so that the eyes cannot see it</w:t>
      </w:r>
      <w:r w:rsidR="005805B4">
        <w:rPr>
          <w:lang w:bidi="he-IL"/>
        </w:rPr>
        <w:t xml:space="preserve"> (e.g., Ps 32:1; Prov 12:16), or of shame covering someone (e.g., Obad 10; Mic 7:10).</w:t>
      </w:r>
      <w:r w:rsidR="00F1762D">
        <w:rPr>
          <w:lang w:bidi="he-IL"/>
        </w:rPr>
        <w:t xml:space="preserve"> Abimelek </w:t>
      </w:r>
      <w:r w:rsidR="00EE1912">
        <w:rPr>
          <w:lang w:bidi="he-IL"/>
        </w:rPr>
        <w:t>will cover the implicit shame he has brought on Sarah; no one will be able to see it.</w:t>
      </w:r>
      <w:r w:rsidR="00957D6A">
        <w:rPr>
          <w:rStyle w:val="FootnoteReference"/>
          <w:lang w:bidi="he-IL"/>
        </w:rPr>
        <w:footnoteReference w:id="555"/>
      </w:r>
      <w:r w:rsidR="00EE1912">
        <w:rPr>
          <w:lang w:bidi="he-IL"/>
        </w:rPr>
        <w:t xml:space="preserve"> He still calls Abraham his brother, which perhaps also contributes to </w:t>
      </w:r>
      <w:r w:rsidR="00863213">
        <w:rPr>
          <w:lang w:bidi="he-IL"/>
        </w:rPr>
        <w:t>the avoidance of any sense that shame attaches to Sarah.</w:t>
      </w:r>
    </w:p>
    <w:p w14:paraId="4BB8E47A" w14:textId="2105505C" w:rsidR="00425E22" w:rsidRDefault="00307558" w:rsidP="00927C4A">
      <w:pPr>
        <w:rPr>
          <w:lang w:bidi="he-IL"/>
        </w:rPr>
      </w:pPr>
      <w:r>
        <w:rPr>
          <w:b/>
          <w:lang w:bidi="he-IL"/>
        </w:rPr>
        <w:t xml:space="preserve">20:17-18. </w:t>
      </w:r>
      <w:proofErr w:type="gramStart"/>
      <w:r>
        <w:rPr>
          <w:lang w:bidi="he-IL"/>
        </w:rPr>
        <w:t>T</w:t>
      </w:r>
      <w:r w:rsidR="00863213">
        <w:rPr>
          <w:lang w:bidi="he-IL"/>
        </w:rPr>
        <w:t>he</w:t>
      </w:r>
      <w:proofErr w:type="gramEnd"/>
      <w:r w:rsidR="00863213">
        <w:rPr>
          <w:lang w:bidi="he-IL"/>
        </w:rPr>
        <w:t xml:space="preserve"> story closes with the </w:t>
      </w:r>
      <w:r w:rsidR="00425E22">
        <w:rPr>
          <w:lang w:bidi="he-IL"/>
        </w:rPr>
        <w:t>intercession that</w:t>
      </w:r>
      <w:r>
        <w:rPr>
          <w:lang w:bidi="he-IL"/>
        </w:rPr>
        <w:t xml:space="preserve"> has been in prospect but has not happened, and </w:t>
      </w:r>
      <w:r w:rsidR="00863213">
        <w:rPr>
          <w:lang w:bidi="he-IL"/>
        </w:rPr>
        <w:t xml:space="preserve">with </w:t>
      </w:r>
      <w:r>
        <w:rPr>
          <w:lang w:bidi="he-IL"/>
        </w:rPr>
        <w:t>the explanation of why it is needed which has been presupposed but not made explicit.</w:t>
      </w:r>
      <w:r w:rsidR="001358ED">
        <w:rPr>
          <w:lang w:bidi="he-IL"/>
        </w:rPr>
        <w:t xml:space="preserve"> God had spoken of action then prayer, which is the sequence here. It is when Abimelek has put things right that Abraham can pray for his healing.</w:t>
      </w:r>
      <w:r w:rsidR="00F1762D">
        <w:rPr>
          <w:lang w:bidi="he-IL"/>
        </w:rPr>
        <w:t xml:space="preserve"> So the innocent Abimelek </w:t>
      </w:r>
      <w:r w:rsidR="00F1762D" w:rsidRPr="00F1762D">
        <w:rPr>
          <w:lang w:bidi="he-IL"/>
        </w:rPr>
        <w:t>has to get the guilty Abraham to pray for him. “How complicated are the theological ideas that the narrative thus suggests!”</w:t>
      </w:r>
      <w:r w:rsidR="00F1762D" w:rsidRPr="00F1762D">
        <w:rPr>
          <w:vertAlign w:val="superscript"/>
          <w:lang w:bidi="he-IL"/>
        </w:rPr>
        <w:footnoteReference w:id="556"/>
      </w:r>
      <w:r w:rsidR="00F1762D" w:rsidRPr="00F1762D">
        <w:rPr>
          <w:lang w:bidi="he-IL"/>
        </w:rPr>
        <w:t xml:space="preserve"> What do you do if you lead someone into a moral mess? Re</w:t>
      </w:r>
      <w:r w:rsidR="00425E22">
        <w:rPr>
          <w:lang w:bidi="he-IL"/>
        </w:rPr>
        <w:t>member that God cares about him and</w:t>
      </w:r>
      <w:r w:rsidR="00F1762D" w:rsidRPr="00F1762D">
        <w:rPr>
          <w:lang w:bidi="he-IL"/>
        </w:rPr>
        <w:t xml:space="preserve"> be prepared to pray for him. </w:t>
      </w:r>
      <w:r w:rsidR="00927C4A">
        <w:rPr>
          <w:lang w:bidi="he-IL"/>
        </w:rPr>
        <w:t>Abraham’s prayer is the first explicit interce</w:t>
      </w:r>
      <w:r w:rsidR="00F1762D">
        <w:rPr>
          <w:lang w:bidi="he-IL"/>
        </w:rPr>
        <w:t xml:space="preserve">ssory prayer in the Scriptures, </w:t>
      </w:r>
      <w:r w:rsidR="00927C4A">
        <w:rPr>
          <w:lang w:bidi="he-IL"/>
        </w:rPr>
        <w:t>if we discount 18:23-32. “When our father, Abraham, prayed in this way, the knot was untied” and pe</w:t>
      </w:r>
      <w:r w:rsidR="00425E22">
        <w:rPr>
          <w:lang w:bidi="he-IL"/>
        </w:rPr>
        <w:t>ople could pray for one another (</w:t>
      </w:r>
      <w:r w:rsidR="00425E22">
        <w:rPr>
          <w:i/>
        </w:rPr>
        <w:t>GenR</w:t>
      </w:r>
      <w:r w:rsidR="00425E22">
        <w:t xml:space="preserve"> 52:13).</w:t>
      </w:r>
      <w:r w:rsidR="00927C4A">
        <w:rPr>
          <w:lang w:bidi="he-IL"/>
        </w:rPr>
        <w:t xml:space="preserve"> Intercession thus makes a difference. God sometimes acts in response to intercession and does </w:t>
      </w:r>
      <w:r w:rsidR="00F1762D">
        <w:rPr>
          <w:lang w:bidi="he-IL"/>
        </w:rPr>
        <w:t xml:space="preserve">things that he would </w:t>
      </w:r>
      <w:r w:rsidR="00927C4A">
        <w:rPr>
          <w:lang w:bidi="he-IL"/>
        </w:rPr>
        <w:t>otherwise not do. Yet in this case, at least, it is God who commissions the intercession</w:t>
      </w:r>
      <w:r w:rsidR="00F1762D">
        <w:rPr>
          <w:lang w:bidi="he-IL"/>
        </w:rPr>
        <w:t xml:space="preserve">, which makes for an overlap with </w:t>
      </w:r>
      <w:r w:rsidR="00F1762D" w:rsidRPr="00F1762D">
        <w:rPr>
          <w:lang w:bidi="he-IL"/>
        </w:rPr>
        <w:t>18:23-32</w:t>
      </w:r>
      <w:r w:rsidR="00F1762D">
        <w:rPr>
          <w:lang w:bidi="he-IL"/>
        </w:rPr>
        <w:t xml:space="preserve">. Intercession is </w:t>
      </w:r>
      <w:r w:rsidR="00927C4A">
        <w:rPr>
          <w:lang w:bidi="he-IL"/>
        </w:rPr>
        <w:t>an aspect of the wa</w:t>
      </w:r>
      <w:r w:rsidR="00425E22">
        <w:rPr>
          <w:lang w:bidi="he-IL"/>
        </w:rPr>
        <w:t xml:space="preserve">y he involves his people in working out </w:t>
      </w:r>
      <w:r w:rsidR="00927C4A">
        <w:rPr>
          <w:lang w:bidi="he-IL"/>
        </w:rPr>
        <w:t>his purpose in the world, or a way of letting them be a means of brin</w:t>
      </w:r>
      <w:r w:rsidR="00F1762D">
        <w:rPr>
          <w:lang w:bidi="he-IL"/>
        </w:rPr>
        <w:t>g</w:t>
      </w:r>
      <w:r w:rsidR="00927C4A">
        <w:rPr>
          <w:lang w:bidi="he-IL"/>
        </w:rPr>
        <w:t>ing blessing in the wor</w:t>
      </w:r>
      <w:r w:rsidR="00F1762D">
        <w:rPr>
          <w:lang w:bidi="he-IL"/>
        </w:rPr>
        <w:t xml:space="preserve">ld. </w:t>
      </w:r>
    </w:p>
    <w:p w14:paraId="42996732" w14:textId="084B4C40" w:rsidR="00927C4A" w:rsidRDefault="00927C4A" w:rsidP="00927C4A">
      <w:r>
        <w:t xml:space="preserve">In due course Jesus will come and the blessing will come more systematically to the Gentile world. </w:t>
      </w:r>
    </w:p>
    <w:p w14:paraId="1218B6F1" w14:textId="77777777" w:rsidR="00927C4A" w:rsidRDefault="00927C4A" w:rsidP="00927C4A">
      <w:pPr>
        <w:pStyle w:val="ListParagraph"/>
        <w:ind w:left="720" w:firstLine="0"/>
      </w:pPr>
    </w:p>
    <w:p w14:paraId="592F03DB" w14:textId="77777777" w:rsidR="00927C4A" w:rsidRPr="00927C4A" w:rsidRDefault="00927C4A" w:rsidP="00927C4A">
      <w:pPr>
        <w:pStyle w:val="Quote"/>
      </w:pPr>
      <w:r w:rsidRPr="00927C4A">
        <w:lastRenderedPageBreak/>
        <w:t xml:space="preserve">At that time, therefore, both the house of Abimelech and his handmaids whom the Lord healed, will bear sons of the Church. For this is the time in which “the barren” will bear, and in which “many are the children of the desolate, more than of her who has a husband.” For the Lord opened the womb of the barren and made it fruitful, so that she bears a nation “all at once.” But also the saints cry out and say: “Lord, from fear of you we have conceived in the womb and given birth; </w:t>
      </w:r>
      <w:proofErr w:type="gramStart"/>
      <w:r w:rsidRPr="00927C4A">
        <w:t>we</w:t>
      </w:r>
      <w:proofErr w:type="gramEnd"/>
      <w:r w:rsidRPr="00927C4A">
        <w:t xml:space="preserve"> have produced the spirits of your salvation on the earth.” Whence also Paul likewise says, “My little children, of whom I am in labor again, until Christ be formed in you.''</w:t>
      </w:r>
      <w:r w:rsidRPr="00927C4A">
        <w:rPr>
          <w:rStyle w:val="FootnoteReference"/>
        </w:rPr>
        <w:footnoteReference w:id="557"/>
      </w:r>
    </w:p>
    <w:p w14:paraId="7BB3CD42" w14:textId="77777777" w:rsidR="00927C4A" w:rsidRDefault="00927C4A" w:rsidP="009B43FD">
      <w:pPr>
        <w:rPr>
          <w:lang w:bidi="he-IL"/>
        </w:rPr>
      </w:pPr>
    </w:p>
    <w:p w14:paraId="3BD661FA" w14:textId="77777777" w:rsidR="009B43FD" w:rsidRPr="009B43FD" w:rsidRDefault="009B43FD" w:rsidP="009B43FD">
      <w:pPr>
        <w:rPr>
          <w:lang w:bidi="he-IL"/>
        </w:rPr>
      </w:pPr>
      <w:r w:rsidRPr="009B43FD">
        <w:rPr>
          <w:lang w:bidi="he-IL"/>
        </w:rPr>
        <w:t>At least there’s no doubt about Isaac’s paternity</w:t>
      </w:r>
      <w:r w:rsidR="00863213">
        <w:rPr>
          <w:lang w:bidi="he-IL"/>
        </w:rPr>
        <w:t xml:space="preserve"> (v. 18).</w:t>
      </w:r>
    </w:p>
    <w:p w14:paraId="2A79772F" w14:textId="77777777" w:rsidR="008C0B9A" w:rsidRDefault="008C0B9A">
      <w:pPr>
        <w:spacing w:after="200" w:line="276" w:lineRule="auto"/>
        <w:ind w:firstLine="0"/>
        <w:rPr>
          <w:lang w:bidi="he-IL"/>
        </w:rPr>
      </w:pPr>
      <w:r>
        <w:rPr>
          <w:lang w:bidi="he-IL"/>
        </w:rPr>
        <w:br w:type="page"/>
      </w:r>
    </w:p>
    <w:p w14:paraId="10DE04DE" w14:textId="77777777" w:rsidR="008C0B9A" w:rsidRDefault="008C0B9A" w:rsidP="008C0B9A">
      <w:pPr>
        <w:pStyle w:val="Heading1"/>
        <w:rPr>
          <w:lang w:bidi="he-IL"/>
        </w:rPr>
      </w:pPr>
      <w:r>
        <w:rPr>
          <w:lang w:bidi="he-IL"/>
        </w:rPr>
        <w:lastRenderedPageBreak/>
        <w:t>Genesis 21:1-21—</w:t>
      </w:r>
      <w:r w:rsidR="00B71FFF">
        <w:rPr>
          <w:lang w:bidi="he-IL"/>
        </w:rPr>
        <w:t>Abraham and His Son (1)</w:t>
      </w:r>
    </w:p>
    <w:p w14:paraId="306D745E" w14:textId="77777777" w:rsidR="00965281" w:rsidRDefault="00965281" w:rsidP="008C0B9A">
      <w:pPr>
        <w:rPr>
          <w:lang w:bidi="he-IL"/>
        </w:rPr>
      </w:pPr>
    </w:p>
    <w:p w14:paraId="72160B11" w14:textId="77777777" w:rsidR="00141055" w:rsidRPr="00DA695A" w:rsidRDefault="00141055" w:rsidP="00141055">
      <w:pPr>
        <w:pStyle w:val="Heading2"/>
        <w:rPr>
          <w:lang w:bidi="he-IL"/>
        </w:rPr>
      </w:pPr>
      <w:r>
        <w:rPr>
          <w:lang w:bidi="he-IL"/>
        </w:rPr>
        <w:t>Overview</w:t>
      </w:r>
    </w:p>
    <w:p w14:paraId="52B391F9" w14:textId="13F8982C" w:rsidR="00D47183" w:rsidRDefault="00965281" w:rsidP="008C0B9A">
      <w:pPr>
        <w:rPr>
          <w:lang w:bidi="he-IL"/>
        </w:rPr>
      </w:pPr>
      <w:r>
        <w:rPr>
          <w:lang w:bidi="he-IL"/>
        </w:rPr>
        <w:t xml:space="preserve">At last Sarah gets pregnant and has her son, though this </w:t>
      </w:r>
      <w:r w:rsidR="00D47183">
        <w:rPr>
          <w:lang w:bidi="he-IL"/>
        </w:rPr>
        <w:t>raises the question of the rela</w:t>
      </w:r>
      <w:r w:rsidR="009150B5">
        <w:rPr>
          <w:lang w:bidi="he-IL"/>
        </w:rPr>
        <w:t>tive status of Abraham’s two sons</w:t>
      </w:r>
      <w:r w:rsidR="00D47183">
        <w:rPr>
          <w:lang w:bidi="he-IL"/>
        </w:rPr>
        <w:t>.</w:t>
      </w:r>
      <w:r w:rsidR="00727890">
        <w:rPr>
          <w:lang w:bidi="he-IL"/>
        </w:rPr>
        <w:t xml:space="preserve"> </w:t>
      </w:r>
      <w:r w:rsidR="00D47183">
        <w:rPr>
          <w:lang w:bidi="he-IL"/>
        </w:rPr>
        <w:t>In a sense we know the answer t</w:t>
      </w:r>
      <w:r w:rsidR="0009086C">
        <w:rPr>
          <w:lang w:bidi="he-IL"/>
        </w:rPr>
        <w:t>o the question (17:19-21). How will the</w:t>
      </w:r>
      <w:r w:rsidR="00D47183">
        <w:rPr>
          <w:lang w:bidi="he-IL"/>
        </w:rPr>
        <w:t xml:space="preserve"> divine intention be worked out? Sarah</w:t>
      </w:r>
      <w:r w:rsidR="009150B5">
        <w:rPr>
          <w:lang w:bidi="he-IL"/>
        </w:rPr>
        <w:t xml:space="preserve"> unwittingly opens up the possibility. But h</w:t>
      </w:r>
      <w:r w:rsidR="00D47183">
        <w:rPr>
          <w:lang w:bidi="he-IL"/>
        </w:rPr>
        <w:t>er action also necessitates God’s further intervention to save the life of Abraham’s firstborn</w:t>
      </w:r>
      <w:r w:rsidR="009150B5">
        <w:rPr>
          <w:lang w:bidi="he-IL"/>
        </w:rPr>
        <w:t>.</w:t>
      </w:r>
      <w:r w:rsidR="00727890">
        <w:rPr>
          <w:lang w:bidi="he-IL"/>
        </w:rPr>
        <w:t xml:space="preserve"> </w:t>
      </w:r>
      <w:r w:rsidR="0009086C">
        <w:rPr>
          <w:lang w:bidi="he-IL"/>
        </w:rPr>
        <w:t>The way is also now open for Ishmael</w:t>
      </w:r>
      <w:r w:rsidR="009150B5">
        <w:rPr>
          <w:lang w:bidi="he-IL"/>
        </w:rPr>
        <w:t xml:space="preserve"> to grow towards the destiny God had announced for him, but to do so in a way that distances him definitively from the life of Abraham’s family and leaves Isaac without rival as the means of God fulfilling his promises regarding Abraham’s line.</w:t>
      </w:r>
    </w:p>
    <w:p w14:paraId="4DF3CE9B" w14:textId="77777777" w:rsidR="008C0B9A" w:rsidRPr="00495304" w:rsidRDefault="008C0B9A" w:rsidP="009150B5">
      <w:pPr>
        <w:pStyle w:val="Heading2"/>
        <w:tabs>
          <w:tab w:val="left" w:pos="6690"/>
        </w:tabs>
        <w:rPr>
          <w:vertAlign w:val="superscript"/>
          <w:lang w:bidi="he-IL"/>
        </w:rPr>
      </w:pPr>
      <w:r w:rsidRPr="00DA695A">
        <w:rPr>
          <w:lang w:bidi="he-IL"/>
        </w:rPr>
        <w:t>Translation</w:t>
      </w:r>
      <w:r w:rsidR="009150B5">
        <w:rPr>
          <w:lang w:bidi="he-IL"/>
        </w:rPr>
        <w:tab/>
      </w:r>
    </w:p>
    <w:p w14:paraId="1D49DF49" w14:textId="74B095DB" w:rsidR="00E23BEC" w:rsidRDefault="008C0B9A" w:rsidP="008C0B9A">
      <w:pPr>
        <w:rPr>
          <w:rFonts w:ascii="Calibri" w:eastAsia="Times New Roman" w:hAnsi="Calibri" w:cs="Times New Roman"/>
          <w:lang w:val="en-GB" w:bidi="he-IL"/>
        </w:rPr>
      </w:pPr>
      <w:r>
        <w:rPr>
          <w:rFonts w:ascii="Calibri" w:eastAsia="Times New Roman" w:hAnsi="Calibri" w:cs="Times New Roman"/>
          <w:vertAlign w:val="superscript"/>
          <w:lang w:val="en-GB" w:bidi="he-IL"/>
        </w:rPr>
        <w:t>1</w:t>
      </w:r>
      <w:r w:rsidR="00E527F3">
        <w:rPr>
          <w:rFonts w:ascii="Calibri" w:eastAsia="Times New Roman" w:hAnsi="Calibri" w:cs="Times New Roman"/>
          <w:lang w:val="en-GB" w:bidi="he-IL"/>
        </w:rPr>
        <w:t>But</w:t>
      </w:r>
      <w:r w:rsidRPr="008C0B9A">
        <w:rPr>
          <w:rFonts w:ascii="Calibri" w:eastAsia="Times New Roman" w:hAnsi="Calibri" w:cs="Times New Roman"/>
          <w:lang w:val="en-GB" w:bidi="he-IL"/>
        </w:rPr>
        <w:t xml:space="preserve"> Yahweh</w:t>
      </w:r>
      <w:r w:rsidR="00E527F3">
        <w:rPr>
          <w:rFonts w:ascii="Calibri" w:eastAsia="Times New Roman" w:hAnsi="Calibri" w:cs="Times New Roman"/>
          <w:lang w:val="en-GB" w:bidi="he-IL"/>
        </w:rPr>
        <w:t>—he</w:t>
      </w:r>
      <w:r w:rsidR="00E527F3">
        <w:rPr>
          <w:rStyle w:val="FootnoteReference"/>
          <w:rFonts w:ascii="Calibri" w:eastAsia="Times New Roman" w:hAnsi="Calibri" w:cs="Times New Roman"/>
          <w:lang w:val="en-GB" w:bidi="he-IL"/>
        </w:rPr>
        <w:footnoteReference w:id="558"/>
      </w:r>
      <w:r w:rsidR="0009086C">
        <w:rPr>
          <w:rFonts w:ascii="Calibri" w:eastAsia="Times New Roman" w:hAnsi="Calibri" w:cs="Times New Roman"/>
          <w:lang w:val="en-GB" w:bidi="he-IL"/>
        </w:rPr>
        <w:t xml:space="preserve"> attended to </w:t>
      </w:r>
      <w:proofErr w:type="gramStart"/>
      <w:r w:rsidR="0009086C" w:rsidRPr="0009086C">
        <w:rPr>
          <w:rFonts w:ascii="Calibri" w:eastAsia="Times New Roman" w:hAnsi="Calibri" w:cs="Times New Roman"/>
          <w:lang w:val="en-GB" w:bidi="he-IL"/>
        </w:rPr>
        <w:t>Ś</w:t>
      </w:r>
      <w:r w:rsidRPr="008C0B9A">
        <w:rPr>
          <w:rFonts w:ascii="Calibri" w:eastAsia="Times New Roman" w:hAnsi="Calibri" w:cs="Times New Roman"/>
          <w:lang w:val="en-GB" w:bidi="he-IL"/>
        </w:rPr>
        <w:t>arah</w:t>
      </w:r>
      <w:proofErr w:type="gramEnd"/>
      <w:r w:rsidRPr="008C0B9A">
        <w:rPr>
          <w:rFonts w:ascii="Calibri" w:eastAsia="Times New Roman" w:hAnsi="Calibri" w:cs="Times New Roman"/>
          <w:lang w:val="en-GB" w:bidi="he-IL"/>
        </w:rPr>
        <w:t xml:space="preserve"> as he had</w:t>
      </w:r>
      <w:r w:rsidR="0009086C">
        <w:rPr>
          <w:rFonts w:ascii="Calibri" w:eastAsia="Times New Roman" w:hAnsi="Calibri" w:cs="Times New Roman"/>
          <w:lang w:val="en-GB" w:bidi="he-IL"/>
        </w:rPr>
        <w:t xml:space="preserve"> said. </w:t>
      </w:r>
      <w:r w:rsidR="009150B5">
        <w:rPr>
          <w:rFonts w:ascii="Calibri" w:eastAsia="Times New Roman" w:hAnsi="Calibri" w:cs="Times New Roman"/>
          <w:lang w:val="en-GB" w:bidi="he-IL"/>
        </w:rPr>
        <w:t>Yahweh acte</w:t>
      </w:r>
      <w:r w:rsidR="0049444E">
        <w:rPr>
          <w:rFonts w:ascii="Calibri" w:eastAsia="Times New Roman" w:hAnsi="Calibri" w:cs="Times New Roman"/>
          <w:lang w:val="en-GB" w:bidi="he-IL"/>
        </w:rPr>
        <w:t xml:space="preserve">d for </w:t>
      </w:r>
      <w:proofErr w:type="gramStart"/>
      <w:r w:rsidR="0049444E">
        <w:rPr>
          <w:rFonts w:ascii="Calibri" w:eastAsia="Times New Roman" w:hAnsi="Calibri" w:cs="Times New Roman"/>
          <w:lang w:val="en-GB" w:bidi="he-IL"/>
        </w:rPr>
        <w:t>Ś</w:t>
      </w:r>
      <w:r w:rsidRPr="008C0B9A">
        <w:rPr>
          <w:rFonts w:ascii="Calibri" w:eastAsia="Times New Roman" w:hAnsi="Calibri" w:cs="Times New Roman"/>
          <w:lang w:val="en-GB" w:bidi="he-IL"/>
        </w:rPr>
        <w:t>arah</w:t>
      </w:r>
      <w:proofErr w:type="gramEnd"/>
      <w:r w:rsidRPr="008C0B9A">
        <w:rPr>
          <w:rFonts w:ascii="Calibri" w:eastAsia="Times New Roman" w:hAnsi="Calibri" w:cs="Times New Roman"/>
          <w:lang w:val="en-GB" w:bidi="he-IL"/>
        </w:rPr>
        <w:t xml:space="preserve"> as he</w:t>
      </w:r>
      <w:r>
        <w:rPr>
          <w:rFonts w:ascii="Calibri" w:eastAsia="Times New Roman" w:hAnsi="Calibri" w:cs="Times New Roman"/>
          <w:lang w:val="en-GB" w:bidi="he-IL"/>
        </w:rPr>
        <w:t xml:space="preserve"> had spoken, </w:t>
      </w:r>
      <w:r>
        <w:rPr>
          <w:rFonts w:ascii="Calibri" w:eastAsia="Times New Roman" w:hAnsi="Calibri" w:cs="Times New Roman"/>
          <w:vertAlign w:val="superscript"/>
          <w:lang w:val="en-GB" w:bidi="he-IL"/>
        </w:rPr>
        <w:t>2</w:t>
      </w:r>
      <w:r w:rsidR="0049444E">
        <w:rPr>
          <w:rFonts w:ascii="Calibri" w:eastAsia="Times New Roman" w:hAnsi="Calibri" w:cs="Times New Roman"/>
          <w:lang w:val="en-GB" w:bidi="he-IL"/>
        </w:rPr>
        <w:t>and Ś</w:t>
      </w:r>
      <w:r w:rsidRPr="008C0B9A">
        <w:rPr>
          <w:rFonts w:ascii="Calibri" w:eastAsia="Times New Roman" w:hAnsi="Calibri" w:cs="Times New Roman"/>
          <w:lang w:val="en-GB" w:bidi="he-IL"/>
        </w:rPr>
        <w:t xml:space="preserve">arah got pregnant and gave birth to a son for Abraham in his old age, at the set time of which God had spoken to him. </w:t>
      </w:r>
      <w:r>
        <w:rPr>
          <w:rFonts w:ascii="Calibri" w:eastAsia="Times New Roman" w:hAnsi="Calibri" w:cs="Times New Roman"/>
          <w:vertAlign w:val="superscript"/>
          <w:lang w:val="en-GB" w:bidi="he-IL"/>
        </w:rPr>
        <w:t>3</w:t>
      </w:r>
      <w:r w:rsidRPr="008C0B9A">
        <w:rPr>
          <w:rFonts w:ascii="Calibri" w:eastAsia="Times New Roman" w:hAnsi="Calibri" w:cs="Times New Roman"/>
          <w:lang w:val="en-GB" w:bidi="he-IL"/>
        </w:rPr>
        <w:t xml:space="preserve">Abraham named his son, who had been born to him, </w:t>
      </w:r>
      <w:r w:rsidR="00952BAA">
        <w:rPr>
          <w:rFonts w:ascii="Calibri" w:eastAsia="Times New Roman" w:hAnsi="Calibri" w:cs="Times New Roman"/>
          <w:lang w:val="en-GB" w:bidi="he-IL"/>
        </w:rPr>
        <w:t xml:space="preserve">to </w:t>
      </w:r>
      <w:r w:rsidRPr="008C0B9A">
        <w:rPr>
          <w:rFonts w:ascii="Calibri" w:eastAsia="Times New Roman" w:hAnsi="Calibri" w:cs="Times New Roman"/>
          <w:lang w:val="en-GB" w:bidi="he-IL"/>
        </w:rPr>
        <w:t>who</w:t>
      </w:r>
      <w:r w:rsidR="0049444E">
        <w:rPr>
          <w:rFonts w:ascii="Calibri" w:eastAsia="Times New Roman" w:hAnsi="Calibri" w:cs="Times New Roman"/>
          <w:lang w:val="en-GB" w:bidi="he-IL"/>
        </w:rPr>
        <w:t xml:space="preserve">m </w:t>
      </w:r>
      <w:proofErr w:type="gramStart"/>
      <w:r w:rsidR="0049444E">
        <w:rPr>
          <w:rFonts w:ascii="Calibri" w:eastAsia="Times New Roman" w:hAnsi="Calibri" w:cs="Times New Roman"/>
          <w:lang w:val="en-GB" w:bidi="he-IL"/>
        </w:rPr>
        <w:t>Ś</w:t>
      </w:r>
      <w:r w:rsidR="00952BAA">
        <w:rPr>
          <w:rFonts w:ascii="Calibri" w:eastAsia="Times New Roman" w:hAnsi="Calibri" w:cs="Times New Roman"/>
          <w:lang w:val="en-GB" w:bidi="he-IL"/>
        </w:rPr>
        <w:t>arah</w:t>
      </w:r>
      <w:proofErr w:type="gramEnd"/>
      <w:r w:rsidR="00952BAA">
        <w:rPr>
          <w:rFonts w:ascii="Calibri" w:eastAsia="Times New Roman" w:hAnsi="Calibri" w:cs="Times New Roman"/>
          <w:lang w:val="en-GB" w:bidi="he-IL"/>
        </w:rPr>
        <w:t xml:space="preserve"> had given birth for</w:t>
      </w:r>
      <w:r w:rsidR="00F614E1">
        <w:rPr>
          <w:rFonts w:ascii="Calibri" w:eastAsia="Times New Roman" w:hAnsi="Calibri" w:cs="Times New Roman"/>
          <w:lang w:val="en-GB" w:bidi="he-IL"/>
        </w:rPr>
        <w:t xml:space="preserve"> him, Yiṣḥaq</w:t>
      </w:r>
      <w:r w:rsidRPr="008C0B9A">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4</w:t>
      </w:r>
      <w:r w:rsidR="00847A9D">
        <w:rPr>
          <w:rFonts w:ascii="Calibri" w:eastAsia="Times New Roman" w:hAnsi="Calibri" w:cs="Times New Roman"/>
          <w:lang w:val="en-GB" w:bidi="he-IL"/>
        </w:rPr>
        <w:t xml:space="preserve">Abraham circumcised </w:t>
      </w:r>
      <w:r w:rsidR="00847A9D" w:rsidRPr="00847A9D">
        <w:rPr>
          <w:rFonts w:ascii="Calibri" w:eastAsia="Times New Roman" w:hAnsi="Calibri" w:cs="Times New Roman"/>
          <w:lang w:val="en-GB" w:bidi="he-IL"/>
        </w:rPr>
        <w:t>Yiṣḥaq</w:t>
      </w:r>
      <w:r w:rsidR="00453117">
        <w:rPr>
          <w:rFonts w:ascii="Calibri" w:eastAsia="Times New Roman" w:hAnsi="Calibri" w:cs="Times New Roman"/>
          <w:lang w:val="en-GB" w:bidi="he-IL"/>
        </w:rPr>
        <w:t xml:space="preserve"> his son as a child of eight days</w:t>
      </w:r>
      <w:r w:rsidRPr="008C0B9A">
        <w:rPr>
          <w:rFonts w:ascii="Calibri" w:eastAsia="Times New Roman" w:hAnsi="Calibri" w:cs="Times New Roman"/>
          <w:lang w:val="en-GB" w:bidi="he-IL"/>
        </w:rPr>
        <w:t xml:space="preserve">, as God </w:t>
      </w:r>
      <w:r w:rsidR="0049444E">
        <w:rPr>
          <w:rFonts w:ascii="Calibri" w:eastAsia="Times New Roman" w:hAnsi="Calibri" w:cs="Times New Roman"/>
          <w:lang w:val="en-GB" w:bidi="he-IL"/>
        </w:rPr>
        <w:t xml:space="preserve">had </w:t>
      </w:r>
      <w:r w:rsidRPr="008C0B9A">
        <w:rPr>
          <w:rFonts w:ascii="Calibri" w:eastAsia="Times New Roman" w:hAnsi="Calibri" w:cs="Times New Roman"/>
          <w:lang w:val="en-GB" w:bidi="he-IL"/>
        </w:rPr>
        <w:t>order</w:t>
      </w:r>
      <w:r>
        <w:rPr>
          <w:rFonts w:ascii="Calibri" w:eastAsia="Times New Roman" w:hAnsi="Calibri" w:cs="Times New Roman"/>
          <w:lang w:val="en-GB" w:bidi="he-IL"/>
        </w:rPr>
        <w:t xml:space="preserve">ed him, </w:t>
      </w:r>
      <w:r>
        <w:rPr>
          <w:rFonts w:ascii="Calibri" w:eastAsia="Times New Roman" w:hAnsi="Calibri" w:cs="Times New Roman"/>
          <w:vertAlign w:val="superscript"/>
          <w:lang w:val="en-GB" w:bidi="he-IL"/>
        </w:rPr>
        <w:t>5</w:t>
      </w:r>
      <w:r w:rsidRPr="008C0B9A">
        <w:rPr>
          <w:rFonts w:ascii="Calibri" w:eastAsia="Times New Roman" w:hAnsi="Calibri" w:cs="Times New Roman"/>
          <w:lang w:val="en-GB" w:bidi="he-IL"/>
        </w:rPr>
        <w:t xml:space="preserve">Abraham being a man of a </w:t>
      </w:r>
      <w:r w:rsidR="00847A9D">
        <w:rPr>
          <w:rFonts w:ascii="Calibri" w:eastAsia="Times New Roman" w:hAnsi="Calibri" w:cs="Times New Roman"/>
          <w:lang w:val="en-GB" w:bidi="he-IL"/>
        </w:rPr>
        <w:t xml:space="preserve">hundred years when his son </w:t>
      </w:r>
      <w:r w:rsidR="00847A9D" w:rsidRPr="00847A9D">
        <w:rPr>
          <w:rFonts w:ascii="Calibri" w:eastAsia="Times New Roman" w:hAnsi="Calibri" w:cs="Times New Roman"/>
          <w:lang w:val="en-GB" w:bidi="he-IL"/>
        </w:rPr>
        <w:t>Yiṣḥaq</w:t>
      </w:r>
      <w:r w:rsidRPr="008C0B9A">
        <w:rPr>
          <w:rFonts w:ascii="Calibri" w:eastAsia="Times New Roman" w:hAnsi="Calibri" w:cs="Times New Roman"/>
          <w:lang w:val="en-GB" w:bidi="he-IL"/>
        </w:rPr>
        <w:t xml:space="preserve"> was born to him. </w:t>
      </w:r>
      <w:r>
        <w:rPr>
          <w:rFonts w:ascii="Calibri" w:eastAsia="Times New Roman" w:hAnsi="Calibri" w:cs="Times New Roman"/>
          <w:vertAlign w:val="superscript"/>
          <w:lang w:val="en-GB" w:bidi="he-IL"/>
        </w:rPr>
        <w:t>6</w:t>
      </w:r>
      <w:r w:rsidR="0049444E">
        <w:rPr>
          <w:rFonts w:ascii="Calibri" w:eastAsia="Times New Roman" w:hAnsi="Calibri" w:cs="Times New Roman"/>
          <w:lang w:val="en-GB" w:bidi="he-IL"/>
        </w:rPr>
        <w:t>Ś</w:t>
      </w:r>
      <w:r w:rsidR="00E23BEC">
        <w:rPr>
          <w:rFonts w:ascii="Calibri" w:eastAsia="Times New Roman" w:hAnsi="Calibri" w:cs="Times New Roman"/>
          <w:lang w:val="en-GB" w:bidi="he-IL"/>
        </w:rPr>
        <w:t xml:space="preserve">arah said, </w:t>
      </w:r>
    </w:p>
    <w:p w14:paraId="3607B83B" w14:textId="77777777" w:rsidR="00E23BEC" w:rsidRDefault="00E23BEC" w:rsidP="008C0B9A">
      <w:pPr>
        <w:rPr>
          <w:rFonts w:ascii="Calibri" w:eastAsia="Times New Roman" w:hAnsi="Calibri" w:cs="Times New Roman"/>
          <w:lang w:val="en-GB" w:bidi="he-IL"/>
        </w:rPr>
      </w:pPr>
    </w:p>
    <w:p w14:paraId="61337890" w14:textId="77777777" w:rsidR="00E23BEC" w:rsidRDefault="008C0B9A" w:rsidP="008C0B9A">
      <w:pPr>
        <w:rPr>
          <w:rFonts w:ascii="Calibri" w:eastAsia="Times New Roman" w:hAnsi="Calibri" w:cs="Times New Roman"/>
          <w:lang w:val="en-GB" w:bidi="he-IL"/>
        </w:rPr>
      </w:pPr>
      <w:r w:rsidRPr="008C0B9A">
        <w:rPr>
          <w:rFonts w:ascii="Calibri" w:eastAsia="Times New Roman" w:hAnsi="Calibri" w:cs="Times New Roman"/>
          <w:lang w:val="en-GB" w:bidi="he-IL"/>
        </w:rPr>
        <w:t xml:space="preserve">God has made laughter for me, </w:t>
      </w:r>
    </w:p>
    <w:p w14:paraId="0EA510F2" w14:textId="77777777" w:rsidR="00E23BEC" w:rsidRDefault="00E23BEC" w:rsidP="008C0B9A">
      <w:pPr>
        <w:rPr>
          <w:rFonts w:ascii="Calibri" w:eastAsia="Times New Roman" w:hAnsi="Calibri" w:cs="Times New Roman"/>
          <w:lang w:val="en-GB" w:bidi="he-IL"/>
        </w:rPr>
      </w:pPr>
      <w:r>
        <w:rPr>
          <w:rFonts w:ascii="Calibri" w:eastAsia="Times New Roman" w:hAnsi="Calibri" w:cs="Times New Roman"/>
          <w:lang w:val="en-GB" w:bidi="he-IL"/>
        </w:rPr>
        <w:tab/>
      </w:r>
      <w:proofErr w:type="gramStart"/>
      <w:r w:rsidR="008C0B9A" w:rsidRPr="008C0B9A">
        <w:rPr>
          <w:rFonts w:ascii="Calibri" w:eastAsia="Times New Roman" w:hAnsi="Calibri" w:cs="Times New Roman"/>
          <w:lang w:val="en-GB" w:bidi="he-IL"/>
        </w:rPr>
        <w:t>since</w:t>
      </w:r>
      <w:proofErr w:type="gramEnd"/>
      <w:r w:rsidR="008C0B9A" w:rsidRPr="008C0B9A">
        <w:rPr>
          <w:rFonts w:ascii="Calibri" w:eastAsia="Times New Roman" w:hAnsi="Calibri" w:cs="Times New Roman"/>
          <w:lang w:val="en-GB" w:bidi="he-IL"/>
        </w:rPr>
        <w:t xml:space="preserve"> everyone who hears will laugh</w:t>
      </w:r>
      <w:r w:rsidR="008C0B9A" w:rsidRPr="008C0B9A">
        <w:rPr>
          <w:rFonts w:ascii="Calibri" w:eastAsia="Times New Roman" w:hAnsi="Calibri" w:cs="Times New Roman"/>
          <w:i/>
          <w:lang w:val="en-GB" w:bidi="he-IL"/>
        </w:rPr>
        <w:t xml:space="preserve"> </w:t>
      </w:r>
      <w:r w:rsidR="00DF09F9">
        <w:rPr>
          <w:rFonts w:ascii="Calibri" w:eastAsia="Times New Roman" w:hAnsi="Calibri" w:cs="Times New Roman"/>
          <w:lang w:val="en-GB" w:bidi="he-IL"/>
        </w:rPr>
        <w:t>about</w:t>
      </w:r>
      <w:r w:rsidR="00F614E1">
        <w:rPr>
          <w:rFonts w:ascii="Calibri" w:eastAsia="Times New Roman" w:hAnsi="Calibri" w:cs="Times New Roman"/>
          <w:lang w:val="en-GB" w:bidi="he-IL"/>
        </w:rPr>
        <w:t xml:space="preserve"> me</w:t>
      </w:r>
      <w:r>
        <w:rPr>
          <w:rFonts w:ascii="Calibri" w:eastAsia="Times New Roman" w:hAnsi="Calibri" w:cs="Times New Roman"/>
          <w:lang w:val="en-GB" w:bidi="he-IL"/>
        </w:rPr>
        <w:t>.</w:t>
      </w:r>
      <w:r w:rsidR="00DF09F9">
        <w:rPr>
          <w:rStyle w:val="FootnoteReference"/>
          <w:rFonts w:ascii="Calibri" w:eastAsia="Times New Roman" w:hAnsi="Calibri" w:cs="Times New Roman"/>
          <w:lang w:val="en-GB" w:bidi="he-IL"/>
        </w:rPr>
        <w:footnoteReference w:id="559"/>
      </w:r>
      <w:r w:rsidR="008C0B9A" w:rsidRPr="008C0B9A">
        <w:rPr>
          <w:rFonts w:ascii="Calibri" w:eastAsia="Times New Roman" w:hAnsi="Calibri" w:cs="Times New Roman"/>
          <w:lang w:val="en-GB" w:bidi="he-IL"/>
        </w:rPr>
        <w:t xml:space="preserve"> </w:t>
      </w:r>
    </w:p>
    <w:p w14:paraId="6D87C537" w14:textId="77777777" w:rsidR="00E23BEC" w:rsidRDefault="00E23BEC" w:rsidP="008C0B9A">
      <w:pPr>
        <w:rPr>
          <w:rFonts w:ascii="Calibri" w:eastAsia="Times New Roman" w:hAnsi="Calibri" w:cs="Times New Roman"/>
          <w:lang w:val="en-GB" w:bidi="he-IL"/>
        </w:rPr>
      </w:pPr>
    </w:p>
    <w:p w14:paraId="0CA5BCC1" w14:textId="77777777" w:rsidR="00E23BEC" w:rsidRDefault="008C0B9A" w:rsidP="00E23BEC">
      <w:pPr>
        <w:ind w:firstLine="0"/>
        <w:rPr>
          <w:rFonts w:ascii="Calibri" w:eastAsia="Times New Roman" w:hAnsi="Calibri" w:cs="Times New Roman"/>
          <w:lang w:val="en-GB" w:bidi="he-IL"/>
        </w:rPr>
      </w:pPr>
      <w:r>
        <w:rPr>
          <w:rFonts w:ascii="Calibri" w:eastAsia="Times New Roman" w:hAnsi="Calibri" w:cs="Times New Roman"/>
          <w:vertAlign w:val="superscript"/>
          <w:lang w:val="en-GB" w:bidi="he-IL"/>
        </w:rPr>
        <w:t>7</w:t>
      </w:r>
      <w:r w:rsidR="00E23BEC">
        <w:rPr>
          <w:rFonts w:ascii="Calibri" w:eastAsia="Times New Roman" w:hAnsi="Calibri" w:cs="Times New Roman"/>
          <w:lang w:val="en-GB" w:bidi="he-IL"/>
        </w:rPr>
        <w:t>A</w:t>
      </w:r>
      <w:r w:rsidR="00F614E1">
        <w:rPr>
          <w:rFonts w:ascii="Calibri" w:eastAsia="Times New Roman" w:hAnsi="Calibri" w:cs="Times New Roman"/>
          <w:lang w:val="en-GB" w:bidi="he-IL"/>
        </w:rPr>
        <w:t xml:space="preserve">nd </w:t>
      </w:r>
      <w:r w:rsidR="00E23BEC">
        <w:rPr>
          <w:rFonts w:ascii="Calibri" w:eastAsia="Times New Roman" w:hAnsi="Calibri" w:cs="Times New Roman"/>
          <w:lang w:val="en-GB" w:bidi="he-IL"/>
        </w:rPr>
        <w:t xml:space="preserve">she said, </w:t>
      </w:r>
    </w:p>
    <w:p w14:paraId="4D46EFA2" w14:textId="77777777" w:rsidR="00E23BEC" w:rsidRDefault="00E23BEC" w:rsidP="00E23BEC">
      <w:pPr>
        <w:ind w:firstLine="0"/>
        <w:rPr>
          <w:rFonts w:ascii="Calibri" w:eastAsia="Times New Roman" w:hAnsi="Calibri" w:cs="Times New Roman"/>
          <w:lang w:val="en-GB" w:bidi="he-IL"/>
        </w:rPr>
      </w:pPr>
    </w:p>
    <w:p w14:paraId="35640A8B" w14:textId="77777777" w:rsidR="00E23BEC" w:rsidRDefault="00E23BEC" w:rsidP="00E23BEC">
      <w:pPr>
        <w:ind w:firstLine="0"/>
        <w:rPr>
          <w:rFonts w:ascii="Calibri" w:eastAsia="Times New Roman" w:hAnsi="Calibri" w:cs="Times New Roman"/>
          <w:lang w:val="en-GB" w:bidi="he-IL"/>
        </w:rPr>
      </w:pPr>
      <w:r>
        <w:rPr>
          <w:rFonts w:ascii="Calibri" w:eastAsia="Times New Roman" w:hAnsi="Calibri" w:cs="Times New Roman"/>
          <w:lang w:val="en-GB" w:bidi="he-IL"/>
        </w:rPr>
        <w:tab/>
      </w:r>
      <w:r w:rsidR="008C0B9A" w:rsidRPr="008C0B9A">
        <w:rPr>
          <w:rFonts w:ascii="Calibri" w:eastAsia="Times New Roman" w:hAnsi="Calibri" w:cs="Times New Roman"/>
          <w:lang w:val="en-GB" w:bidi="he-IL"/>
        </w:rPr>
        <w:t>Who w</w:t>
      </w:r>
      <w:r w:rsidR="0049444E">
        <w:rPr>
          <w:rFonts w:ascii="Calibri" w:eastAsia="Times New Roman" w:hAnsi="Calibri" w:cs="Times New Roman"/>
          <w:lang w:val="en-GB" w:bidi="he-IL"/>
        </w:rPr>
        <w:t>ould</w:t>
      </w:r>
      <w:r w:rsidR="009150B5">
        <w:rPr>
          <w:rFonts w:ascii="Calibri" w:eastAsia="Times New Roman" w:hAnsi="Calibri" w:cs="Times New Roman"/>
          <w:lang w:val="en-GB" w:bidi="he-IL"/>
        </w:rPr>
        <w:t xml:space="preserve"> have pronounc</w:t>
      </w:r>
      <w:r>
        <w:rPr>
          <w:rFonts w:ascii="Calibri" w:eastAsia="Times New Roman" w:hAnsi="Calibri" w:cs="Times New Roman"/>
          <w:lang w:val="en-GB" w:bidi="he-IL"/>
        </w:rPr>
        <w:t>ed</w:t>
      </w:r>
      <w:r>
        <w:rPr>
          <w:rStyle w:val="FootnoteReference"/>
          <w:rFonts w:ascii="Calibri" w:eastAsia="Times New Roman" w:hAnsi="Calibri" w:cs="Times New Roman"/>
          <w:lang w:val="en-GB" w:bidi="he-IL"/>
        </w:rPr>
        <w:footnoteReference w:id="560"/>
      </w:r>
      <w:r>
        <w:rPr>
          <w:rFonts w:ascii="Calibri" w:eastAsia="Times New Roman" w:hAnsi="Calibri" w:cs="Times New Roman"/>
          <w:lang w:val="en-GB" w:bidi="he-IL"/>
        </w:rPr>
        <w:t xml:space="preserve"> to </w:t>
      </w:r>
      <w:proofErr w:type="gramStart"/>
      <w:r>
        <w:rPr>
          <w:rFonts w:ascii="Calibri" w:eastAsia="Times New Roman" w:hAnsi="Calibri" w:cs="Times New Roman"/>
          <w:lang w:val="en-GB" w:bidi="he-IL"/>
        </w:rPr>
        <w:t>Abraham,</w:t>
      </w:r>
      <w:proofErr w:type="gramEnd"/>
    </w:p>
    <w:p w14:paraId="59F55787" w14:textId="77777777" w:rsidR="00E23BEC" w:rsidRDefault="00E23BEC" w:rsidP="00E23BEC">
      <w:pPr>
        <w:ind w:firstLine="0"/>
        <w:rPr>
          <w:rFonts w:ascii="Calibri" w:eastAsia="Times New Roman" w:hAnsi="Calibri" w:cs="Times New Roman"/>
          <w:lang w:val="en-GB" w:bidi="he-IL"/>
        </w:rPr>
      </w:pPr>
      <w:r>
        <w:rPr>
          <w:rFonts w:ascii="Calibri" w:eastAsia="Times New Roman" w:hAnsi="Calibri" w:cs="Times New Roman"/>
          <w:lang w:val="en-GB" w:bidi="he-IL"/>
        </w:rPr>
        <w:tab/>
      </w:r>
      <w:r>
        <w:rPr>
          <w:rFonts w:ascii="Calibri" w:eastAsia="Times New Roman" w:hAnsi="Calibri" w:cs="Times New Roman"/>
          <w:lang w:val="en-GB" w:bidi="he-IL"/>
        </w:rPr>
        <w:tab/>
        <w:t>“</w:t>
      </w:r>
      <w:r w:rsidR="0049444E">
        <w:rPr>
          <w:rFonts w:ascii="Calibri" w:eastAsia="Times New Roman" w:hAnsi="Calibri" w:cs="Times New Roman"/>
          <w:lang w:val="en-GB" w:bidi="he-IL"/>
        </w:rPr>
        <w:t>Ś</w:t>
      </w:r>
      <w:r>
        <w:rPr>
          <w:rFonts w:ascii="Calibri" w:eastAsia="Times New Roman" w:hAnsi="Calibri" w:cs="Times New Roman"/>
          <w:lang w:val="en-GB" w:bidi="he-IL"/>
        </w:rPr>
        <w:t>arah has nursed children”?—</w:t>
      </w:r>
    </w:p>
    <w:p w14:paraId="342BB880" w14:textId="77777777" w:rsidR="00965281" w:rsidRDefault="00E23BEC" w:rsidP="00E23BEC">
      <w:pPr>
        <w:ind w:firstLine="0"/>
        <w:rPr>
          <w:rFonts w:ascii="Calibri" w:eastAsia="Times New Roman" w:hAnsi="Calibri" w:cs="Times New Roman"/>
          <w:lang w:val="en-GB" w:bidi="he-IL"/>
        </w:rPr>
      </w:pPr>
      <w:r>
        <w:rPr>
          <w:rFonts w:ascii="Calibri" w:eastAsia="Times New Roman" w:hAnsi="Calibri" w:cs="Times New Roman"/>
          <w:lang w:val="en-GB" w:bidi="he-IL"/>
        </w:rPr>
        <w:tab/>
      </w:r>
      <w:r>
        <w:rPr>
          <w:rFonts w:ascii="Calibri" w:eastAsia="Times New Roman" w:hAnsi="Calibri" w:cs="Times New Roman"/>
          <w:lang w:val="en-GB" w:bidi="he-IL"/>
        </w:rPr>
        <w:tab/>
      </w:r>
      <w:proofErr w:type="gramStart"/>
      <w:r>
        <w:rPr>
          <w:rFonts w:ascii="Calibri" w:eastAsia="Times New Roman" w:hAnsi="Calibri" w:cs="Times New Roman"/>
          <w:lang w:val="en-GB" w:bidi="he-IL"/>
        </w:rPr>
        <w:t>b</w:t>
      </w:r>
      <w:r w:rsidR="008C0B9A" w:rsidRPr="008C0B9A">
        <w:rPr>
          <w:rFonts w:ascii="Calibri" w:eastAsia="Times New Roman" w:hAnsi="Calibri" w:cs="Times New Roman"/>
          <w:lang w:val="en-GB" w:bidi="he-IL"/>
        </w:rPr>
        <w:t>ut</w:t>
      </w:r>
      <w:proofErr w:type="gramEnd"/>
      <w:r w:rsidR="008C0B9A" w:rsidRPr="008C0B9A">
        <w:rPr>
          <w:rFonts w:ascii="Calibri" w:eastAsia="Times New Roman" w:hAnsi="Calibri" w:cs="Times New Roman"/>
          <w:lang w:val="en-GB" w:bidi="he-IL"/>
        </w:rPr>
        <w:t xml:space="preserve"> I’ve given</w:t>
      </w:r>
      <w:r w:rsidR="00F614E1">
        <w:rPr>
          <w:rFonts w:ascii="Calibri" w:eastAsia="Times New Roman" w:hAnsi="Calibri" w:cs="Times New Roman"/>
          <w:lang w:val="en-GB" w:bidi="he-IL"/>
        </w:rPr>
        <w:t xml:space="preserve"> birth to a son for his old age</w:t>
      </w:r>
      <w:r w:rsidR="008C0B9A" w:rsidRPr="008C0B9A">
        <w:rPr>
          <w:rFonts w:ascii="Calibri" w:eastAsia="Times New Roman" w:hAnsi="Calibri" w:cs="Times New Roman"/>
          <w:lang w:val="en-GB" w:bidi="he-IL"/>
        </w:rPr>
        <w:t xml:space="preserve">. </w:t>
      </w:r>
    </w:p>
    <w:p w14:paraId="0C51D3E8" w14:textId="77777777" w:rsidR="00E23BEC" w:rsidRDefault="00E23BEC" w:rsidP="008C0B9A">
      <w:pPr>
        <w:rPr>
          <w:rFonts w:ascii="Calibri" w:eastAsia="Times New Roman" w:hAnsi="Calibri" w:cs="Times New Roman"/>
          <w:vertAlign w:val="superscript"/>
          <w:lang w:val="en-GB" w:bidi="he-IL"/>
        </w:rPr>
      </w:pPr>
    </w:p>
    <w:p w14:paraId="3A3B10BF" w14:textId="77777777" w:rsidR="008C0B9A" w:rsidRPr="008C0B9A" w:rsidRDefault="008C0B9A" w:rsidP="008C0B9A">
      <w:pPr>
        <w:rPr>
          <w:rFonts w:ascii="Calibri" w:eastAsia="Times New Roman" w:hAnsi="Calibri" w:cs="Times New Roman"/>
          <w:lang w:val="en-GB" w:bidi="he-IL"/>
        </w:rPr>
      </w:pPr>
      <w:r>
        <w:rPr>
          <w:rFonts w:ascii="Calibri" w:eastAsia="Times New Roman" w:hAnsi="Calibri" w:cs="Times New Roman"/>
          <w:vertAlign w:val="superscript"/>
          <w:lang w:val="en-GB" w:bidi="he-IL"/>
        </w:rPr>
        <w:t>8</w:t>
      </w:r>
      <w:r w:rsidRPr="008C0B9A">
        <w:rPr>
          <w:rFonts w:ascii="Calibri" w:eastAsia="Times New Roman" w:hAnsi="Calibri" w:cs="Times New Roman"/>
          <w:lang w:val="en-GB" w:bidi="he-IL"/>
        </w:rPr>
        <w:t>Th</w:t>
      </w:r>
      <w:r w:rsidR="00D859B2">
        <w:rPr>
          <w:rFonts w:ascii="Calibri" w:eastAsia="Times New Roman" w:hAnsi="Calibri" w:cs="Times New Roman"/>
          <w:lang w:val="en-GB" w:bidi="he-IL"/>
        </w:rPr>
        <w:t>e child grew and was weaned.</w:t>
      </w:r>
      <w:r w:rsidRPr="008C0B9A">
        <w:rPr>
          <w:rFonts w:ascii="Calibri" w:eastAsia="Times New Roman" w:hAnsi="Calibri" w:cs="Times New Roman"/>
          <w:lang w:val="en-GB" w:bidi="he-IL"/>
        </w:rPr>
        <w:t xml:space="preserve"> Abraham made a b</w:t>
      </w:r>
      <w:r w:rsidR="00F614E1">
        <w:rPr>
          <w:rFonts w:ascii="Calibri" w:eastAsia="Times New Roman" w:hAnsi="Calibri" w:cs="Times New Roman"/>
          <w:lang w:val="en-GB" w:bidi="he-IL"/>
        </w:rPr>
        <w:t xml:space="preserve">ig banquet on the day that </w:t>
      </w:r>
      <w:r w:rsidR="00F614E1" w:rsidRPr="00F614E1">
        <w:rPr>
          <w:rFonts w:ascii="Calibri" w:eastAsia="Times New Roman" w:hAnsi="Calibri" w:cs="Times New Roman"/>
          <w:lang w:val="en-GB" w:bidi="he-IL"/>
        </w:rPr>
        <w:t>Yiṣḥaq</w:t>
      </w:r>
      <w:r w:rsidRPr="008C0B9A">
        <w:rPr>
          <w:rFonts w:ascii="Calibri" w:eastAsia="Times New Roman" w:hAnsi="Calibri" w:cs="Times New Roman"/>
          <w:lang w:val="en-GB" w:bidi="he-IL"/>
        </w:rPr>
        <w:t xml:space="preserve"> was wean</w:t>
      </w:r>
      <w:r w:rsidR="00D859B2">
        <w:rPr>
          <w:rFonts w:ascii="Calibri" w:eastAsia="Times New Roman" w:hAnsi="Calibri" w:cs="Times New Roman"/>
          <w:lang w:val="en-GB" w:bidi="he-IL"/>
        </w:rPr>
        <w:t>ed,</w:t>
      </w:r>
      <w:r w:rsidRPr="008C0B9A">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9</w:t>
      </w:r>
      <w:r w:rsidR="00D859B2">
        <w:rPr>
          <w:rFonts w:ascii="Calibri" w:eastAsia="Times New Roman" w:hAnsi="Calibri" w:cs="Times New Roman"/>
          <w:lang w:val="en-GB" w:bidi="he-IL"/>
        </w:rPr>
        <w:t>b</w:t>
      </w:r>
      <w:r w:rsidR="0049444E">
        <w:rPr>
          <w:rFonts w:ascii="Calibri" w:eastAsia="Times New Roman" w:hAnsi="Calibri" w:cs="Times New Roman"/>
          <w:lang w:val="en-GB" w:bidi="he-IL"/>
        </w:rPr>
        <w:t xml:space="preserve">ut </w:t>
      </w:r>
      <w:proofErr w:type="gramStart"/>
      <w:r w:rsidR="0049444E">
        <w:rPr>
          <w:rFonts w:ascii="Calibri" w:eastAsia="Times New Roman" w:hAnsi="Calibri" w:cs="Times New Roman"/>
          <w:lang w:val="en-GB" w:bidi="he-IL"/>
        </w:rPr>
        <w:t>Ś</w:t>
      </w:r>
      <w:r w:rsidRPr="008C0B9A">
        <w:rPr>
          <w:rFonts w:ascii="Calibri" w:eastAsia="Times New Roman" w:hAnsi="Calibri" w:cs="Times New Roman"/>
          <w:lang w:val="en-GB" w:bidi="he-IL"/>
        </w:rPr>
        <w:t>arah</w:t>
      </w:r>
      <w:proofErr w:type="gramEnd"/>
      <w:r w:rsidRPr="008C0B9A">
        <w:rPr>
          <w:rFonts w:ascii="Calibri" w:eastAsia="Times New Roman" w:hAnsi="Calibri" w:cs="Times New Roman"/>
          <w:lang w:val="en-GB" w:bidi="he-IL"/>
        </w:rPr>
        <w:t xml:space="preserve"> s</w:t>
      </w:r>
      <w:r w:rsidR="00F614E1">
        <w:rPr>
          <w:rFonts w:ascii="Calibri" w:eastAsia="Times New Roman" w:hAnsi="Calibri" w:cs="Times New Roman"/>
          <w:lang w:val="en-GB" w:bidi="he-IL"/>
        </w:rPr>
        <w:t>aw the son of Hagar the Miṣrite</w:t>
      </w:r>
      <w:r w:rsidRPr="008C0B9A">
        <w:rPr>
          <w:rFonts w:ascii="Calibri" w:eastAsia="Times New Roman" w:hAnsi="Calibri" w:cs="Times New Roman"/>
          <w:lang w:val="en-GB" w:bidi="he-IL"/>
        </w:rPr>
        <w:t xml:space="preserve">, to whom she gave birth for Abraham, </w:t>
      </w:r>
      <w:r w:rsidR="00B61CEB">
        <w:rPr>
          <w:rFonts w:ascii="Calibri" w:eastAsia="Times New Roman" w:hAnsi="Calibri" w:cs="Times New Roman"/>
          <w:lang w:val="en-GB" w:bidi="he-IL"/>
        </w:rPr>
        <w:t>making people laugh</w:t>
      </w:r>
      <w:r w:rsidRPr="008C0B9A">
        <w:rPr>
          <w:rFonts w:ascii="Calibri" w:eastAsia="Times New Roman" w:hAnsi="Calibri" w:cs="Times New Roman"/>
          <w:lang w:val="en-GB" w:bidi="he-IL"/>
        </w:rPr>
        <w:t>.</w:t>
      </w:r>
      <w:r w:rsidR="001850D6">
        <w:rPr>
          <w:rStyle w:val="FootnoteReference"/>
          <w:rFonts w:ascii="Calibri" w:eastAsia="Times New Roman" w:hAnsi="Calibri" w:cs="Times New Roman"/>
          <w:lang w:val="en-GB" w:bidi="he-IL"/>
        </w:rPr>
        <w:footnoteReference w:id="561"/>
      </w:r>
      <w:r w:rsidRPr="008C0B9A">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10</w:t>
      </w:r>
      <w:r w:rsidR="00F614E1">
        <w:rPr>
          <w:rFonts w:ascii="Calibri" w:eastAsia="Times New Roman" w:hAnsi="Calibri" w:cs="Times New Roman"/>
          <w:lang w:val="en-GB" w:bidi="he-IL"/>
        </w:rPr>
        <w:t>She said to Abraham, “</w:t>
      </w:r>
      <w:r w:rsidRPr="008C0B9A">
        <w:rPr>
          <w:rFonts w:ascii="Calibri" w:eastAsia="Times New Roman" w:hAnsi="Calibri" w:cs="Times New Roman"/>
          <w:lang w:val="en-GB" w:bidi="he-IL"/>
        </w:rPr>
        <w:t xml:space="preserve">Drive </w:t>
      </w:r>
      <w:r w:rsidR="00D80D5B">
        <w:rPr>
          <w:rFonts w:ascii="Calibri" w:eastAsia="Times New Roman" w:hAnsi="Calibri" w:cs="Times New Roman"/>
          <w:lang w:val="en-GB" w:bidi="he-IL"/>
        </w:rPr>
        <w:t xml:space="preserve">out </w:t>
      </w:r>
      <w:r w:rsidRPr="008C0B9A">
        <w:rPr>
          <w:rFonts w:ascii="Calibri" w:eastAsia="Times New Roman" w:hAnsi="Calibri" w:cs="Times New Roman"/>
          <w:lang w:val="en-GB" w:bidi="he-IL"/>
        </w:rPr>
        <w:t>this handmaid</w:t>
      </w:r>
      <w:r w:rsidR="00592FEF">
        <w:rPr>
          <w:rStyle w:val="FootnoteReference"/>
          <w:rFonts w:ascii="Calibri" w:eastAsia="Times New Roman" w:hAnsi="Calibri" w:cs="Times New Roman"/>
          <w:lang w:val="en-GB" w:bidi="he-IL"/>
        </w:rPr>
        <w:footnoteReference w:id="562"/>
      </w:r>
      <w:r w:rsidR="00D80D5B">
        <w:rPr>
          <w:rFonts w:ascii="Calibri" w:eastAsia="Times New Roman" w:hAnsi="Calibri" w:cs="Times New Roman"/>
          <w:lang w:val="en-GB" w:bidi="he-IL"/>
        </w:rPr>
        <w:t xml:space="preserve"> and her son</w:t>
      </w:r>
      <w:r w:rsidRPr="008C0B9A">
        <w:rPr>
          <w:rFonts w:ascii="Calibri" w:eastAsia="Times New Roman" w:hAnsi="Calibri" w:cs="Times New Roman"/>
          <w:lang w:val="en-GB" w:bidi="he-IL"/>
        </w:rPr>
        <w:t>, because this handmaid’s son is not to come into pos</w:t>
      </w:r>
      <w:r w:rsidR="00F614E1">
        <w:rPr>
          <w:rFonts w:ascii="Calibri" w:eastAsia="Times New Roman" w:hAnsi="Calibri" w:cs="Times New Roman"/>
          <w:lang w:val="en-GB" w:bidi="he-IL"/>
        </w:rPr>
        <w:t xml:space="preserve">session with my son, with </w:t>
      </w:r>
      <w:r w:rsidR="00F614E1" w:rsidRPr="00F614E1">
        <w:rPr>
          <w:rFonts w:ascii="Calibri" w:eastAsia="Times New Roman" w:hAnsi="Calibri" w:cs="Times New Roman"/>
          <w:lang w:val="en-GB" w:bidi="he-IL"/>
        </w:rPr>
        <w:t>Yiṣḥaq</w:t>
      </w:r>
      <w:r w:rsidRPr="008C0B9A">
        <w:rPr>
          <w:rFonts w:ascii="Calibri" w:eastAsia="Times New Roman" w:hAnsi="Calibri" w:cs="Times New Roman"/>
          <w:lang w:val="en-GB" w:bidi="he-IL"/>
        </w:rPr>
        <w:t>.</w:t>
      </w:r>
      <w:r w:rsidR="00F614E1">
        <w:rPr>
          <w:rFonts w:ascii="Calibri" w:eastAsia="Times New Roman" w:hAnsi="Calibri" w:cs="Times New Roman"/>
          <w:lang w:val="en-GB" w:bidi="he-IL"/>
        </w:rPr>
        <w:t>”</w:t>
      </w:r>
      <w:r w:rsidRPr="008C0B9A">
        <w:rPr>
          <w:rFonts w:ascii="Calibri" w:eastAsia="Times New Roman" w:hAnsi="Calibri" w:cs="Times New Roman"/>
          <w:lang w:val="en-GB" w:bidi="he-IL"/>
        </w:rPr>
        <w:t xml:space="preserve"> </w:t>
      </w:r>
    </w:p>
    <w:p w14:paraId="06FE4256" w14:textId="77777777" w:rsidR="008C0B9A" w:rsidRPr="008C0B9A" w:rsidRDefault="008C0B9A" w:rsidP="008C0B9A">
      <w:pPr>
        <w:rPr>
          <w:rFonts w:ascii="Calibri" w:eastAsia="Times New Roman" w:hAnsi="Calibri" w:cs="Times New Roman"/>
          <w:lang w:val="en-GB" w:bidi="he-IL"/>
        </w:rPr>
      </w:pPr>
      <w:r>
        <w:rPr>
          <w:rFonts w:ascii="Calibri" w:eastAsia="Times New Roman" w:hAnsi="Calibri" w:cs="Times New Roman"/>
          <w:vertAlign w:val="superscript"/>
          <w:lang w:val="en-GB" w:bidi="he-IL"/>
        </w:rPr>
        <w:lastRenderedPageBreak/>
        <w:t>11</w:t>
      </w:r>
      <w:r w:rsidRPr="008C0B9A">
        <w:rPr>
          <w:rFonts w:ascii="Calibri" w:eastAsia="Times New Roman" w:hAnsi="Calibri" w:cs="Times New Roman"/>
          <w:lang w:val="en-GB" w:bidi="he-IL"/>
        </w:rPr>
        <w:t xml:space="preserve">The thing was very bad in Abraham’s eyes, on account of his son. </w:t>
      </w:r>
      <w:r>
        <w:rPr>
          <w:rFonts w:ascii="Calibri" w:eastAsia="Times New Roman" w:hAnsi="Calibri" w:cs="Times New Roman"/>
          <w:vertAlign w:val="superscript"/>
          <w:lang w:val="en-GB" w:bidi="he-IL"/>
        </w:rPr>
        <w:t>12</w:t>
      </w:r>
      <w:r w:rsidR="00F614E1">
        <w:rPr>
          <w:rFonts w:ascii="Calibri" w:eastAsia="Times New Roman" w:hAnsi="Calibri" w:cs="Times New Roman"/>
          <w:lang w:val="en-GB" w:bidi="he-IL"/>
        </w:rPr>
        <w:t>But God said to Abraham, “</w:t>
      </w:r>
      <w:r w:rsidRPr="008C0B9A">
        <w:rPr>
          <w:rFonts w:ascii="Calibri" w:eastAsia="Times New Roman" w:hAnsi="Calibri" w:cs="Times New Roman"/>
          <w:lang w:val="en-GB" w:bidi="he-IL"/>
        </w:rPr>
        <w:t>It isn’t to be bad in your eyes about</w:t>
      </w:r>
      <w:r w:rsidR="00965281">
        <w:rPr>
          <w:rFonts w:ascii="Calibri" w:eastAsia="Times New Roman" w:hAnsi="Calibri" w:cs="Times New Roman"/>
          <w:lang w:val="en-GB" w:bidi="he-IL"/>
        </w:rPr>
        <w:t xml:space="preserve"> the boy or about your handmaid</w:t>
      </w:r>
      <w:r w:rsidR="0049444E">
        <w:rPr>
          <w:rFonts w:ascii="Calibri" w:eastAsia="Times New Roman" w:hAnsi="Calibri" w:cs="Times New Roman"/>
          <w:lang w:val="en-GB" w:bidi="he-IL"/>
        </w:rPr>
        <w:t xml:space="preserve">. Everything that </w:t>
      </w:r>
      <w:proofErr w:type="gramStart"/>
      <w:r w:rsidR="0049444E">
        <w:rPr>
          <w:rFonts w:ascii="Calibri" w:eastAsia="Times New Roman" w:hAnsi="Calibri" w:cs="Times New Roman"/>
          <w:lang w:val="en-GB" w:bidi="he-IL"/>
        </w:rPr>
        <w:t>Ś</w:t>
      </w:r>
      <w:r w:rsidRPr="008C0B9A">
        <w:rPr>
          <w:rFonts w:ascii="Calibri" w:eastAsia="Times New Roman" w:hAnsi="Calibri" w:cs="Times New Roman"/>
          <w:lang w:val="en-GB" w:bidi="he-IL"/>
        </w:rPr>
        <w:t>arah</w:t>
      </w:r>
      <w:proofErr w:type="gramEnd"/>
      <w:r w:rsidRPr="008C0B9A">
        <w:rPr>
          <w:rFonts w:ascii="Calibri" w:eastAsia="Times New Roman" w:hAnsi="Calibri" w:cs="Times New Roman"/>
          <w:lang w:val="en-GB" w:bidi="he-IL"/>
        </w:rPr>
        <w:t xml:space="preserve"> says to you, listen to her v</w:t>
      </w:r>
      <w:r w:rsidR="00F614E1">
        <w:rPr>
          <w:rFonts w:ascii="Calibri" w:eastAsia="Times New Roman" w:hAnsi="Calibri" w:cs="Times New Roman"/>
          <w:lang w:val="en-GB" w:bidi="he-IL"/>
        </w:rPr>
        <w:t xml:space="preserve">oice, because it’s through </w:t>
      </w:r>
      <w:r w:rsidR="00F614E1" w:rsidRPr="00F614E1">
        <w:rPr>
          <w:rFonts w:ascii="Calibri" w:eastAsia="Times New Roman" w:hAnsi="Calibri" w:cs="Times New Roman"/>
          <w:lang w:val="en-GB" w:bidi="he-IL"/>
        </w:rPr>
        <w:t>Yiṣḥaq</w:t>
      </w:r>
      <w:r w:rsidRPr="008C0B9A">
        <w:rPr>
          <w:rFonts w:ascii="Calibri" w:eastAsia="Times New Roman" w:hAnsi="Calibri" w:cs="Times New Roman"/>
          <w:lang w:val="en-GB" w:bidi="he-IL"/>
        </w:rPr>
        <w:t xml:space="preserve"> that offspring will be named for you. </w:t>
      </w:r>
      <w:r>
        <w:rPr>
          <w:rFonts w:ascii="Calibri" w:eastAsia="Times New Roman" w:hAnsi="Calibri" w:cs="Times New Roman"/>
          <w:vertAlign w:val="superscript"/>
          <w:lang w:val="en-GB" w:bidi="he-IL"/>
        </w:rPr>
        <w:t>13</w:t>
      </w:r>
      <w:r w:rsidR="00C47F1F">
        <w:rPr>
          <w:rFonts w:ascii="Calibri" w:eastAsia="Times New Roman" w:hAnsi="Calibri" w:cs="Times New Roman"/>
          <w:lang w:val="en-GB" w:bidi="he-IL"/>
        </w:rPr>
        <w:t>But t</w:t>
      </w:r>
      <w:r w:rsidR="00D859B2">
        <w:rPr>
          <w:rFonts w:ascii="Calibri" w:eastAsia="Times New Roman" w:hAnsi="Calibri" w:cs="Times New Roman"/>
          <w:lang w:val="en-GB" w:bidi="he-IL"/>
        </w:rPr>
        <w:t>he son of the handmaid: I wi</w:t>
      </w:r>
      <w:r w:rsidRPr="008C0B9A">
        <w:rPr>
          <w:rFonts w:ascii="Calibri" w:eastAsia="Times New Roman" w:hAnsi="Calibri" w:cs="Times New Roman"/>
          <w:lang w:val="en-GB" w:bidi="he-IL"/>
        </w:rPr>
        <w:t>ll make him into a nation, t</w:t>
      </w:r>
      <w:r w:rsidR="00F614E1">
        <w:rPr>
          <w:rFonts w:ascii="Calibri" w:eastAsia="Times New Roman" w:hAnsi="Calibri" w:cs="Times New Roman"/>
          <w:lang w:val="en-GB" w:bidi="he-IL"/>
        </w:rPr>
        <w:t>oo, because he’s your offspring</w:t>
      </w:r>
      <w:r w:rsidRPr="008C0B9A">
        <w:rPr>
          <w:rFonts w:ascii="Calibri" w:eastAsia="Times New Roman" w:hAnsi="Calibri" w:cs="Times New Roman"/>
          <w:lang w:val="en-GB" w:bidi="he-IL"/>
        </w:rPr>
        <w:t>.</w:t>
      </w:r>
      <w:r w:rsidR="00F614E1">
        <w:rPr>
          <w:rFonts w:ascii="Calibri" w:eastAsia="Times New Roman" w:hAnsi="Calibri" w:cs="Times New Roman"/>
          <w:lang w:val="en-GB" w:bidi="he-IL"/>
        </w:rPr>
        <w:t>”</w:t>
      </w:r>
      <w:r w:rsidRPr="008C0B9A">
        <w:rPr>
          <w:rFonts w:ascii="Calibri" w:eastAsia="Times New Roman" w:hAnsi="Calibri" w:cs="Times New Roman"/>
          <w:lang w:val="en-GB" w:bidi="he-IL"/>
        </w:rPr>
        <w:t xml:space="preserve"> </w:t>
      </w:r>
    </w:p>
    <w:p w14:paraId="634393A3" w14:textId="23F7C321" w:rsidR="008C0B9A" w:rsidRPr="008C0B9A" w:rsidRDefault="008C0B9A" w:rsidP="008C0B9A">
      <w:pPr>
        <w:rPr>
          <w:rFonts w:ascii="Calibri" w:eastAsia="Times New Roman" w:hAnsi="Calibri" w:cs="Times New Roman"/>
          <w:lang w:val="en-GB" w:bidi="he-IL"/>
        </w:rPr>
      </w:pPr>
      <w:r>
        <w:rPr>
          <w:rFonts w:ascii="Calibri" w:eastAsia="Times New Roman" w:hAnsi="Calibri" w:cs="Times New Roman"/>
          <w:vertAlign w:val="superscript"/>
          <w:lang w:val="en-GB" w:bidi="he-IL"/>
        </w:rPr>
        <w:t>14</w:t>
      </w:r>
      <w:r w:rsidRPr="008C0B9A">
        <w:rPr>
          <w:rFonts w:ascii="Calibri" w:eastAsia="Times New Roman" w:hAnsi="Calibri" w:cs="Times New Roman"/>
          <w:lang w:val="en-GB" w:bidi="he-IL"/>
        </w:rPr>
        <w:t>Abraham started early in the morning, got bread and a skin of w</w:t>
      </w:r>
      <w:r w:rsidR="002C3CCA">
        <w:rPr>
          <w:rFonts w:ascii="Calibri" w:eastAsia="Times New Roman" w:hAnsi="Calibri" w:cs="Times New Roman"/>
          <w:lang w:val="en-GB" w:bidi="he-IL"/>
        </w:rPr>
        <w:t xml:space="preserve">ater, and gave them to Hagar (he </w:t>
      </w:r>
      <w:r w:rsidRPr="008C0B9A">
        <w:rPr>
          <w:rFonts w:ascii="Calibri" w:eastAsia="Times New Roman" w:hAnsi="Calibri" w:cs="Times New Roman"/>
          <w:lang w:val="en-GB" w:bidi="he-IL"/>
        </w:rPr>
        <w:t>put them on her shoulder</w:t>
      </w:r>
      <w:r w:rsidR="002C3CCA">
        <w:rPr>
          <w:rFonts w:ascii="Calibri" w:eastAsia="Times New Roman" w:hAnsi="Calibri" w:cs="Times New Roman"/>
          <w:lang w:val="en-GB" w:bidi="he-IL"/>
        </w:rPr>
        <w:t>)</w:t>
      </w:r>
      <w:r w:rsidRPr="008C0B9A">
        <w:rPr>
          <w:rFonts w:ascii="Calibri" w:eastAsia="Times New Roman" w:hAnsi="Calibri" w:cs="Times New Roman"/>
          <w:lang w:val="en-GB" w:bidi="he-IL"/>
        </w:rPr>
        <w:t>,</w:t>
      </w:r>
      <w:r w:rsidR="00902BFC">
        <w:rPr>
          <w:rStyle w:val="FootnoteReference"/>
          <w:rFonts w:ascii="Calibri" w:eastAsia="Times New Roman" w:hAnsi="Calibri" w:cs="Times New Roman"/>
          <w:lang w:val="en-GB" w:bidi="he-IL"/>
        </w:rPr>
        <w:footnoteReference w:id="563"/>
      </w:r>
      <w:r w:rsidRPr="008C0B9A">
        <w:rPr>
          <w:rFonts w:ascii="Calibri" w:eastAsia="Times New Roman" w:hAnsi="Calibri" w:cs="Times New Roman"/>
          <w:lang w:val="en-GB" w:bidi="he-IL"/>
        </w:rPr>
        <w:t xml:space="preserve"> and the child,</w:t>
      </w:r>
      <w:r w:rsidR="009306B5">
        <w:rPr>
          <w:rStyle w:val="FootnoteReference"/>
          <w:rFonts w:ascii="Calibri" w:eastAsia="Times New Roman" w:hAnsi="Calibri" w:cs="Times New Roman"/>
          <w:lang w:val="en-GB" w:bidi="he-IL"/>
        </w:rPr>
        <w:footnoteReference w:id="564"/>
      </w:r>
      <w:r w:rsidRPr="008C0B9A">
        <w:rPr>
          <w:rFonts w:ascii="Calibri" w:eastAsia="Times New Roman" w:hAnsi="Calibri" w:cs="Times New Roman"/>
          <w:lang w:val="en-GB" w:bidi="he-IL"/>
        </w:rPr>
        <w:t xml:space="preserve"> and sent her away. She went, and wandered about in the Be’er</w:t>
      </w:r>
      <w:r w:rsidR="00F614E1">
        <w:rPr>
          <w:rFonts w:ascii="Calibri" w:eastAsia="Times New Roman" w:hAnsi="Calibri" w:cs="Times New Roman"/>
          <w:lang w:val="en-GB" w:bidi="he-IL"/>
        </w:rPr>
        <w:t xml:space="preserve"> Š</w:t>
      </w:r>
      <w:r w:rsidR="00186598">
        <w:rPr>
          <w:rFonts w:ascii="Calibri" w:eastAsia="Times New Roman" w:hAnsi="Calibri" w:cs="Times New Roman"/>
          <w:lang w:val="en-GB" w:bidi="he-IL"/>
        </w:rPr>
        <w:t>eba w</w:t>
      </w:r>
      <w:r w:rsidR="00E11982">
        <w:rPr>
          <w:rFonts w:ascii="Calibri" w:eastAsia="Times New Roman" w:hAnsi="Calibri" w:cs="Times New Roman"/>
          <w:lang w:val="en-GB" w:bidi="he-IL"/>
        </w:rPr>
        <w:t>ilderness,</w:t>
      </w:r>
      <w:r w:rsidRPr="008C0B9A">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15</w:t>
      </w:r>
      <w:r w:rsidR="00E11982">
        <w:rPr>
          <w:rFonts w:ascii="Calibri" w:eastAsia="Times New Roman" w:hAnsi="Calibri" w:cs="Times New Roman"/>
          <w:lang w:val="en-GB" w:bidi="he-IL"/>
        </w:rPr>
        <w:t>but t</w:t>
      </w:r>
      <w:r w:rsidR="00453117">
        <w:rPr>
          <w:rFonts w:ascii="Calibri" w:eastAsia="Times New Roman" w:hAnsi="Calibri" w:cs="Times New Roman"/>
          <w:lang w:val="en-GB" w:bidi="he-IL"/>
        </w:rPr>
        <w:t>he water from</w:t>
      </w:r>
      <w:r w:rsidRPr="008C0B9A">
        <w:rPr>
          <w:rFonts w:ascii="Calibri" w:eastAsia="Times New Roman" w:hAnsi="Calibri" w:cs="Times New Roman"/>
          <w:lang w:val="en-GB" w:bidi="he-IL"/>
        </w:rPr>
        <w:t xml:space="preserve"> </w:t>
      </w:r>
      <w:r w:rsidR="00E11982">
        <w:rPr>
          <w:rFonts w:ascii="Calibri" w:eastAsia="Times New Roman" w:hAnsi="Calibri" w:cs="Times New Roman"/>
          <w:lang w:val="en-GB" w:bidi="he-IL"/>
        </w:rPr>
        <w:t>the skin came to an end. S</w:t>
      </w:r>
      <w:r w:rsidR="00C83370">
        <w:rPr>
          <w:rFonts w:ascii="Calibri" w:eastAsia="Times New Roman" w:hAnsi="Calibri" w:cs="Times New Roman"/>
          <w:lang w:val="en-GB" w:bidi="he-IL"/>
        </w:rPr>
        <w:t>he thrust</w:t>
      </w:r>
      <w:r w:rsidRPr="008C0B9A">
        <w:rPr>
          <w:rFonts w:ascii="Calibri" w:eastAsia="Times New Roman" w:hAnsi="Calibri" w:cs="Times New Roman"/>
          <w:lang w:val="en-GB" w:bidi="he-IL"/>
        </w:rPr>
        <w:t xml:space="preserve"> the c</w:t>
      </w:r>
      <w:r>
        <w:rPr>
          <w:rFonts w:ascii="Calibri" w:eastAsia="Times New Roman" w:hAnsi="Calibri" w:cs="Times New Roman"/>
          <w:lang w:val="en-GB" w:bidi="he-IL"/>
        </w:rPr>
        <w:t xml:space="preserve">hild under one of the bushes </w:t>
      </w:r>
      <w:r>
        <w:rPr>
          <w:rFonts w:ascii="Calibri" w:eastAsia="Times New Roman" w:hAnsi="Calibri" w:cs="Times New Roman"/>
          <w:vertAlign w:val="superscript"/>
          <w:lang w:val="en-GB" w:bidi="he-IL"/>
        </w:rPr>
        <w:t>16</w:t>
      </w:r>
      <w:r w:rsidRPr="008C0B9A">
        <w:rPr>
          <w:rFonts w:ascii="Calibri" w:eastAsia="Times New Roman" w:hAnsi="Calibri" w:cs="Times New Roman"/>
          <w:lang w:val="en-GB" w:bidi="he-IL"/>
        </w:rPr>
        <w:t xml:space="preserve">and went and sat herself down at a distance, </w:t>
      </w:r>
      <w:r w:rsidR="00B43948">
        <w:rPr>
          <w:rFonts w:ascii="Calibri" w:eastAsia="Times New Roman" w:hAnsi="Calibri" w:cs="Times New Roman"/>
          <w:lang w:val="en-GB" w:bidi="he-IL"/>
        </w:rPr>
        <w:t xml:space="preserve">going </w:t>
      </w:r>
      <w:r w:rsidRPr="008C0B9A">
        <w:rPr>
          <w:rFonts w:ascii="Calibri" w:eastAsia="Times New Roman" w:hAnsi="Calibri" w:cs="Times New Roman"/>
          <w:lang w:val="en-GB" w:bidi="he-IL"/>
        </w:rPr>
        <w:t>a bow</w:t>
      </w:r>
      <w:r w:rsidR="00F614E1">
        <w:rPr>
          <w:rFonts w:ascii="Calibri" w:eastAsia="Times New Roman" w:hAnsi="Calibri" w:cs="Times New Roman"/>
          <w:lang w:val="en-GB" w:bidi="he-IL"/>
        </w:rPr>
        <w:t>shot away,</w:t>
      </w:r>
      <w:r w:rsidR="00B43948">
        <w:rPr>
          <w:rStyle w:val="FootnoteReference"/>
          <w:rFonts w:ascii="Calibri" w:eastAsia="Times New Roman" w:hAnsi="Calibri" w:cs="Times New Roman"/>
          <w:lang w:val="en-GB" w:bidi="he-IL"/>
        </w:rPr>
        <w:footnoteReference w:id="565"/>
      </w:r>
      <w:r w:rsidR="00F614E1">
        <w:rPr>
          <w:rFonts w:ascii="Calibri" w:eastAsia="Times New Roman" w:hAnsi="Calibri" w:cs="Times New Roman"/>
          <w:lang w:val="en-GB" w:bidi="he-IL"/>
        </w:rPr>
        <w:t xml:space="preserve"> because (she said), “</w:t>
      </w:r>
      <w:r w:rsidR="007F4355">
        <w:rPr>
          <w:rFonts w:ascii="Calibri" w:eastAsia="Times New Roman" w:hAnsi="Calibri" w:cs="Times New Roman"/>
          <w:lang w:val="en-GB" w:bidi="he-IL"/>
        </w:rPr>
        <w:t>I will not watch</w:t>
      </w:r>
      <w:r w:rsidR="00C83370">
        <w:rPr>
          <w:rStyle w:val="FootnoteReference"/>
          <w:rFonts w:ascii="Calibri" w:eastAsia="Times New Roman" w:hAnsi="Calibri" w:cs="Times New Roman"/>
          <w:lang w:val="en-GB" w:bidi="he-IL"/>
        </w:rPr>
        <w:footnoteReference w:id="566"/>
      </w:r>
      <w:r w:rsidR="00F614E1">
        <w:rPr>
          <w:rFonts w:ascii="Calibri" w:eastAsia="Times New Roman" w:hAnsi="Calibri" w:cs="Times New Roman"/>
          <w:lang w:val="en-GB" w:bidi="he-IL"/>
        </w:rPr>
        <w:t xml:space="preserve"> the child die</w:t>
      </w:r>
      <w:r w:rsidRPr="008C0B9A">
        <w:rPr>
          <w:rFonts w:ascii="Calibri" w:eastAsia="Times New Roman" w:hAnsi="Calibri" w:cs="Times New Roman"/>
          <w:lang w:val="en-GB" w:bidi="he-IL"/>
        </w:rPr>
        <w:t>.</w:t>
      </w:r>
      <w:r w:rsidR="00F614E1">
        <w:rPr>
          <w:rFonts w:ascii="Calibri" w:eastAsia="Times New Roman" w:hAnsi="Calibri" w:cs="Times New Roman"/>
          <w:lang w:val="en-GB" w:bidi="he-IL"/>
        </w:rPr>
        <w:t>”</w:t>
      </w:r>
      <w:r w:rsidRPr="008C0B9A">
        <w:rPr>
          <w:rFonts w:ascii="Calibri" w:eastAsia="Times New Roman" w:hAnsi="Calibri" w:cs="Times New Roman"/>
          <w:lang w:val="en-GB" w:bidi="he-IL"/>
        </w:rPr>
        <w:t xml:space="preserve"> </w:t>
      </w:r>
    </w:p>
    <w:p w14:paraId="3283CF79" w14:textId="77777777" w:rsidR="008C0B9A" w:rsidRPr="008C0B9A" w:rsidRDefault="008C0B9A" w:rsidP="008C0B9A">
      <w:pPr>
        <w:rPr>
          <w:rFonts w:ascii="Calibri" w:eastAsia="Times New Roman" w:hAnsi="Calibri" w:cs="Times New Roman"/>
          <w:lang w:val="en-GB" w:bidi="he-IL"/>
        </w:rPr>
      </w:pPr>
      <w:r w:rsidRPr="008C0B9A">
        <w:rPr>
          <w:rFonts w:ascii="Calibri" w:eastAsia="Times New Roman" w:hAnsi="Calibri" w:cs="Times New Roman"/>
          <w:lang w:val="en-GB" w:bidi="he-IL"/>
        </w:rPr>
        <w:t>So she sat down at a distance and lifted up her voice and cried.</w:t>
      </w:r>
      <w:r w:rsidR="005C5EEC">
        <w:rPr>
          <w:rStyle w:val="FootnoteReference"/>
          <w:rFonts w:ascii="Calibri" w:eastAsia="Times New Roman" w:hAnsi="Calibri" w:cs="Times New Roman"/>
          <w:lang w:val="en-GB" w:bidi="he-IL"/>
        </w:rPr>
        <w:footnoteReference w:id="567"/>
      </w:r>
      <w:r w:rsidRPr="008C0B9A">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17</w:t>
      </w:r>
      <w:r w:rsidRPr="008C0B9A">
        <w:rPr>
          <w:rFonts w:ascii="Calibri" w:eastAsia="Times New Roman" w:hAnsi="Calibri" w:cs="Times New Roman"/>
          <w:lang w:val="en-GB" w:bidi="he-IL"/>
        </w:rPr>
        <w:t>But God listened to the boy’s voice, and God’s envoy called to Hagar fro</w:t>
      </w:r>
      <w:r w:rsidR="00F614E1">
        <w:rPr>
          <w:rFonts w:ascii="Calibri" w:eastAsia="Times New Roman" w:hAnsi="Calibri" w:cs="Times New Roman"/>
          <w:lang w:val="en-GB" w:bidi="he-IL"/>
        </w:rPr>
        <w:t>m the heavens and said to her, “</w:t>
      </w:r>
      <w:r w:rsidRPr="008C0B9A">
        <w:rPr>
          <w:rFonts w:ascii="Calibri" w:eastAsia="Times New Roman" w:hAnsi="Calibri" w:cs="Times New Roman"/>
          <w:lang w:val="en-GB" w:bidi="he-IL"/>
        </w:rPr>
        <w:t xml:space="preserve">What’s with you, Hagar? Don’t be afraid, because God has listened to the voice of the boy where he is. </w:t>
      </w:r>
      <w:r>
        <w:rPr>
          <w:rFonts w:ascii="Calibri" w:eastAsia="Times New Roman" w:hAnsi="Calibri" w:cs="Times New Roman"/>
          <w:vertAlign w:val="superscript"/>
          <w:lang w:val="en-GB" w:bidi="he-IL"/>
        </w:rPr>
        <w:t>18</w:t>
      </w:r>
      <w:r w:rsidRPr="008C0B9A">
        <w:rPr>
          <w:rFonts w:ascii="Calibri" w:eastAsia="Times New Roman" w:hAnsi="Calibri" w:cs="Times New Roman"/>
          <w:lang w:val="en-GB" w:bidi="he-IL"/>
        </w:rPr>
        <w:t>Get up, lift up the boy, take strong hold of him with your hand,</w:t>
      </w:r>
      <w:r w:rsidR="001979A8">
        <w:rPr>
          <w:rStyle w:val="FootnoteReference"/>
          <w:rFonts w:ascii="Calibri" w:eastAsia="Times New Roman" w:hAnsi="Calibri" w:cs="Times New Roman"/>
          <w:lang w:val="en-GB" w:bidi="he-IL"/>
        </w:rPr>
        <w:footnoteReference w:id="568"/>
      </w:r>
      <w:r w:rsidRPr="008C0B9A">
        <w:rPr>
          <w:rFonts w:ascii="Calibri" w:eastAsia="Times New Roman" w:hAnsi="Calibri" w:cs="Times New Roman"/>
          <w:lang w:val="en-GB" w:bidi="he-IL"/>
        </w:rPr>
        <w:t xml:space="preserve"> because I’m goin</w:t>
      </w:r>
      <w:r w:rsidR="00F614E1">
        <w:rPr>
          <w:rFonts w:ascii="Calibri" w:eastAsia="Times New Roman" w:hAnsi="Calibri" w:cs="Times New Roman"/>
          <w:lang w:val="en-GB" w:bidi="he-IL"/>
        </w:rPr>
        <w:t>g to make him into a big nation</w:t>
      </w:r>
      <w:r w:rsidRPr="008C0B9A">
        <w:rPr>
          <w:rFonts w:ascii="Calibri" w:eastAsia="Times New Roman" w:hAnsi="Calibri" w:cs="Times New Roman"/>
          <w:lang w:val="en-GB" w:bidi="he-IL"/>
        </w:rPr>
        <w:t>.</w:t>
      </w:r>
      <w:r w:rsidR="00F614E1">
        <w:rPr>
          <w:rFonts w:ascii="Calibri" w:eastAsia="Times New Roman" w:hAnsi="Calibri" w:cs="Times New Roman"/>
          <w:lang w:val="en-GB" w:bidi="he-IL"/>
        </w:rPr>
        <w:t>”</w:t>
      </w:r>
      <w:r w:rsidRPr="008C0B9A">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19</w:t>
      </w:r>
      <w:r w:rsidRPr="008C0B9A">
        <w:rPr>
          <w:rFonts w:ascii="Calibri" w:eastAsia="Times New Roman" w:hAnsi="Calibri" w:cs="Times New Roman"/>
          <w:lang w:val="en-GB" w:bidi="he-IL"/>
        </w:rPr>
        <w:t xml:space="preserve">God opened her eyes and she saw a well of water. She went and filled the skin with water, and got the boy to drink. </w:t>
      </w:r>
    </w:p>
    <w:p w14:paraId="05BB2715" w14:textId="77777777" w:rsidR="008C0B9A" w:rsidRPr="008C0B9A" w:rsidRDefault="008C0B9A" w:rsidP="008C0B9A">
      <w:pPr>
        <w:rPr>
          <w:rFonts w:ascii="Calibri" w:eastAsia="Times New Roman" w:hAnsi="Calibri" w:cs="Times New Roman"/>
          <w:lang w:val="en-GB" w:bidi="he-IL"/>
        </w:rPr>
      </w:pPr>
      <w:r>
        <w:rPr>
          <w:rFonts w:ascii="Calibri" w:eastAsia="Times New Roman" w:hAnsi="Calibri" w:cs="Times New Roman"/>
          <w:vertAlign w:val="superscript"/>
          <w:lang w:val="en-GB" w:bidi="he-IL"/>
        </w:rPr>
        <w:t>20</w:t>
      </w:r>
      <w:r w:rsidRPr="008C0B9A">
        <w:rPr>
          <w:rFonts w:ascii="Calibri" w:eastAsia="Times New Roman" w:hAnsi="Calibri" w:cs="Times New Roman"/>
          <w:lang w:val="en-GB" w:bidi="he-IL"/>
        </w:rPr>
        <w:t>God was with the boy. He grew up and lived in the wilderness, and became a bowman</w:t>
      </w:r>
      <w:r w:rsidR="00BD11BF">
        <w:rPr>
          <w:rFonts w:ascii="Calibri" w:eastAsia="Times New Roman" w:hAnsi="Calibri" w:cs="Times New Roman"/>
          <w:lang w:val="en-GB" w:bidi="he-IL"/>
        </w:rPr>
        <w:t xml:space="preserve"> (an archer)</w:t>
      </w:r>
      <w:r w:rsidRPr="008C0B9A">
        <w:rPr>
          <w:rFonts w:ascii="Calibri" w:eastAsia="Times New Roman" w:hAnsi="Calibri" w:cs="Times New Roman"/>
          <w:lang w:val="en-GB" w:bidi="he-IL"/>
        </w:rPr>
        <w:t>.</w:t>
      </w:r>
      <w:r w:rsidR="00BD11BF">
        <w:rPr>
          <w:rStyle w:val="FootnoteReference"/>
          <w:rFonts w:ascii="Calibri" w:eastAsia="Times New Roman" w:hAnsi="Calibri" w:cs="Times New Roman"/>
          <w:lang w:val="en-GB" w:bidi="he-IL"/>
        </w:rPr>
        <w:footnoteReference w:id="569"/>
      </w:r>
      <w:r w:rsidRPr="008C0B9A">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21</w:t>
      </w:r>
      <w:r w:rsidRPr="008C0B9A">
        <w:rPr>
          <w:rFonts w:ascii="Calibri" w:eastAsia="Times New Roman" w:hAnsi="Calibri" w:cs="Times New Roman"/>
          <w:lang w:val="en-GB" w:bidi="he-IL"/>
        </w:rPr>
        <w:t>He lived in the Pa</w:t>
      </w:r>
      <w:r w:rsidR="00757E1D">
        <w:rPr>
          <w:rFonts w:ascii="Calibri" w:eastAsia="Times New Roman" w:hAnsi="Calibri" w:cs="Times New Roman"/>
          <w:lang w:val="en-GB" w:bidi="he-IL"/>
        </w:rPr>
        <w:t>’r</w:t>
      </w:r>
      <w:r w:rsidRPr="008C0B9A">
        <w:rPr>
          <w:rFonts w:ascii="Calibri" w:eastAsia="Times New Roman" w:hAnsi="Calibri" w:cs="Times New Roman"/>
          <w:lang w:val="en-GB" w:bidi="he-IL"/>
        </w:rPr>
        <w:t xml:space="preserve">an Wilderness. His mother got </w:t>
      </w:r>
      <w:r w:rsidR="00E23BEC">
        <w:rPr>
          <w:rFonts w:ascii="Calibri" w:eastAsia="Times New Roman" w:hAnsi="Calibri" w:cs="Times New Roman"/>
          <w:lang w:val="en-GB" w:bidi="he-IL"/>
        </w:rPr>
        <w:t xml:space="preserve">him a wife </w:t>
      </w:r>
      <w:r w:rsidR="00F614E1">
        <w:rPr>
          <w:rFonts w:ascii="Calibri" w:eastAsia="Times New Roman" w:hAnsi="Calibri" w:cs="Times New Roman"/>
          <w:lang w:val="en-GB" w:bidi="he-IL"/>
        </w:rPr>
        <w:t>from the country of Miṣrayim</w:t>
      </w:r>
      <w:r w:rsidRPr="008C0B9A">
        <w:rPr>
          <w:rFonts w:ascii="Calibri" w:eastAsia="Times New Roman" w:hAnsi="Calibri" w:cs="Times New Roman"/>
          <w:lang w:val="en-GB" w:bidi="he-IL"/>
        </w:rPr>
        <w:t>.</w:t>
      </w:r>
    </w:p>
    <w:p w14:paraId="77D70719" w14:textId="77777777" w:rsidR="008C0B9A" w:rsidRDefault="00141055" w:rsidP="008C0B9A">
      <w:pPr>
        <w:pStyle w:val="Heading2"/>
        <w:rPr>
          <w:lang w:bidi="he-IL"/>
        </w:rPr>
      </w:pPr>
      <w:r>
        <w:rPr>
          <w:lang w:bidi="he-IL"/>
        </w:rPr>
        <w:t>Interpretation</w:t>
      </w:r>
    </w:p>
    <w:p w14:paraId="0955BAC9" w14:textId="7F4ED89F" w:rsidR="00C73A24" w:rsidRDefault="000F6D80" w:rsidP="002D5C78">
      <w:pPr>
        <w:rPr>
          <w:lang w:val="en-GB" w:bidi="he-IL"/>
        </w:rPr>
      </w:pPr>
      <w:r>
        <w:rPr>
          <w:lang w:val="en-GB" w:bidi="he-IL"/>
        </w:rPr>
        <w:t>In MT, vv. 1-21 comprise</w:t>
      </w:r>
      <w:r w:rsidR="005466B4">
        <w:rPr>
          <w:lang w:val="en-GB" w:bidi="he-IL"/>
        </w:rPr>
        <w:t>s</w:t>
      </w:r>
      <w:r>
        <w:rPr>
          <w:lang w:val="en-GB" w:bidi="he-IL"/>
        </w:rPr>
        <w:t xml:space="preserve"> the las</w:t>
      </w:r>
      <w:r w:rsidR="0099674D">
        <w:rPr>
          <w:lang w:val="en-GB" w:bidi="he-IL"/>
        </w:rPr>
        <w:t xml:space="preserve">t of </w:t>
      </w:r>
      <w:r w:rsidR="00AA28CF">
        <w:rPr>
          <w:lang w:val="en-GB" w:bidi="he-IL"/>
        </w:rPr>
        <w:t>the t</w:t>
      </w:r>
      <w:r w:rsidR="00EE2D82">
        <w:rPr>
          <w:lang w:val="en-GB" w:bidi="he-IL"/>
        </w:rPr>
        <w:t>hree paragraphs making</w:t>
      </w:r>
      <w:r w:rsidR="00B342AC">
        <w:rPr>
          <w:lang w:val="en-GB" w:bidi="he-IL"/>
        </w:rPr>
        <w:t xml:space="preserve"> up 18:1—21:21. It starts by bringing the narrative</w:t>
      </w:r>
      <w:r>
        <w:rPr>
          <w:lang w:val="en-GB" w:bidi="he-IL"/>
        </w:rPr>
        <w:t xml:space="preserve"> back to the point it reached at the end of 13:1—</w:t>
      </w:r>
      <w:r w:rsidR="008602D6">
        <w:rPr>
          <w:lang w:val="en-GB" w:bidi="he-IL"/>
        </w:rPr>
        <w:t>17:27, the previous unit</w:t>
      </w:r>
      <w:r w:rsidR="0099674D">
        <w:rPr>
          <w:lang w:val="en-GB" w:bidi="he-IL"/>
        </w:rPr>
        <w:t xml:space="preserve"> in MT</w:t>
      </w:r>
      <w:r>
        <w:rPr>
          <w:lang w:val="en-GB" w:bidi="he-IL"/>
        </w:rPr>
        <w:t xml:space="preserve">. </w:t>
      </w:r>
      <w:r w:rsidR="0099674D">
        <w:rPr>
          <w:lang w:val="en-GB" w:bidi="he-IL"/>
        </w:rPr>
        <w:t>The material in between</w:t>
      </w:r>
      <w:r w:rsidR="00B342AC">
        <w:rPr>
          <w:lang w:val="en-GB" w:bidi="he-IL"/>
        </w:rPr>
        <w:t xml:space="preserve"> </w:t>
      </w:r>
      <w:r w:rsidR="0035538C">
        <w:rPr>
          <w:lang w:val="en-GB" w:bidi="he-IL"/>
        </w:rPr>
        <w:t xml:space="preserve">in Gen 18--20 </w:t>
      </w:r>
      <w:r w:rsidR="00EE2D82">
        <w:rPr>
          <w:lang w:val="en-GB" w:bidi="he-IL"/>
        </w:rPr>
        <w:t>has comprised</w:t>
      </w:r>
      <w:r w:rsidR="0099674D">
        <w:rPr>
          <w:lang w:val="en-GB" w:bidi="he-IL"/>
        </w:rPr>
        <w:t xml:space="preserve"> a pair of diversions which </w:t>
      </w:r>
      <w:r w:rsidR="00587FEC">
        <w:rPr>
          <w:lang w:val="en-GB" w:bidi="he-IL"/>
        </w:rPr>
        <w:t>have raised suspense; t</w:t>
      </w:r>
      <w:r w:rsidR="00CF7FD6">
        <w:rPr>
          <w:lang w:val="en-GB" w:bidi="he-IL"/>
        </w:rPr>
        <w:t xml:space="preserve">here have been so many threats to the derailing of </w:t>
      </w:r>
      <w:r w:rsidR="00A15CBE">
        <w:rPr>
          <w:lang w:val="en-GB" w:bidi="he-IL"/>
        </w:rPr>
        <w:t xml:space="preserve">the story. </w:t>
      </w:r>
    </w:p>
    <w:p w14:paraId="3C456E5F" w14:textId="4F426C21" w:rsidR="00C73A24" w:rsidRDefault="00A15CBE" w:rsidP="00C73A24">
      <w:pPr>
        <w:rPr>
          <w:lang w:val="en-GB" w:bidi="he-IL"/>
        </w:rPr>
      </w:pPr>
      <w:r>
        <w:rPr>
          <w:lang w:val="en-GB" w:bidi="he-IL"/>
        </w:rPr>
        <w:t>Even if it does not d</w:t>
      </w:r>
      <w:r w:rsidR="00CF7FD6">
        <w:rPr>
          <w:lang w:val="en-GB" w:bidi="he-IL"/>
        </w:rPr>
        <w:t>e</w:t>
      </w:r>
      <w:r>
        <w:rPr>
          <w:lang w:val="en-GB" w:bidi="he-IL"/>
        </w:rPr>
        <w:t>r</w:t>
      </w:r>
      <w:r w:rsidR="00CF7FD6">
        <w:rPr>
          <w:lang w:val="en-GB" w:bidi="he-IL"/>
        </w:rPr>
        <w:t>ail, w</w:t>
      </w:r>
      <w:r w:rsidR="00AA28CF">
        <w:rPr>
          <w:lang w:val="en-GB" w:bidi="he-IL"/>
        </w:rPr>
        <w:t>hen will</w:t>
      </w:r>
      <w:r w:rsidR="0099674D">
        <w:rPr>
          <w:lang w:val="en-GB" w:bidi="he-IL"/>
        </w:rPr>
        <w:t xml:space="preserve"> Abraham and Sarah se</w:t>
      </w:r>
      <w:r>
        <w:rPr>
          <w:lang w:val="en-GB" w:bidi="he-IL"/>
        </w:rPr>
        <w:t>e the fulfilment of the promise</w:t>
      </w:r>
      <w:r w:rsidR="00B342AC">
        <w:rPr>
          <w:lang w:val="en-GB" w:bidi="he-IL"/>
        </w:rPr>
        <w:t xml:space="preserve"> God gave </w:t>
      </w:r>
      <w:r w:rsidR="0099674D">
        <w:rPr>
          <w:lang w:val="en-GB" w:bidi="he-IL"/>
        </w:rPr>
        <w:t xml:space="preserve">in Gen </w:t>
      </w:r>
      <w:r w:rsidR="008220BC">
        <w:rPr>
          <w:lang w:val="en-GB" w:bidi="he-IL"/>
        </w:rPr>
        <w:t>17</w:t>
      </w:r>
      <w:r w:rsidR="00B342AC">
        <w:rPr>
          <w:lang w:val="en-GB" w:bidi="he-IL"/>
        </w:rPr>
        <w:t xml:space="preserve">? </w:t>
      </w:r>
      <w:r w:rsidR="00C73A24">
        <w:rPr>
          <w:lang w:val="en-GB" w:bidi="he-IL"/>
        </w:rPr>
        <w:t>At last it comes. The account of Isaac’s birth in vv. 1-7 relate</w:t>
      </w:r>
      <w:r w:rsidR="0035538C">
        <w:rPr>
          <w:lang w:val="en-GB" w:bidi="he-IL"/>
        </w:rPr>
        <w:t>s</w:t>
      </w:r>
      <w:r w:rsidR="00C73A24">
        <w:rPr>
          <w:lang w:val="en-GB" w:bidi="he-IL"/>
        </w:rPr>
        <w:t xml:space="preserve"> the event in terms that appeared in the promises and instructions in Gen 17—20, thus emphasizing that Yahweh did as he had said and that Abraham did as he had been told. I</w:t>
      </w:r>
      <w:r w:rsidR="0010242A">
        <w:rPr>
          <w:lang w:val="en-GB" w:bidi="he-IL"/>
        </w:rPr>
        <w:t>ndeed, i</w:t>
      </w:r>
      <w:r w:rsidR="00C73A24">
        <w:rPr>
          <w:lang w:val="en-GB" w:bidi="he-IL"/>
        </w:rPr>
        <w:t>t tells us nothing beyond what Gen 17—20 trailered.</w:t>
      </w:r>
      <w:r w:rsidR="00C73A24">
        <w:rPr>
          <w:rStyle w:val="FootnoteReference"/>
          <w:lang w:val="en-GB" w:bidi="he-IL"/>
        </w:rPr>
        <w:footnoteReference w:id="570"/>
      </w:r>
      <w:r w:rsidR="00C73A24">
        <w:rPr>
          <w:lang w:val="en-GB" w:bidi="he-IL"/>
        </w:rPr>
        <w:t xml:space="preserve"> The account of this event, of such importance in the context of the wider narrative, might thus seem “peculiarly understated.”</w:t>
      </w:r>
      <w:r w:rsidR="00C73A24">
        <w:rPr>
          <w:rStyle w:val="FootnoteReference"/>
          <w:lang w:val="en-GB" w:bidi="he-IL"/>
        </w:rPr>
        <w:footnoteReference w:id="571"/>
      </w:r>
      <w:r w:rsidR="00C73A24">
        <w:rPr>
          <w:lang w:val="en-GB" w:bidi="he-IL"/>
        </w:rPr>
        <w:t xml:space="preserve"> Western readers would have expected something much more </w:t>
      </w:r>
      <w:r w:rsidR="00C73A24">
        <w:rPr>
          <w:lang w:val="en-GB" w:bidi="he-IL"/>
        </w:rPr>
        <w:lastRenderedPageBreak/>
        <w:t xml:space="preserve">concrete as well as celebratory. Yet the understated nature of the account matches the accounts of other births, beginning with 4:1-2a, 25-26. Accounts of births focus on the bare facts, though may add some other piece of information such as the child’s name, with a comment on its significance. Here the expansion on the bare account works by recycling language from the preceding chapters which thereby highlights how the event is indeed a fulfilment. </w:t>
      </w:r>
    </w:p>
    <w:p w14:paraId="288726E1" w14:textId="0D687493" w:rsidR="00A57D04" w:rsidRDefault="0010242A" w:rsidP="00A57D04">
      <w:pPr>
        <w:rPr>
          <w:lang w:val="en-GB" w:bidi="he-IL"/>
        </w:rPr>
      </w:pPr>
      <w:r>
        <w:rPr>
          <w:lang w:val="en-GB" w:bidi="he-IL"/>
        </w:rPr>
        <w:t>But w</w:t>
      </w:r>
      <w:r w:rsidR="00C73A24">
        <w:rPr>
          <w:lang w:val="en-GB" w:bidi="he-IL"/>
        </w:rPr>
        <w:t xml:space="preserve">hat will now happen to Hagar and Ishmael? </w:t>
      </w:r>
      <w:r w:rsidR="00A57D04">
        <w:rPr>
          <w:lang w:val="en-GB" w:bidi="he-IL"/>
        </w:rPr>
        <w:t>Vv. 8-21 then work as follows:</w:t>
      </w:r>
    </w:p>
    <w:p w14:paraId="541E0C35" w14:textId="77777777" w:rsidR="00A57D04" w:rsidRDefault="00A57D04" w:rsidP="00A57D04">
      <w:pPr>
        <w:rPr>
          <w:lang w:val="en-GB" w:bidi="he-IL"/>
        </w:rPr>
      </w:pPr>
    </w:p>
    <w:p w14:paraId="7F078649" w14:textId="63EB4760" w:rsidR="00A57D04" w:rsidRPr="00ED326E" w:rsidRDefault="00A57D04" w:rsidP="00A57D04">
      <w:pPr>
        <w:rPr>
          <w:lang w:val="en-GB" w:bidi="he-IL"/>
        </w:rPr>
      </w:pPr>
      <w:r>
        <w:rPr>
          <w:lang w:val="en-GB" w:bidi="he-IL"/>
        </w:rPr>
        <w:t xml:space="preserve">v. 8 </w:t>
      </w:r>
      <w:r>
        <w:rPr>
          <w:lang w:val="en-GB" w:bidi="he-IL"/>
        </w:rPr>
        <w:tab/>
      </w:r>
      <w:r>
        <w:rPr>
          <w:lang w:val="en-GB" w:bidi="he-IL"/>
        </w:rPr>
        <w:tab/>
        <w:t>tells of a great celebration.</w:t>
      </w:r>
    </w:p>
    <w:p w14:paraId="5EB796B4" w14:textId="77777777" w:rsidR="00A57D04" w:rsidRDefault="00A57D04" w:rsidP="00A57D04">
      <w:pPr>
        <w:rPr>
          <w:lang w:val="en-GB" w:bidi="he-IL"/>
        </w:rPr>
      </w:pPr>
      <w:proofErr w:type="gramStart"/>
      <w:r>
        <w:rPr>
          <w:lang w:val="en-GB" w:bidi="he-IL"/>
        </w:rPr>
        <w:t>vv</w:t>
      </w:r>
      <w:proofErr w:type="gramEnd"/>
      <w:r>
        <w:rPr>
          <w:lang w:val="en-GB" w:bidi="he-IL"/>
        </w:rPr>
        <w:t xml:space="preserve">. 9-10 </w:t>
      </w:r>
      <w:r>
        <w:rPr>
          <w:lang w:val="en-GB" w:bidi="he-IL"/>
        </w:rPr>
        <w:tab/>
        <w:t>set up a problem</w:t>
      </w:r>
    </w:p>
    <w:p w14:paraId="441D5EB8" w14:textId="77777777" w:rsidR="00A57D04" w:rsidRDefault="00A57D04" w:rsidP="00A57D04">
      <w:pPr>
        <w:rPr>
          <w:lang w:val="en-GB" w:bidi="he-IL"/>
        </w:rPr>
      </w:pPr>
      <w:r>
        <w:rPr>
          <w:lang w:val="en-GB" w:bidi="he-IL"/>
        </w:rPr>
        <w:t xml:space="preserve">v. 11 </w:t>
      </w:r>
      <w:r>
        <w:rPr>
          <w:lang w:val="en-GB" w:bidi="he-IL"/>
        </w:rPr>
        <w:tab/>
      </w:r>
      <w:r>
        <w:rPr>
          <w:lang w:val="en-GB" w:bidi="he-IL"/>
        </w:rPr>
        <w:tab/>
        <w:t>makes it worse</w:t>
      </w:r>
    </w:p>
    <w:p w14:paraId="35C77ED4" w14:textId="77777777" w:rsidR="00A57D04" w:rsidRDefault="00A57D04" w:rsidP="00A57D04">
      <w:pPr>
        <w:rPr>
          <w:lang w:val="en-GB" w:bidi="he-IL"/>
        </w:rPr>
      </w:pPr>
      <w:r>
        <w:rPr>
          <w:lang w:val="en-GB" w:bidi="he-IL"/>
        </w:rPr>
        <w:t xml:space="preserve">v. 12 </w:t>
      </w:r>
      <w:r>
        <w:rPr>
          <w:lang w:val="en-GB" w:bidi="he-IL"/>
        </w:rPr>
        <w:tab/>
      </w:r>
      <w:r>
        <w:rPr>
          <w:lang w:val="en-GB" w:bidi="he-IL"/>
        </w:rPr>
        <w:tab/>
        <w:t>makes it even worse</w:t>
      </w:r>
    </w:p>
    <w:p w14:paraId="41595785" w14:textId="77777777" w:rsidR="00A57D04" w:rsidRDefault="00A57D04" w:rsidP="00A57D04">
      <w:pPr>
        <w:rPr>
          <w:lang w:val="en-GB" w:bidi="he-IL"/>
        </w:rPr>
      </w:pPr>
      <w:r>
        <w:rPr>
          <w:lang w:val="en-GB" w:bidi="he-IL"/>
        </w:rPr>
        <w:t xml:space="preserve">v. 13 </w:t>
      </w:r>
      <w:r>
        <w:rPr>
          <w:lang w:val="en-GB" w:bidi="he-IL"/>
        </w:rPr>
        <w:tab/>
      </w:r>
      <w:r>
        <w:rPr>
          <w:lang w:val="en-GB" w:bidi="he-IL"/>
        </w:rPr>
        <w:tab/>
        <w:t>promises a solution: the question is, how will we get there?</w:t>
      </w:r>
    </w:p>
    <w:p w14:paraId="1B7F4E41" w14:textId="77777777" w:rsidR="00A57D04" w:rsidRDefault="00A57D04" w:rsidP="00A57D04">
      <w:pPr>
        <w:rPr>
          <w:lang w:val="en-GB" w:bidi="he-IL"/>
        </w:rPr>
      </w:pPr>
      <w:r>
        <w:rPr>
          <w:lang w:val="en-GB" w:bidi="he-IL"/>
        </w:rPr>
        <w:t xml:space="preserve">v. 14a </w:t>
      </w:r>
      <w:r>
        <w:rPr>
          <w:lang w:val="en-GB" w:bidi="he-IL"/>
        </w:rPr>
        <w:tab/>
      </w:r>
      <w:r>
        <w:rPr>
          <w:lang w:val="en-GB" w:bidi="he-IL"/>
        </w:rPr>
        <w:tab/>
        <w:t>relates how Abraham takes action</w:t>
      </w:r>
    </w:p>
    <w:p w14:paraId="7DE9CB48" w14:textId="77777777" w:rsidR="00A57D04" w:rsidRDefault="00A57D04" w:rsidP="00A57D04">
      <w:pPr>
        <w:rPr>
          <w:lang w:val="en-GB" w:bidi="he-IL"/>
        </w:rPr>
      </w:pPr>
      <w:proofErr w:type="gramStart"/>
      <w:r>
        <w:rPr>
          <w:lang w:val="en-GB" w:bidi="he-IL"/>
        </w:rPr>
        <w:t>vv</w:t>
      </w:r>
      <w:proofErr w:type="gramEnd"/>
      <w:r>
        <w:rPr>
          <w:lang w:val="en-GB" w:bidi="he-IL"/>
        </w:rPr>
        <w:t xml:space="preserve">. 14b-16a </w:t>
      </w:r>
      <w:r>
        <w:rPr>
          <w:lang w:val="en-GB" w:bidi="he-IL"/>
        </w:rPr>
        <w:tab/>
        <w:t>describes how things get even worse</w:t>
      </w:r>
    </w:p>
    <w:p w14:paraId="0D2887CA" w14:textId="77777777" w:rsidR="00A57D04" w:rsidRDefault="00A57D04" w:rsidP="00A57D04">
      <w:pPr>
        <w:rPr>
          <w:lang w:val="en-GB" w:bidi="he-IL"/>
        </w:rPr>
      </w:pPr>
      <w:proofErr w:type="gramStart"/>
      <w:r>
        <w:rPr>
          <w:lang w:val="en-GB" w:bidi="he-IL"/>
        </w:rPr>
        <w:t>vv</w:t>
      </w:r>
      <w:proofErr w:type="gramEnd"/>
      <w:r>
        <w:rPr>
          <w:lang w:val="en-GB" w:bidi="he-IL"/>
        </w:rPr>
        <w:t>. 16b-17</w:t>
      </w:r>
      <w:r>
        <w:rPr>
          <w:lang w:val="en-GB" w:bidi="he-IL"/>
        </w:rPr>
        <w:tab/>
        <w:t>relates the turning point</w:t>
      </w:r>
    </w:p>
    <w:p w14:paraId="66EE02F5" w14:textId="77777777" w:rsidR="00A57D04" w:rsidRDefault="00A57D04" w:rsidP="00A57D04">
      <w:pPr>
        <w:rPr>
          <w:lang w:val="en-GB" w:bidi="he-IL"/>
        </w:rPr>
      </w:pPr>
      <w:r>
        <w:rPr>
          <w:lang w:val="en-GB" w:bidi="he-IL"/>
        </w:rPr>
        <w:t>v. 18</w:t>
      </w:r>
      <w:r>
        <w:rPr>
          <w:lang w:val="en-GB" w:bidi="he-IL"/>
        </w:rPr>
        <w:tab/>
      </w:r>
      <w:r>
        <w:rPr>
          <w:lang w:val="en-GB" w:bidi="he-IL"/>
        </w:rPr>
        <w:tab/>
        <w:t>prescribes a short-term solution and repeats the long-term promise</w:t>
      </w:r>
    </w:p>
    <w:p w14:paraId="53F46225" w14:textId="77777777" w:rsidR="00A57D04" w:rsidRDefault="00A57D04" w:rsidP="00A57D04">
      <w:pPr>
        <w:rPr>
          <w:lang w:val="en-GB" w:bidi="he-IL"/>
        </w:rPr>
      </w:pPr>
      <w:r>
        <w:rPr>
          <w:lang w:val="en-GB" w:bidi="he-IL"/>
        </w:rPr>
        <w:t xml:space="preserve">v. 19 </w:t>
      </w:r>
      <w:r>
        <w:rPr>
          <w:lang w:val="en-GB" w:bidi="he-IL"/>
        </w:rPr>
        <w:tab/>
      </w:r>
      <w:r>
        <w:rPr>
          <w:lang w:val="en-GB" w:bidi="he-IL"/>
        </w:rPr>
        <w:tab/>
        <w:t>works out the short-term solution</w:t>
      </w:r>
    </w:p>
    <w:p w14:paraId="616609EB" w14:textId="77777777" w:rsidR="00A57D04" w:rsidRDefault="00A57D04" w:rsidP="00A57D04">
      <w:pPr>
        <w:rPr>
          <w:lang w:val="en-GB" w:bidi="he-IL"/>
        </w:rPr>
      </w:pPr>
      <w:proofErr w:type="gramStart"/>
      <w:r>
        <w:rPr>
          <w:lang w:val="en-GB" w:bidi="he-IL"/>
        </w:rPr>
        <w:t>vv</w:t>
      </w:r>
      <w:proofErr w:type="gramEnd"/>
      <w:r>
        <w:rPr>
          <w:lang w:val="en-GB" w:bidi="he-IL"/>
        </w:rPr>
        <w:t>. 20-21</w:t>
      </w:r>
      <w:r>
        <w:rPr>
          <w:lang w:val="en-GB" w:bidi="he-IL"/>
        </w:rPr>
        <w:tab/>
        <w:t xml:space="preserve">relates the necessary beginnings to fulfilment of the long-term promise </w:t>
      </w:r>
    </w:p>
    <w:p w14:paraId="22976C77" w14:textId="77777777" w:rsidR="00A57D04" w:rsidRDefault="00A57D04" w:rsidP="00A57D04">
      <w:pPr>
        <w:rPr>
          <w:lang w:val="en-GB" w:bidi="he-IL"/>
        </w:rPr>
      </w:pPr>
    </w:p>
    <w:p w14:paraId="2628E0E2" w14:textId="6E030804" w:rsidR="00A57D04" w:rsidRDefault="0010242A" w:rsidP="00A57D04">
      <w:pPr>
        <w:rPr>
          <w:lang w:val="en-GB" w:bidi="he-IL"/>
        </w:rPr>
      </w:pPr>
      <w:r>
        <w:rPr>
          <w:lang w:val="en-GB" w:bidi="he-IL"/>
        </w:rPr>
        <w:t>Through the drama the narrative</w:t>
      </w:r>
      <w:r w:rsidR="00A57D04">
        <w:rPr>
          <w:lang w:val="en-GB" w:bidi="he-IL"/>
        </w:rPr>
        <w:t xml:space="preserve"> </w:t>
      </w:r>
      <w:r w:rsidR="00A57D04" w:rsidRPr="00112CD1">
        <w:rPr>
          <w:lang w:val="en-GB" w:bidi="he-IL"/>
        </w:rPr>
        <w:t>point</w:t>
      </w:r>
      <w:r w:rsidR="00A57D04">
        <w:rPr>
          <w:lang w:val="en-GB" w:bidi="he-IL"/>
        </w:rPr>
        <w:t>s</w:t>
      </w:r>
      <w:r w:rsidR="00A57D04" w:rsidRPr="00112CD1">
        <w:rPr>
          <w:lang w:val="en-GB" w:bidi="he-IL"/>
        </w:rPr>
        <w:t xml:space="preserve"> to the range of feelings stirred up by the existence of Ishmael. </w:t>
      </w:r>
      <w:r w:rsidR="00A57D04">
        <w:rPr>
          <w:lang w:val="en-GB" w:bidi="he-IL"/>
        </w:rPr>
        <w:t xml:space="preserve">For </w:t>
      </w:r>
      <w:r w:rsidR="00A57D04" w:rsidRPr="00112CD1">
        <w:rPr>
          <w:lang w:val="en-GB" w:bidi="he-IL"/>
        </w:rPr>
        <w:t>Sarah</w:t>
      </w:r>
      <w:r w:rsidR="00A57D04">
        <w:rPr>
          <w:lang w:val="en-GB" w:bidi="he-IL"/>
        </w:rPr>
        <w:t xml:space="preserve"> there is resentment that dissolves her laughter</w:t>
      </w:r>
      <w:r w:rsidR="00A57D04" w:rsidRPr="00112CD1">
        <w:rPr>
          <w:lang w:val="en-GB" w:bidi="he-IL"/>
        </w:rPr>
        <w:t xml:space="preserve">. </w:t>
      </w:r>
      <w:r w:rsidR="00A57D04">
        <w:rPr>
          <w:lang w:val="en-GB" w:bidi="he-IL"/>
        </w:rPr>
        <w:t xml:space="preserve">For </w:t>
      </w:r>
      <w:r w:rsidR="00A57D04" w:rsidRPr="00112CD1">
        <w:rPr>
          <w:lang w:val="en-GB" w:bidi="he-IL"/>
        </w:rPr>
        <w:t>Abraham</w:t>
      </w:r>
      <w:r w:rsidR="00A57D04">
        <w:rPr>
          <w:lang w:val="en-GB" w:bidi="he-IL"/>
        </w:rPr>
        <w:t xml:space="preserve"> there is grief and reluctance</w:t>
      </w:r>
      <w:r w:rsidR="00A57D04" w:rsidRPr="00112CD1">
        <w:rPr>
          <w:lang w:val="en-GB" w:bidi="he-IL"/>
        </w:rPr>
        <w:t xml:space="preserve">. </w:t>
      </w:r>
      <w:r w:rsidR="00A57D04">
        <w:rPr>
          <w:lang w:val="en-GB" w:bidi="he-IL"/>
        </w:rPr>
        <w:t xml:space="preserve">For </w:t>
      </w:r>
      <w:r w:rsidR="00A57D04" w:rsidRPr="00112CD1">
        <w:rPr>
          <w:lang w:val="en-GB" w:bidi="he-IL"/>
        </w:rPr>
        <w:t>Hagar</w:t>
      </w:r>
      <w:r w:rsidR="00A57D04">
        <w:rPr>
          <w:lang w:val="en-GB" w:bidi="he-IL"/>
        </w:rPr>
        <w:t xml:space="preserve"> there is the agonizing pain of a mother who thinks she is about to watch her child die (but eventually the relief and joy of seeing him thrive)</w:t>
      </w:r>
      <w:r w:rsidR="00A57D04" w:rsidRPr="00112CD1">
        <w:rPr>
          <w:lang w:val="en-GB" w:bidi="he-IL"/>
        </w:rPr>
        <w:t xml:space="preserve">. </w:t>
      </w:r>
      <w:r w:rsidR="00A57D04">
        <w:rPr>
          <w:lang w:val="en-GB" w:bidi="he-IL"/>
        </w:rPr>
        <w:t xml:space="preserve">For </w:t>
      </w:r>
      <w:r w:rsidR="00A57D04" w:rsidRPr="00112CD1">
        <w:rPr>
          <w:lang w:val="en-GB" w:bidi="he-IL"/>
        </w:rPr>
        <w:t>Paul</w:t>
      </w:r>
      <w:r w:rsidR="00A57D04">
        <w:rPr>
          <w:lang w:val="en-GB" w:bidi="he-IL"/>
        </w:rPr>
        <w:t xml:space="preserve"> </w:t>
      </w:r>
      <w:r>
        <w:rPr>
          <w:lang w:val="en-GB" w:bidi="he-IL"/>
        </w:rPr>
        <w:t xml:space="preserve">in Gal 4 </w:t>
      </w:r>
      <w:r w:rsidR="00A57D04">
        <w:rPr>
          <w:lang w:val="en-GB" w:bidi="he-IL"/>
        </w:rPr>
        <w:t>there is a new way of picturing the relationship of Jews who believe in Jesus and Jews who don’t. For t</w:t>
      </w:r>
      <w:r w:rsidR="00A57D04" w:rsidRPr="00112CD1">
        <w:rPr>
          <w:lang w:val="en-GB" w:bidi="he-IL"/>
        </w:rPr>
        <w:t>he modern reader</w:t>
      </w:r>
      <w:r w:rsidR="00A57D04">
        <w:rPr>
          <w:lang w:val="en-GB" w:bidi="he-IL"/>
        </w:rPr>
        <w:t xml:space="preserve"> there is the scandal of the way Hagar is treated</w:t>
      </w:r>
      <w:r w:rsidR="00A57D04" w:rsidRPr="00112CD1">
        <w:rPr>
          <w:lang w:val="en-GB" w:bidi="he-IL"/>
        </w:rPr>
        <w:t>.</w:t>
      </w:r>
      <w:r w:rsidR="00A57D04">
        <w:rPr>
          <w:lang w:val="en-GB" w:bidi="he-IL"/>
        </w:rPr>
        <w:t xml:space="preserve"> For God there is the need to square the circle of commitment to Isaac and to Ishmael, to Sarah and to Hagar. For Ishmael himself, there is laughter then rejection by his father, but eventually the achieving of manhood, though among the human characters in the story, Ishmael is the one whose point of v</w:t>
      </w:r>
      <w:r>
        <w:rPr>
          <w:lang w:val="en-GB" w:bidi="he-IL"/>
        </w:rPr>
        <w:t xml:space="preserve">iew is most unstated. He is mainly a foil for Isaac; </w:t>
      </w:r>
      <w:r w:rsidR="00A57D04">
        <w:rPr>
          <w:lang w:val="en-GB" w:bidi="he-IL"/>
        </w:rPr>
        <w:t xml:space="preserve">vv. 1-21 </w:t>
      </w:r>
      <w:r>
        <w:rPr>
          <w:lang w:val="en-GB" w:bidi="he-IL"/>
        </w:rPr>
        <w:t xml:space="preserve">as a whole </w:t>
      </w:r>
      <w:r w:rsidR="00A57D04">
        <w:rPr>
          <w:lang w:val="en-GB" w:bidi="he-IL"/>
        </w:rPr>
        <w:t xml:space="preserve">is </w:t>
      </w:r>
      <w:r>
        <w:rPr>
          <w:lang w:val="en-GB" w:bidi="he-IL"/>
        </w:rPr>
        <w:t xml:space="preserve">centrally </w:t>
      </w:r>
      <w:r w:rsidR="00A57D04">
        <w:rPr>
          <w:lang w:val="en-GB" w:bidi="he-IL"/>
        </w:rPr>
        <w:t xml:space="preserve">a story about Isaac, about </w:t>
      </w:r>
      <w:r>
        <w:rPr>
          <w:lang w:val="en-GB" w:bidi="he-IL"/>
        </w:rPr>
        <w:t>how Ishmael definitively leaves the stage and surrenders</w:t>
      </w:r>
      <w:r w:rsidR="00A57D04">
        <w:rPr>
          <w:lang w:val="en-GB" w:bidi="he-IL"/>
        </w:rPr>
        <w:t xml:space="preserve"> it to Isaac.</w:t>
      </w:r>
      <w:r w:rsidR="00727890">
        <w:rPr>
          <w:lang w:val="en-GB" w:bidi="he-IL"/>
        </w:rPr>
        <w:t xml:space="preserve"> </w:t>
      </w:r>
      <w:r w:rsidR="00A57D04">
        <w:rPr>
          <w:lang w:val="en-GB" w:bidi="he-IL"/>
        </w:rPr>
        <w:t>It is a story about the elder son being</w:t>
      </w:r>
      <w:r w:rsidR="00A57D04" w:rsidRPr="00E71CD3">
        <w:rPr>
          <w:lang w:val="en-GB" w:bidi="he-IL"/>
        </w:rPr>
        <w:t xml:space="preserve"> </w:t>
      </w:r>
      <w:r w:rsidR="00A57D04">
        <w:rPr>
          <w:lang w:val="en-GB" w:bidi="he-IL"/>
        </w:rPr>
        <w:t>“</w:t>
      </w:r>
      <w:r w:rsidR="00A57D04" w:rsidRPr="00E71CD3">
        <w:rPr>
          <w:lang w:val="en-GB" w:bidi="he-IL"/>
        </w:rPr>
        <w:t>unfairly</w:t>
      </w:r>
      <w:r w:rsidR="00A57D04">
        <w:rPr>
          <w:lang w:val="en-GB" w:bidi="he-IL"/>
        </w:rPr>
        <w:t>”</w:t>
      </w:r>
      <w:r w:rsidR="00A57D04" w:rsidRPr="00E71CD3">
        <w:rPr>
          <w:lang w:val="en-GB" w:bidi="he-IL"/>
        </w:rPr>
        <w:t xml:space="preserve"> replaced by the younger.</w:t>
      </w:r>
      <w:r w:rsidR="00A57D04">
        <w:rPr>
          <w:lang w:val="en-GB" w:bidi="he-IL"/>
        </w:rPr>
        <w:t xml:space="preserve"> It thus compares with the later story of Esau’s loss of the blessing to Jacob (Gen 27). </w:t>
      </w:r>
    </w:p>
    <w:p w14:paraId="230D0F48" w14:textId="77777777" w:rsidR="0010242A" w:rsidRDefault="0010242A" w:rsidP="0010242A">
      <w:pPr>
        <w:rPr>
          <w:lang w:val="en-GB" w:bidi="he-IL"/>
        </w:rPr>
      </w:pPr>
      <w:r>
        <w:rPr>
          <w:lang w:val="en-GB" w:bidi="he-IL"/>
        </w:rPr>
        <w:t>In recounting what happens to Hagar and Ishmael, this story gives even less indication that something of the kind has happened before than Gen 20 does in its account of Abraham’s passing off his wife as his sister. Traditional source criticism sees most of vv. 8-21 as the equivalent in the Elohistic Abraham story to the J version in Gen 16. There is no unanimity over the source background to vv. 1-7; the implication of its nature as constructed from material in earlier chapters is that the author of Genesis devised it to provide the necessary account of Isaac’s birth.</w:t>
      </w:r>
    </w:p>
    <w:p w14:paraId="72B2799B" w14:textId="77777777" w:rsidR="00D77580" w:rsidRDefault="00A57D04" w:rsidP="00A57D04">
      <w:pPr>
        <w:rPr>
          <w:lang w:val="en-GB" w:bidi="he-IL"/>
        </w:rPr>
      </w:pPr>
      <w:r>
        <w:rPr>
          <w:b/>
          <w:lang w:val="en-GB" w:bidi="he-IL"/>
        </w:rPr>
        <w:t xml:space="preserve">21:1-7. </w:t>
      </w:r>
      <w:proofErr w:type="gramStart"/>
      <w:r>
        <w:rPr>
          <w:lang w:val="en-GB" w:bidi="he-IL"/>
        </w:rPr>
        <w:t>The</w:t>
      </w:r>
      <w:proofErr w:type="gramEnd"/>
      <w:r>
        <w:rPr>
          <w:lang w:val="en-GB" w:bidi="he-IL"/>
        </w:rPr>
        <w:t xml:space="preserve"> formulaic account of Isaac’s birth does not diminish its “crucial character”—rather the opposite. </w:t>
      </w:r>
    </w:p>
    <w:p w14:paraId="5E2966EF" w14:textId="3AA647D4" w:rsidR="00A57D04" w:rsidRDefault="00D77580" w:rsidP="00A57D04">
      <w:pPr>
        <w:rPr>
          <w:lang w:val="en-GB" w:bidi="he-IL"/>
        </w:rPr>
      </w:pPr>
      <w:r>
        <w:rPr>
          <w:lang w:val="en-GB" w:bidi="he-IL"/>
        </w:rPr>
        <w:t>The e</w:t>
      </w:r>
      <w:r w:rsidR="00A57D04">
        <w:rPr>
          <w:lang w:val="en-GB" w:bidi="he-IL"/>
        </w:rPr>
        <w:t>vent happen</w:t>
      </w:r>
      <w:r>
        <w:rPr>
          <w:lang w:val="en-GB" w:bidi="he-IL"/>
        </w:rPr>
        <w:t>s “as he said… as he had spoken</w:t>
      </w:r>
      <w:r w:rsidR="00A57D04">
        <w:rPr>
          <w:lang w:val="en-GB" w:bidi="he-IL"/>
        </w:rPr>
        <w:t>”</w:t>
      </w:r>
      <w:r>
        <w:rPr>
          <w:lang w:val="en-GB" w:bidi="he-IL"/>
        </w:rPr>
        <w:t xml:space="preserve"> (v. 1).</w:t>
      </w:r>
      <w:r w:rsidR="00A57D04">
        <w:rPr>
          <w:lang w:val="en-GB" w:bidi="he-IL"/>
        </w:rPr>
        <w:t xml:space="preserve"> </w:t>
      </w:r>
      <w:r>
        <w:rPr>
          <w:lang w:val="en-GB" w:bidi="he-IL"/>
        </w:rPr>
        <w:t xml:space="preserve">The story of Isaac’s birth begins with an emphasis on the one who brought it about. </w:t>
      </w:r>
      <w:r w:rsidR="00A57D04">
        <w:rPr>
          <w:lang w:val="en-GB" w:bidi="he-IL"/>
        </w:rPr>
        <w:t>If he had not made it happen, it would not have happened; and if it had not happened, God’s promise would just have been something in the spiritual realm without purchase in the ordinary world. To take seriously “the promissory nature of faith… requires a break with our prosaic world-view which does not believe in active, world-changing words from God” and which is inclined “to romanticize the promise and remove it from the arena of historical reality” in which God takes action through people the world regards as good as dead (Heb 11:11-12).</w:t>
      </w:r>
      <w:r w:rsidR="00A57D04">
        <w:rPr>
          <w:rStyle w:val="FootnoteReference"/>
          <w:lang w:val="en-GB" w:bidi="he-IL"/>
        </w:rPr>
        <w:footnoteReference w:id="572"/>
      </w:r>
      <w:r w:rsidR="00A57D04">
        <w:rPr>
          <w:lang w:val="en-GB" w:bidi="he-IL"/>
        </w:rPr>
        <w:t xml:space="preserve"> </w:t>
      </w:r>
      <w:r>
        <w:rPr>
          <w:lang w:val="en-GB" w:bidi="he-IL"/>
        </w:rPr>
        <w:lastRenderedPageBreak/>
        <w:t xml:space="preserve">The lack of any reference to Abraham and Sarah having sex (contrast 4:1, 25; 16:4) underscores the point. </w:t>
      </w:r>
      <w:r w:rsidR="00A57D04">
        <w:rPr>
          <w:lang w:val="en-GB" w:bidi="he-IL"/>
        </w:rPr>
        <w:t>And the verb “attended to” (</w:t>
      </w:r>
      <w:proofErr w:type="gramStart"/>
      <w:r w:rsidR="00A57D04">
        <w:rPr>
          <w:i/>
          <w:lang w:val="en-GB" w:bidi="he-IL"/>
        </w:rPr>
        <w:t xml:space="preserve">pāqad </w:t>
      </w:r>
      <w:r w:rsidR="00A57D04">
        <w:rPr>
          <w:lang w:val="en-GB" w:bidi="he-IL"/>
        </w:rPr>
        <w:t>,</w:t>
      </w:r>
      <w:proofErr w:type="gramEnd"/>
      <w:r w:rsidR="00A57D04">
        <w:rPr>
          <w:lang w:val="en-GB" w:bidi="he-IL"/>
        </w:rPr>
        <w:t xml:space="preserve"> traditionally translated “visit”) emphasizes Yahweh’s special involvement in taking action to do as he had said, especially when it looks as if he is never going to do so—for his people (cf. 50:24, where again God as the subject precedes the verb) or for an individual (cf. 1 Sam 2:21, in a similar connection to the one here). The verb’s significanc</w:t>
      </w:r>
      <w:r>
        <w:rPr>
          <w:lang w:val="en-GB" w:bidi="he-IL"/>
        </w:rPr>
        <w:t xml:space="preserve">e </w:t>
      </w:r>
      <w:r w:rsidR="00A57D04">
        <w:rPr>
          <w:lang w:val="en-GB" w:bidi="he-IL"/>
        </w:rPr>
        <w:t>overlaps with that of the verb “be mindful of” (</w:t>
      </w:r>
      <w:r w:rsidR="00A57D04">
        <w:rPr>
          <w:i/>
          <w:lang w:val="en-GB" w:bidi="he-IL"/>
        </w:rPr>
        <w:t>zākar</w:t>
      </w:r>
      <w:r w:rsidR="00A57D04">
        <w:rPr>
          <w:lang w:val="en-GB" w:bidi="he-IL"/>
        </w:rPr>
        <w:t xml:space="preserve">; e.g. 8:1; 19:29), which </w:t>
      </w:r>
      <w:proofErr w:type="gramStart"/>
      <w:r w:rsidR="00A57D04">
        <w:rPr>
          <w:lang w:val="en-GB" w:bidi="he-IL"/>
        </w:rPr>
        <w:t>Tg</w:t>
      </w:r>
      <w:proofErr w:type="gramEnd"/>
      <w:r w:rsidR="00A57D04">
        <w:rPr>
          <w:lang w:val="en-GB" w:bidi="he-IL"/>
        </w:rPr>
        <w:t xml:space="preserve"> uses here. </w:t>
      </w:r>
    </w:p>
    <w:p w14:paraId="0FE47E22" w14:textId="2DF00ACC" w:rsidR="00A57D04" w:rsidRDefault="00D77580" w:rsidP="00D77580">
      <w:pPr>
        <w:rPr>
          <w:lang w:val="en-GB" w:bidi="he-IL"/>
        </w:rPr>
      </w:pPr>
      <w:r>
        <w:rPr>
          <w:lang w:val="en-GB" w:bidi="he-IL"/>
        </w:rPr>
        <w:t xml:space="preserve">So </w:t>
      </w:r>
      <w:r w:rsidR="008220BC">
        <w:rPr>
          <w:lang w:val="en-GB" w:bidi="he-IL"/>
        </w:rPr>
        <w:t>Sarah gets pregnant</w:t>
      </w:r>
      <w:r w:rsidR="00A57D04">
        <w:rPr>
          <w:lang w:val="en-GB" w:bidi="he-IL"/>
        </w:rPr>
        <w:t xml:space="preserve"> (v. 2)</w:t>
      </w:r>
      <w:r w:rsidR="008220BC">
        <w:rPr>
          <w:lang w:val="en-GB" w:bidi="he-IL"/>
        </w:rPr>
        <w:t xml:space="preserve">—the verb </w:t>
      </w:r>
      <w:r w:rsidR="00AA28CF">
        <w:rPr>
          <w:lang w:val="en-GB" w:bidi="he-IL"/>
        </w:rPr>
        <w:t xml:space="preserve">was </w:t>
      </w:r>
      <w:r w:rsidR="008220BC">
        <w:rPr>
          <w:lang w:val="en-GB" w:bidi="he-IL"/>
        </w:rPr>
        <w:t>used four times of Hagar in Gen 16, but it’s nev</w:t>
      </w:r>
      <w:r w:rsidR="00847A9D">
        <w:rPr>
          <w:lang w:val="en-GB" w:bidi="he-IL"/>
        </w:rPr>
        <w:t>e</w:t>
      </w:r>
      <w:r w:rsidR="008220BC">
        <w:rPr>
          <w:lang w:val="en-GB" w:bidi="he-IL"/>
        </w:rPr>
        <w:t>r been used of Sarah before.</w:t>
      </w:r>
      <w:r w:rsidR="00AA28CF">
        <w:rPr>
          <w:lang w:val="en-GB" w:bidi="he-IL"/>
        </w:rPr>
        <w:t xml:space="preserve"> </w:t>
      </w:r>
      <w:r w:rsidR="00975EAB">
        <w:rPr>
          <w:lang w:val="en-GB" w:bidi="he-IL"/>
        </w:rPr>
        <w:t xml:space="preserve">And </w:t>
      </w:r>
      <w:r w:rsidR="00AA28CF">
        <w:rPr>
          <w:lang w:val="en-GB" w:bidi="he-IL"/>
        </w:rPr>
        <w:t>Sarah</w:t>
      </w:r>
      <w:r w:rsidR="00847A9D">
        <w:rPr>
          <w:lang w:val="en-GB" w:bidi="he-IL"/>
        </w:rPr>
        <w:t xml:space="preserve"> gives birth—the verb </w:t>
      </w:r>
      <w:r w:rsidR="00AA28CF">
        <w:rPr>
          <w:lang w:val="en-GB" w:bidi="he-IL"/>
        </w:rPr>
        <w:t xml:space="preserve">was </w:t>
      </w:r>
      <w:r w:rsidR="00847A9D">
        <w:rPr>
          <w:lang w:val="en-GB" w:bidi="he-IL"/>
        </w:rPr>
        <w:t xml:space="preserve">used three times of Hagar, but only with a negative of Sarah (16:1) or </w:t>
      </w:r>
      <w:r w:rsidR="00B342AC">
        <w:rPr>
          <w:lang w:val="en-GB" w:bidi="he-IL"/>
        </w:rPr>
        <w:t>with a question mark (17:17). The pregnancy and birth happen</w:t>
      </w:r>
      <w:r w:rsidR="00847A9D">
        <w:rPr>
          <w:lang w:val="en-GB" w:bidi="he-IL"/>
        </w:rPr>
        <w:t xml:space="preserve"> in Abraha</w:t>
      </w:r>
      <w:r w:rsidR="00B342AC">
        <w:rPr>
          <w:lang w:val="en-GB" w:bidi="he-IL"/>
        </w:rPr>
        <w:t xml:space="preserve">m’s “old age,” whose reality </w:t>
      </w:r>
      <w:r w:rsidR="00847A9D">
        <w:rPr>
          <w:lang w:val="en-GB" w:bidi="he-IL"/>
        </w:rPr>
        <w:t xml:space="preserve">made the idea seem so implausible (18:11-12). </w:t>
      </w:r>
      <w:r>
        <w:rPr>
          <w:lang w:val="en-GB" w:bidi="he-IL"/>
        </w:rPr>
        <w:t xml:space="preserve">Gen 18—19 and Gen 20 have said that Sarah would have her baby next year. When will next year come? At last it comes, at the </w:t>
      </w:r>
      <w:r w:rsidR="00975EAB">
        <w:rPr>
          <w:lang w:val="en-GB" w:bidi="he-IL"/>
        </w:rPr>
        <w:t>“</w:t>
      </w:r>
      <w:r>
        <w:rPr>
          <w:lang w:val="en-GB" w:bidi="he-IL"/>
        </w:rPr>
        <w:t>set time” of which God had spoken (cf. 17:21).</w:t>
      </w:r>
    </w:p>
    <w:p w14:paraId="7DD440D9" w14:textId="7E0B1FAE" w:rsidR="000F6D80" w:rsidRDefault="00A350CD" w:rsidP="002D5C78">
      <w:pPr>
        <w:rPr>
          <w:lang w:val="en-GB" w:bidi="he-IL"/>
        </w:rPr>
      </w:pPr>
      <w:r>
        <w:rPr>
          <w:lang w:val="en-GB" w:bidi="he-IL"/>
        </w:rPr>
        <w:t xml:space="preserve">Thus </w:t>
      </w:r>
      <w:r w:rsidRPr="00A350CD">
        <w:rPr>
          <w:lang w:val="en-GB" w:bidi="he-IL"/>
        </w:rPr>
        <w:t xml:space="preserve">Abraham is able to </w:t>
      </w:r>
      <w:r w:rsidR="00975EAB">
        <w:rPr>
          <w:lang w:val="en-GB" w:bidi="he-IL"/>
        </w:rPr>
        <w:t xml:space="preserve">follow God’s instructions (vv. 3-5) in naming </w:t>
      </w:r>
      <w:r w:rsidR="0010242A">
        <w:rPr>
          <w:lang w:val="en-GB" w:bidi="he-IL"/>
        </w:rPr>
        <w:t>Isaac as God sai</w:t>
      </w:r>
      <w:r w:rsidR="00B342AC">
        <w:rPr>
          <w:lang w:val="en-GB" w:bidi="he-IL"/>
        </w:rPr>
        <w:t>d</w:t>
      </w:r>
      <w:r w:rsidR="00975EAB">
        <w:rPr>
          <w:lang w:val="en-GB" w:bidi="he-IL"/>
        </w:rPr>
        <w:t xml:space="preserve"> and in</w:t>
      </w:r>
      <w:r w:rsidR="00847A9D">
        <w:rPr>
          <w:lang w:val="en-GB" w:bidi="he-IL"/>
        </w:rPr>
        <w:t xml:space="preserve"> do</w:t>
      </w:r>
      <w:r w:rsidR="00975EAB">
        <w:rPr>
          <w:lang w:val="en-GB" w:bidi="he-IL"/>
        </w:rPr>
        <w:t>ing</w:t>
      </w:r>
      <w:r w:rsidR="00847A9D">
        <w:rPr>
          <w:lang w:val="en-GB" w:bidi="he-IL"/>
        </w:rPr>
        <w:t xml:space="preserve"> what Gen 17 said about circumcising Isaac</w:t>
      </w:r>
      <w:r w:rsidR="00975EAB">
        <w:rPr>
          <w:lang w:val="en-GB" w:bidi="he-IL"/>
        </w:rPr>
        <w:t xml:space="preserve"> him. </w:t>
      </w:r>
      <w:r w:rsidR="005030E5" w:rsidRPr="005030E5">
        <w:rPr>
          <w:lang w:val="en-GB" w:bidi="he-IL"/>
        </w:rPr>
        <w:t xml:space="preserve">In Gen 17 Abraham </w:t>
      </w:r>
      <w:r w:rsidR="005030E5">
        <w:rPr>
          <w:lang w:val="en-GB" w:bidi="he-IL"/>
        </w:rPr>
        <w:t xml:space="preserve">had </w:t>
      </w:r>
      <w:r w:rsidR="00975EAB">
        <w:rPr>
          <w:lang w:val="en-GB" w:bidi="he-IL"/>
        </w:rPr>
        <w:t>protested that God’s promise</w:t>
      </w:r>
      <w:r w:rsidR="005030E5" w:rsidRPr="005030E5">
        <w:rPr>
          <w:lang w:val="en-GB" w:bidi="he-IL"/>
        </w:rPr>
        <w:t xml:space="preserve"> would mean </w:t>
      </w:r>
      <w:r w:rsidR="007013C4">
        <w:rPr>
          <w:lang w:val="en-GB" w:bidi="he-IL"/>
        </w:rPr>
        <w:t>they were going to have a baby</w:t>
      </w:r>
      <w:r w:rsidR="0010242A">
        <w:rPr>
          <w:lang w:val="en-GB" w:bidi="he-IL"/>
        </w:rPr>
        <w:t xml:space="preserve"> when he was </w:t>
      </w:r>
      <w:r w:rsidR="005030E5" w:rsidRPr="005030E5">
        <w:rPr>
          <w:lang w:val="en-GB" w:bidi="he-IL"/>
        </w:rPr>
        <w:t xml:space="preserve">a hundred years </w:t>
      </w:r>
      <w:r w:rsidR="003047FB">
        <w:rPr>
          <w:lang w:val="en-GB" w:bidi="he-IL"/>
        </w:rPr>
        <w:t>old and</w:t>
      </w:r>
      <w:r w:rsidR="00975EAB">
        <w:rPr>
          <w:lang w:val="en-GB" w:bidi="he-IL"/>
        </w:rPr>
        <w:t xml:space="preserve"> Sarah ninety, and the narrative</w:t>
      </w:r>
      <w:r w:rsidR="00B342AC">
        <w:rPr>
          <w:lang w:val="en-GB" w:bidi="he-IL"/>
        </w:rPr>
        <w:t xml:space="preserve"> confirms that Abraham</w:t>
      </w:r>
      <w:r w:rsidR="005030E5" w:rsidRPr="005030E5">
        <w:rPr>
          <w:lang w:val="en-GB" w:bidi="he-IL"/>
        </w:rPr>
        <w:t xml:space="preserve"> is a hundred years old though it politely </w:t>
      </w:r>
      <w:r w:rsidR="003047FB">
        <w:rPr>
          <w:lang w:val="en-GB" w:bidi="he-IL"/>
        </w:rPr>
        <w:t>refrains from confirming Sarah’s</w:t>
      </w:r>
      <w:r w:rsidR="005030E5" w:rsidRPr="005030E5">
        <w:rPr>
          <w:lang w:val="en-GB" w:bidi="he-IL"/>
        </w:rPr>
        <w:t xml:space="preserve"> age.</w:t>
      </w:r>
    </w:p>
    <w:p w14:paraId="03DEC722" w14:textId="4B925B36" w:rsidR="00975EAB" w:rsidRPr="00212684" w:rsidRDefault="00975EAB" w:rsidP="00975EAB">
      <w:pPr>
        <w:rPr>
          <w:lang w:val="en-GB" w:bidi="he-IL"/>
        </w:rPr>
      </w:pPr>
      <w:r>
        <w:rPr>
          <w:lang w:val="en-GB" w:bidi="he-IL"/>
        </w:rPr>
        <w:t>Sarah now</w:t>
      </w:r>
      <w:r w:rsidR="00A57D04">
        <w:rPr>
          <w:lang w:val="en-GB" w:bidi="he-IL"/>
        </w:rPr>
        <w:t xml:space="preserve"> give</w:t>
      </w:r>
      <w:r w:rsidR="007013C4">
        <w:rPr>
          <w:lang w:val="en-GB" w:bidi="he-IL"/>
        </w:rPr>
        <w:t>s</w:t>
      </w:r>
      <w:r w:rsidR="00A57D04">
        <w:rPr>
          <w:lang w:val="en-GB" w:bidi="he-IL"/>
        </w:rPr>
        <w:t xml:space="preserve"> her account </w:t>
      </w:r>
      <w:r>
        <w:rPr>
          <w:lang w:val="en-GB" w:bidi="he-IL"/>
        </w:rPr>
        <w:t xml:space="preserve">of her response to the event </w:t>
      </w:r>
      <w:r w:rsidR="00A57D04">
        <w:rPr>
          <w:lang w:val="en-GB" w:bidi="he-IL"/>
        </w:rPr>
        <w:t xml:space="preserve">(v. 6), like Eve (4:1, 25), and like Hagar </w:t>
      </w:r>
      <w:r>
        <w:rPr>
          <w:lang w:val="en-GB" w:bidi="he-IL"/>
        </w:rPr>
        <w:t>when she got pregnant (16:9-13). The account contrasts with the way Abraham voices no emotional outburst</w:t>
      </w:r>
      <w:r w:rsidR="007013C4">
        <w:rPr>
          <w:lang w:val="en-GB" w:bidi="he-IL"/>
        </w:rPr>
        <w:t>.</w:t>
      </w:r>
      <w:r>
        <w:rPr>
          <w:rStyle w:val="FootnoteReference"/>
          <w:lang w:val="en-GB" w:bidi="he-IL"/>
        </w:rPr>
        <w:footnoteReference w:id="573"/>
      </w:r>
      <w:r w:rsidR="007013C4">
        <w:rPr>
          <w:lang w:val="en-GB" w:bidi="he-IL"/>
        </w:rPr>
        <w:t xml:space="preserve"> W</w:t>
      </w:r>
      <w:r>
        <w:rPr>
          <w:lang w:val="en-GB" w:bidi="he-IL"/>
        </w:rPr>
        <w:t xml:space="preserve">ould he be remembering that it will be several years before he can assume that Isaac </w:t>
      </w:r>
      <w:r w:rsidR="007013C4">
        <w:rPr>
          <w:lang w:val="en-GB" w:bidi="he-IL"/>
        </w:rPr>
        <w:t>will survive towards adulthood? But f</w:t>
      </w:r>
      <w:r w:rsidR="00A57D04">
        <w:rPr>
          <w:lang w:val="en-GB" w:bidi="he-IL"/>
        </w:rPr>
        <w:t xml:space="preserve">athers </w:t>
      </w:r>
      <w:r w:rsidR="007013C4">
        <w:rPr>
          <w:lang w:val="en-GB" w:bidi="he-IL"/>
        </w:rPr>
        <w:t xml:space="preserve">may </w:t>
      </w:r>
      <w:r w:rsidR="00A57D04">
        <w:rPr>
          <w:lang w:val="en-GB" w:bidi="he-IL"/>
        </w:rPr>
        <w:t>have less to say than mothers when children are born. First, Sarah tweaks earlier references to “laughing” (</w:t>
      </w:r>
      <w:r w:rsidR="00A57D04">
        <w:rPr>
          <w:i/>
          <w:lang w:val="en-GB" w:bidi="he-IL"/>
        </w:rPr>
        <w:t>ṣāḥaq</w:t>
      </w:r>
      <w:r w:rsidR="00A57D04">
        <w:rPr>
          <w:lang w:val="en-GB" w:bidi="he-IL"/>
        </w:rPr>
        <w:t>)</w:t>
      </w:r>
      <w:r w:rsidR="00A57D04">
        <w:rPr>
          <w:i/>
          <w:lang w:val="en-GB" w:bidi="he-IL"/>
        </w:rPr>
        <w:t xml:space="preserve">, </w:t>
      </w:r>
      <w:r w:rsidR="00A57D04">
        <w:rPr>
          <w:lang w:val="en-GB" w:bidi="he-IL"/>
        </w:rPr>
        <w:t>making links with the name God had provided for Isaac; most of the Fi</w:t>
      </w:r>
      <w:r>
        <w:rPr>
          <w:lang w:val="en-GB" w:bidi="he-IL"/>
        </w:rPr>
        <w:t>rst Testament occurrences of this</w:t>
      </w:r>
      <w:r w:rsidR="00A57D04">
        <w:rPr>
          <w:lang w:val="en-GB" w:bidi="he-IL"/>
        </w:rPr>
        <w:t xml:space="preserve"> root come in Gen 17—21. Whereas the idea of Sarah having a baby had made both Abraham and Sarah laugh in a way that could suggest joyful wonder but could signify disillusioned scepticism (a negative or positive disbelief), now Sarah speaks of an unequivocally happy laughter. It is a laughter that everyone will share (“will laugh” is </w:t>
      </w:r>
      <w:r w:rsidR="00A57D04">
        <w:rPr>
          <w:i/>
          <w:lang w:val="en-GB" w:bidi="he-IL"/>
        </w:rPr>
        <w:t>yiṣḥāq</w:t>
      </w:r>
      <w:r w:rsidR="00A57D04">
        <w:rPr>
          <w:lang w:val="en-GB" w:bidi="he-IL"/>
        </w:rPr>
        <w:t>, the actual form of Isaac’s name), because (the narrator hints) it is significant for everyone through its relationship to God’s purpose to bring blessing to everyone.</w:t>
      </w:r>
      <w:r>
        <w:rPr>
          <w:lang w:val="en-GB" w:bidi="he-IL"/>
        </w:rPr>
        <w:t xml:space="preserve"> So </w:t>
      </w:r>
      <w:r w:rsidRPr="00A350CD">
        <w:rPr>
          <w:lang w:val="en-GB" w:bidi="he-IL"/>
        </w:rPr>
        <w:t xml:space="preserve">Sarah is able to </w:t>
      </w:r>
      <w:r>
        <w:rPr>
          <w:lang w:val="en-GB" w:bidi="he-IL"/>
        </w:rPr>
        <w:t>laugh again and/or to laugh in a new way compared with her laughing in Gen 18, and able to imagine other people joining in her laughter. If there had been any</w:t>
      </w:r>
      <w:r>
        <w:t xml:space="preserve"> cynical laughter on the part of Abraham or Sarah when God gave them his promise, “it has not been held against them; it has been turned into genuine joy at this new life made possible by God. God has brought an end to cynicism and despair of the future; joyful hope fills the scene.”</w:t>
      </w:r>
      <w:r>
        <w:rPr>
          <w:rStyle w:val="FootnoteReference"/>
        </w:rPr>
        <w:footnoteReference w:id="574"/>
      </w:r>
    </w:p>
    <w:p w14:paraId="15130100" w14:textId="0D60ED17" w:rsidR="003C6763" w:rsidRDefault="00A57D04" w:rsidP="003C6763">
      <w:pPr>
        <w:rPr>
          <w:lang w:val="en-GB" w:bidi="he-IL"/>
        </w:rPr>
      </w:pPr>
      <w:r>
        <w:rPr>
          <w:lang w:val="en-GB" w:bidi="he-IL"/>
        </w:rPr>
        <w:t>Sarah continues with a reference to nursing (v. 7), the only reference in Genesis to a mother nursing (and also something of a miracle for Sarah at her age),</w:t>
      </w:r>
      <w:r w:rsidR="003C6763">
        <w:rPr>
          <w:lang w:val="en-GB" w:bidi="he-IL"/>
        </w:rPr>
        <w:t xml:space="preserve"> which leads into what follows. F</w:t>
      </w:r>
      <w:r w:rsidR="008E7099" w:rsidRPr="008E7099">
        <w:rPr>
          <w:lang w:val="en-GB" w:bidi="he-IL"/>
        </w:rPr>
        <w:t>ar from being “pointless,”</w:t>
      </w:r>
      <w:r w:rsidR="008E7099" w:rsidRPr="008E7099">
        <w:rPr>
          <w:vertAlign w:val="superscript"/>
          <w:lang w:val="en-GB" w:bidi="he-IL"/>
        </w:rPr>
        <w:footnoteReference w:id="575"/>
      </w:r>
      <w:r w:rsidR="008E7099" w:rsidRPr="008E7099">
        <w:rPr>
          <w:lang w:val="en-GB" w:bidi="he-IL"/>
        </w:rPr>
        <w:t xml:space="preserve"> </w:t>
      </w:r>
      <w:r w:rsidR="003C6763">
        <w:rPr>
          <w:lang w:val="en-GB" w:bidi="he-IL"/>
        </w:rPr>
        <w:t xml:space="preserve">her comment not only </w:t>
      </w:r>
      <w:r w:rsidR="003047FB">
        <w:rPr>
          <w:lang w:val="en-GB" w:bidi="he-IL"/>
        </w:rPr>
        <w:t>say</w:t>
      </w:r>
      <w:r w:rsidR="008E7099">
        <w:rPr>
          <w:lang w:val="en-GB" w:bidi="he-IL"/>
        </w:rPr>
        <w:t>s</w:t>
      </w:r>
      <w:r w:rsidR="003047FB">
        <w:rPr>
          <w:lang w:val="en-GB" w:bidi="he-IL"/>
        </w:rPr>
        <w:t xml:space="preserve"> something new ove</w:t>
      </w:r>
      <w:r w:rsidR="003C6763">
        <w:rPr>
          <w:lang w:val="en-GB" w:bidi="he-IL"/>
        </w:rPr>
        <w:t>r against what has preceded, but also</w:t>
      </w:r>
      <w:r w:rsidR="008E7099">
        <w:rPr>
          <w:lang w:val="en-GB" w:bidi="he-IL"/>
        </w:rPr>
        <w:t xml:space="preserve"> in doing so </w:t>
      </w:r>
      <w:r w:rsidR="00581429">
        <w:rPr>
          <w:lang w:val="en-GB" w:bidi="he-IL"/>
        </w:rPr>
        <w:t>lead</w:t>
      </w:r>
      <w:r w:rsidR="007013C4">
        <w:rPr>
          <w:lang w:val="en-GB" w:bidi="he-IL"/>
        </w:rPr>
        <w:t>s</w:t>
      </w:r>
      <w:r w:rsidR="00581429">
        <w:rPr>
          <w:lang w:val="en-GB" w:bidi="he-IL"/>
        </w:rPr>
        <w:t xml:space="preserve"> into what follows</w:t>
      </w:r>
      <w:r w:rsidR="008E7099">
        <w:rPr>
          <w:lang w:val="en-GB" w:bidi="he-IL"/>
        </w:rPr>
        <w:t xml:space="preserve"> in vv. 8-21. </w:t>
      </w:r>
    </w:p>
    <w:p w14:paraId="0BAABDF0" w14:textId="45AB5743" w:rsidR="003C6763" w:rsidRDefault="003C6763" w:rsidP="003C6763">
      <w:r>
        <w:rPr>
          <w:b/>
          <w:lang w:val="en-GB" w:bidi="he-IL"/>
        </w:rPr>
        <w:t xml:space="preserve">21:8-10. </w:t>
      </w:r>
      <w:proofErr w:type="gramStart"/>
      <w:r>
        <w:rPr>
          <w:lang w:val="en-GB" w:bidi="he-IL"/>
        </w:rPr>
        <w:t>What</w:t>
      </w:r>
      <w:proofErr w:type="gramEnd"/>
      <w:r>
        <w:rPr>
          <w:lang w:val="en-GB" w:bidi="he-IL"/>
        </w:rPr>
        <w:t xml:space="preserve"> </w:t>
      </w:r>
      <w:r w:rsidR="007013C4">
        <w:rPr>
          <w:lang w:val="en-GB" w:bidi="he-IL"/>
        </w:rPr>
        <w:t xml:space="preserve">will now happen to Hagar and </w:t>
      </w:r>
      <w:r>
        <w:rPr>
          <w:lang w:val="en-GB" w:bidi="he-IL"/>
        </w:rPr>
        <w:t>Ish</w:t>
      </w:r>
      <w:r w:rsidR="007013C4">
        <w:rPr>
          <w:lang w:val="en-GB" w:bidi="he-IL"/>
        </w:rPr>
        <w:t xml:space="preserve">mael, Abraham’s eldest son and </w:t>
      </w:r>
      <w:r>
        <w:rPr>
          <w:lang w:val="en-GB" w:bidi="he-IL"/>
        </w:rPr>
        <w:t>heir pres</w:t>
      </w:r>
      <w:r w:rsidR="007013C4">
        <w:rPr>
          <w:lang w:val="en-GB" w:bidi="he-IL"/>
        </w:rPr>
        <w:t>umptive</w:t>
      </w:r>
      <w:r>
        <w:rPr>
          <w:lang w:val="en-GB" w:bidi="he-IL"/>
        </w:rPr>
        <w:t>?</w:t>
      </w:r>
      <w:r>
        <w:rPr>
          <w:rStyle w:val="FootnoteReference"/>
          <w:lang w:val="en-GB" w:bidi="he-IL"/>
        </w:rPr>
        <w:footnoteReference w:id="576"/>
      </w:r>
      <w:r>
        <w:rPr>
          <w:lang w:val="en-GB" w:bidi="he-IL"/>
        </w:rPr>
        <w:t xml:space="preserve"> </w:t>
      </w:r>
      <w:r w:rsidRPr="00212684">
        <w:t>“Isaac, though the son of promise, will also cause problems, tearing this family apart.”</w:t>
      </w:r>
      <w:r w:rsidRPr="00212684">
        <w:rPr>
          <w:vertAlign w:val="superscript"/>
        </w:rPr>
        <w:footnoteReference w:id="577"/>
      </w:r>
      <w:r>
        <w:t xml:space="preserve"> </w:t>
      </w:r>
    </w:p>
    <w:p w14:paraId="75664B2B" w14:textId="413A5851" w:rsidR="00197874" w:rsidRPr="00197874" w:rsidRDefault="008E7099" w:rsidP="00197874">
      <w:pPr>
        <w:rPr>
          <w:lang w:val="en-GB" w:bidi="he-IL"/>
        </w:rPr>
      </w:pPr>
      <w:r>
        <w:rPr>
          <w:lang w:val="en-GB" w:bidi="he-IL"/>
        </w:rPr>
        <w:t>T</w:t>
      </w:r>
      <w:r w:rsidR="003047FB">
        <w:rPr>
          <w:lang w:val="en-GB" w:bidi="he-IL"/>
        </w:rPr>
        <w:t>he nar</w:t>
      </w:r>
      <w:r>
        <w:rPr>
          <w:lang w:val="en-GB" w:bidi="he-IL"/>
        </w:rPr>
        <w:t xml:space="preserve">rative moves on </w:t>
      </w:r>
      <w:r w:rsidR="003C6763">
        <w:rPr>
          <w:lang w:val="en-GB" w:bidi="he-IL"/>
        </w:rPr>
        <w:t xml:space="preserve">(v. 8) </w:t>
      </w:r>
      <w:r>
        <w:rPr>
          <w:lang w:val="en-GB" w:bidi="he-IL"/>
        </w:rPr>
        <w:t>from the mention</w:t>
      </w:r>
      <w:r w:rsidR="003047FB">
        <w:rPr>
          <w:lang w:val="en-GB" w:bidi="he-IL"/>
        </w:rPr>
        <w:t xml:space="preserve"> of Sarah’s nursi</w:t>
      </w:r>
      <w:r w:rsidR="0021481B">
        <w:rPr>
          <w:lang w:val="en-GB" w:bidi="he-IL"/>
        </w:rPr>
        <w:t>n</w:t>
      </w:r>
      <w:r w:rsidR="003C6763">
        <w:rPr>
          <w:lang w:val="en-GB" w:bidi="he-IL"/>
        </w:rPr>
        <w:t xml:space="preserve">g to the account of her weaning </w:t>
      </w:r>
      <w:r w:rsidR="0021481B">
        <w:rPr>
          <w:lang w:val="en-GB" w:bidi="he-IL"/>
        </w:rPr>
        <w:t xml:space="preserve">and </w:t>
      </w:r>
      <w:r>
        <w:rPr>
          <w:lang w:val="en-GB" w:bidi="he-IL"/>
        </w:rPr>
        <w:t xml:space="preserve">to </w:t>
      </w:r>
      <w:r w:rsidR="006D1462">
        <w:rPr>
          <w:lang w:val="en-GB" w:bidi="he-IL"/>
        </w:rPr>
        <w:t xml:space="preserve">a crisis </w:t>
      </w:r>
      <w:r w:rsidR="0021481B">
        <w:rPr>
          <w:lang w:val="en-GB" w:bidi="he-IL"/>
        </w:rPr>
        <w:t>at the weaning party.</w:t>
      </w:r>
      <w:r w:rsidR="00EE7108">
        <w:rPr>
          <w:rStyle w:val="FootnoteReference"/>
          <w:lang w:val="en-GB" w:bidi="he-IL"/>
        </w:rPr>
        <w:footnoteReference w:id="578"/>
      </w:r>
      <w:r w:rsidR="0021481B">
        <w:rPr>
          <w:lang w:val="en-GB" w:bidi="he-IL"/>
        </w:rPr>
        <w:t xml:space="preserve"> </w:t>
      </w:r>
      <w:r w:rsidR="00E71CD3">
        <w:rPr>
          <w:lang w:val="en-GB" w:bidi="he-IL"/>
        </w:rPr>
        <w:t>I</w:t>
      </w:r>
      <w:r w:rsidR="00D04157" w:rsidRPr="00D04157">
        <w:rPr>
          <w:lang w:val="en-GB" w:bidi="he-IL"/>
        </w:rPr>
        <w:t>n tradition</w:t>
      </w:r>
      <w:r w:rsidR="006058B4">
        <w:rPr>
          <w:lang w:val="en-GB" w:bidi="he-IL"/>
        </w:rPr>
        <w:t xml:space="preserve">al societies mothers nurse children for longer </w:t>
      </w:r>
      <w:r w:rsidR="004E7E6F">
        <w:rPr>
          <w:lang w:val="en-GB" w:bidi="he-IL"/>
        </w:rPr>
        <w:t xml:space="preserve">than is </w:t>
      </w:r>
      <w:r w:rsidR="004E7E6F">
        <w:rPr>
          <w:lang w:val="en-GB" w:bidi="he-IL"/>
        </w:rPr>
        <w:lastRenderedPageBreak/>
        <w:t>customary in the West; i</w:t>
      </w:r>
      <w:r w:rsidR="006058B4">
        <w:rPr>
          <w:lang w:val="en-GB" w:bidi="he-IL"/>
        </w:rPr>
        <w:t>n 2 Macc 7:27 a mother refers to having nursed her son for three year</w:t>
      </w:r>
      <w:r w:rsidR="00E71CD3">
        <w:rPr>
          <w:lang w:val="en-GB" w:bidi="he-IL"/>
        </w:rPr>
        <w:t xml:space="preserve">s. </w:t>
      </w:r>
      <w:r w:rsidR="00197874" w:rsidRPr="00197874">
        <w:rPr>
          <w:lang w:val="en-GB" w:bidi="he-IL"/>
        </w:rPr>
        <w:t>We don’t know whether families regularly</w:t>
      </w:r>
      <w:r w:rsidR="007013C4">
        <w:rPr>
          <w:lang w:val="en-GB" w:bidi="he-IL"/>
        </w:rPr>
        <w:t xml:space="preserve"> had a weaning party (though</w:t>
      </w:r>
      <w:r w:rsidR="00197874">
        <w:rPr>
          <w:lang w:val="en-GB" w:bidi="he-IL"/>
        </w:rPr>
        <w:t xml:space="preserve"> cf. 1 Sam 1:21-24), but</w:t>
      </w:r>
      <w:r w:rsidR="004E7E6F">
        <w:rPr>
          <w:lang w:val="en-GB" w:bidi="he-IL"/>
        </w:rPr>
        <w:t xml:space="preserve"> one might imagine Abraham’s banquet as his son’s</w:t>
      </w:r>
      <w:r w:rsidR="007013C4">
        <w:rPr>
          <w:lang w:val="en-GB" w:bidi="he-IL"/>
        </w:rPr>
        <w:t xml:space="preserve"> third-birthday party. I</w:t>
      </w:r>
      <w:r w:rsidR="00197874">
        <w:rPr>
          <w:lang w:val="en-GB" w:bidi="he-IL"/>
        </w:rPr>
        <w:t xml:space="preserve">n a traditional society </w:t>
      </w:r>
      <w:r w:rsidR="004E7E6F">
        <w:rPr>
          <w:lang w:val="en-GB" w:bidi="he-IL"/>
        </w:rPr>
        <w:t>many children died in infancy, so such an occasion might constitute an implicit celebration that a child has survived these dangerous early years and that ther</w:t>
      </w:r>
      <w:r w:rsidR="00197874">
        <w:rPr>
          <w:lang w:val="en-GB" w:bidi="he-IL"/>
        </w:rPr>
        <w:t xml:space="preserve">e was good prospect of </w:t>
      </w:r>
      <w:proofErr w:type="gramStart"/>
      <w:r w:rsidR="00197874">
        <w:rPr>
          <w:lang w:val="en-GB" w:bidi="he-IL"/>
        </w:rPr>
        <w:t>it</w:t>
      </w:r>
      <w:r w:rsidR="004E7E6F">
        <w:rPr>
          <w:lang w:val="en-GB" w:bidi="he-IL"/>
        </w:rPr>
        <w:t>s</w:t>
      </w:r>
      <w:proofErr w:type="gramEnd"/>
      <w:r w:rsidR="004E7E6F">
        <w:rPr>
          <w:lang w:val="en-GB" w:bidi="he-IL"/>
        </w:rPr>
        <w:t xml:space="preserve"> growing to adulthood. </w:t>
      </w:r>
      <w:r w:rsidR="00197874">
        <w:rPr>
          <w:lang w:val="en-GB" w:bidi="he-IL"/>
        </w:rPr>
        <w:t>The party is a kind of rite of passage.</w:t>
      </w:r>
      <w:r w:rsidR="00197874" w:rsidRPr="00197874">
        <w:rPr>
          <w:vertAlign w:val="superscript"/>
          <w:lang w:val="en-GB" w:bidi="he-IL"/>
        </w:rPr>
        <w:footnoteReference w:id="579"/>
      </w:r>
      <w:r w:rsidR="0033438D">
        <w:rPr>
          <w:lang w:val="en-GB" w:bidi="he-IL"/>
        </w:rPr>
        <w:t xml:space="preserve"> And for a mother, it will be an emotional occasion.</w:t>
      </w:r>
      <w:r w:rsidR="0033438D">
        <w:rPr>
          <w:rStyle w:val="FootnoteReference"/>
          <w:lang w:val="en-GB" w:bidi="he-IL"/>
        </w:rPr>
        <w:footnoteReference w:id="580"/>
      </w:r>
    </w:p>
    <w:p w14:paraId="705EA25C" w14:textId="09A59551" w:rsidR="004E7E6F" w:rsidRDefault="004E7E6F" w:rsidP="002D5C78">
      <w:pPr>
        <w:rPr>
          <w:lang w:val="en-GB" w:bidi="he-IL"/>
        </w:rPr>
      </w:pPr>
      <w:r>
        <w:rPr>
          <w:lang w:val="en-GB" w:bidi="he-IL"/>
        </w:rPr>
        <w:t xml:space="preserve">It’s not quite explicit that the party is the context of what follows </w:t>
      </w:r>
      <w:r w:rsidR="00C51E42">
        <w:rPr>
          <w:lang w:val="en-GB" w:bidi="he-IL"/>
        </w:rPr>
        <w:t>(v. 9), but f</w:t>
      </w:r>
      <w:r w:rsidR="00197874">
        <w:rPr>
          <w:lang w:val="en-GB" w:bidi="he-IL"/>
        </w:rPr>
        <w:t>amily parties often cause crise</w:t>
      </w:r>
      <w:r>
        <w:rPr>
          <w:lang w:val="en-GB" w:bidi="he-IL"/>
        </w:rPr>
        <w:t>s and bring out latent issues.</w:t>
      </w:r>
      <w:r w:rsidR="00727890">
        <w:rPr>
          <w:lang w:val="en-GB" w:bidi="he-IL"/>
        </w:rPr>
        <w:t xml:space="preserve"> </w:t>
      </w:r>
      <w:r w:rsidR="00D10727">
        <w:rPr>
          <w:lang w:val="en-GB" w:bidi="he-IL"/>
        </w:rPr>
        <w:t>Ishmael (though he’s no</w:t>
      </w:r>
      <w:r w:rsidR="009306B5">
        <w:rPr>
          <w:lang w:val="en-GB" w:bidi="he-IL"/>
        </w:rPr>
        <w:t>t named), who is now a teenager (17:25)</w:t>
      </w:r>
      <w:r w:rsidR="00D10727">
        <w:rPr>
          <w:lang w:val="en-GB" w:bidi="he-IL"/>
        </w:rPr>
        <w:t xml:space="preserve">, is making people laugh </w:t>
      </w:r>
      <w:r w:rsidR="00273152">
        <w:rPr>
          <w:lang w:val="en-GB" w:bidi="he-IL"/>
        </w:rPr>
        <w:t xml:space="preserve">(at baby Isaac?) </w:t>
      </w:r>
      <w:r w:rsidR="00D10727">
        <w:rPr>
          <w:lang w:val="en-GB" w:bidi="he-IL"/>
        </w:rPr>
        <w:t xml:space="preserve">or </w:t>
      </w:r>
      <w:r w:rsidR="009306B5">
        <w:rPr>
          <w:lang w:val="en-GB" w:bidi="he-IL"/>
        </w:rPr>
        <w:t xml:space="preserve">is </w:t>
      </w:r>
      <w:r w:rsidR="00D10727">
        <w:rPr>
          <w:lang w:val="en-GB" w:bidi="he-IL"/>
        </w:rPr>
        <w:t>laughing uproariously—the verb is the one assoc</w:t>
      </w:r>
      <w:r w:rsidR="00197874">
        <w:rPr>
          <w:lang w:val="en-GB" w:bidi="he-IL"/>
        </w:rPr>
        <w:t>iated with Isaac’s name, but now used in the piel. It’s as if Ishmael</w:t>
      </w:r>
      <w:r w:rsidR="00D10727">
        <w:rPr>
          <w:lang w:val="en-GB" w:bidi="he-IL"/>
        </w:rPr>
        <w:t xml:space="preserve"> is pretending to be Isaac, the boy whose name lin</w:t>
      </w:r>
      <w:r w:rsidR="007013C4">
        <w:rPr>
          <w:lang w:val="en-GB" w:bidi="he-IL"/>
        </w:rPr>
        <w:t>ks him with laughter, as if he’</w:t>
      </w:r>
      <w:r w:rsidR="00D10727">
        <w:rPr>
          <w:lang w:val="en-GB" w:bidi="he-IL"/>
        </w:rPr>
        <w:t>s still threatening to take the place that belongs to Isaac.</w:t>
      </w:r>
    </w:p>
    <w:p w14:paraId="7987996E" w14:textId="28C012CE" w:rsidR="00BE5FE7" w:rsidRPr="00273152" w:rsidRDefault="007A2723" w:rsidP="002D5C78">
      <w:pPr>
        <w:rPr>
          <w:lang w:val="en-GB" w:bidi="he-IL"/>
        </w:rPr>
      </w:pPr>
      <w:r>
        <w:rPr>
          <w:lang w:val="en-GB" w:bidi="he-IL"/>
        </w:rPr>
        <w:t xml:space="preserve">Sarah is </w:t>
      </w:r>
      <w:r w:rsidR="00197874">
        <w:rPr>
          <w:lang w:val="en-GB" w:bidi="he-IL"/>
        </w:rPr>
        <w:t xml:space="preserve">therefore </w:t>
      </w:r>
      <w:r>
        <w:rPr>
          <w:lang w:val="en-GB" w:bidi="he-IL"/>
        </w:rPr>
        <w:t>“furious” (v. 10).</w:t>
      </w:r>
      <w:r w:rsidRPr="007A2723">
        <w:rPr>
          <w:vertAlign w:val="superscript"/>
          <w:lang w:val="en-GB" w:bidi="he-IL"/>
        </w:rPr>
        <w:footnoteReference w:id="581"/>
      </w:r>
      <w:r>
        <w:rPr>
          <w:lang w:val="en-GB" w:bidi="he-IL"/>
        </w:rPr>
        <w:t xml:space="preserve"> </w:t>
      </w:r>
      <w:r w:rsidR="00B54968">
        <w:rPr>
          <w:lang w:val="en-GB" w:bidi="he-IL"/>
        </w:rPr>
        <w:t xml:space="preserve">She </w:t>
      </w:r>
      <w:r w:rsidR="00197874">
        <w:rPr>
          <w:lang w:val="en-GB" w:bidi="he-IL"/>
        </w:rPr>
        <w:t>“</w:t>
      </w:r>
      <w:r w:rsidR="00B54968">
        <w:rPr>
          <w:lang w:val="en-GB" w:bidi="he-IL"/>
        </w:rPr>
        <w:t>finds herself battling the situation she created…. Sarah’s use for Hagar expires once Sarah’s son survives, and Hagar becomes a liability to Sarah’s status.”</w:t>
      </w:r>
      <w:r w:rsidR="00B54968">
        <w:rPr>
          <w:rStyle w:val="FootnoteReference"/>
          <w:lang w:val="en-GB" w:bidi="he-IL"/>
        </w:rPr>
        <w:footnoteReference w:id="582"/>
      </w:r>
      <w:r w:rsidR="00B54968">
        <w:rPr>
          <w:lang w:val="en-GB" w:bidi="he-IL"/>
        </w:rPr>
        <w:t xml:space="preserve"> </w:t>
      </w:r>
      <w:r w:rsidR="007013C4">
        <w:rPr>
          <w:lang w:val="en-GB" w:bidi="he-IL"/>
        </w:rPr>
        <w:t>There’</w:t>
      </w:r>
      <w:r w:rsidR="009306B5">
        <w:rPr>
          <w:lang w:val="en-GB" w:bidi="he-IL"/>
        </w:rPr>
        <w:t>s only one so</w:t>
      </w:r>
      <w:r w:rsidR="00197874">
        <w:rPr>
          <w:lang w:val="en-GB" w:bidi="he-IL"/>
        </w:rPr>
        <w:t>lution she</w:t>
      </w:r>
      <w:r>
        <w:rPr>
          <w:lang w:val="en-GB" w:bidi="he-IL"/>
        </w:rPr>
        <w:t xml:space="preserve"> can think of</w:t>
      </w:r>
      <w:r w:rsidR="00D10727">
        <w:rPr>
          <w:lang w:val="en-GB" w:bidi="he-IL"/>
        </w:rPr>
        <w:t xml:space="preserve">. It’s the action she unwittingly (?) brought about when Hagar was pregnant (16:6). The trouble is, Yahweh </w:t>
      </w:r>
      <w:r w:rsidR="00197874">
        <w:rPr>
          <w:lang w:val="en-GB" w:bidi="he-IL"/>
        </w:rPr>
        <w:t xml:space="preserve">then </w:t>
      </w:r>
      <w:r w:rsidR="00D10727">
        <w:rPr>
          <w:lang w:val="en-GB" w:bidi="he-IL"/>
        </w:rPr>
        <w:t>sent Hagar back.</w:t>
      </w:r>
      <w:r w:rsidR="00273152">
        <w:rPr>
          <w:lang w:val="en-GB" w:bidi="he-IL"/>
        </w:rPr>
        <w:t xml:space="preserve"> Now Sarah wants Abraham definitively to throw the two of them out</w:t>
      </w:r>
      <w:r w:rsidR="00592FEF">
        <w:rPr>
          <w:lang w:val="en-GB" w:bidi="he-IL"/>
        </w:rPr>
        <w:t>, as God threw out Adam and Cain in 3:24; 4:14</w:t>
      </w:r>
      <w:r w:rsidR="00273152">
        <w:rPr>
          <w:lang w:val="en-GB" w:bidi="he-IL"/>
        </w:rPr>
        <w:t xml:space="preserve"> (</w:t>
      </w:r>
      <w:r w:rsidR="00592FEF">
        <w:rPr>
          <w:lang w:val="en-GB" w:bidi="he-IL"/>
        </w:rPr>
        <w:t>the verb is</w:t>
      </w:r>
      <w:r w:rsidR="007013C4">
        <w:rPr>
          <w:lang w:val="en-GB" w:bidi="he-IL"/>
        </w:rPr>
        <w:t xml:space="preserve"> again</w:t>
      </w:r>
      <w:r w:rsidR="00592FEF">
        <w:rPr>
          <w:lang w:val="en-GB" w:bidi="he-IL"/>
        </w:rPr>
        <w:t xml:space="preserve"> </w:t>
      </w:r>
      <w:r w:rsidR="00273152">
        <w:rPr>
          <w:i/>
          <w:lang w:val="en-GB" w:bidi="he-IL"/>
        </w:rPr>
        <w:t>gāraš</w:t>
      </w:r>
      <w:r w:rsidR="00592FEF">
        <w:rPr>
          <w:lang w:val="en-GB" w:bidi="he-IL"/>
        </w:rPr>
        <w:t xml:space="preserve"> piel, which in the qal </w:t>
      </w:r>
      <w:r w:rsidR="007013C4">
        <w:rPr>
          <w:lang w:val="en-GB" w:bidi="he-IL"/>
        </w:rPr>
        <w:t>means “divorce”). Once more</w:t>
      </w:r>
      <w:r w:rsidR="009306B5">
        <w:rPr>
          <w:lang w:val="en-GB" w:bidi="he-IL"/>
        </w:rPr>
        <w:t xml:space="preserve"> she does not use the names of either of them—</w:t>
      </w:r>
      <w:r w:rsidR="00691E8A">
        <w:rPr>
          <w:lang w:val="en-GB" w:bidi="he-IL"/>
        </w:rPr>
        <w:t xml:space="preserve">in effect </w:t>
      </w:r>
      <w:r w:rsidR="009306B5">
        <w:rPr>
          <w:lang w:val="en-GB" w:bidi="he-IL"/>
        </w:rPr>
        <w:t>Hagar is “that woman” and Ishmael is “that boy.”</w:t>
      </w:r>
      <w:r w:rsidR="00A22A22">
        <w:rPr>
          <w:lang w:val="en-GB" w:bidi="he-IL"/>
        </w:rPr>
        <w:t xml:space="preserve"> </w:t>
      </w:r>
      <w:r w:rsidR="007013C4">
        <w:rPr>
          <w:lang w:val="en-GB" w:bidi="he-IL"/>
        </w:rPr>
        <w:t>Ironically, they have become diminished in her eyes (see</w:t>
      </w:r>
      <w:r w:rsidR="00691E8A" w:rsidRPr="00691E8A">
        <w:rPr>
          <w:lang w:val="en-GB" w:bidi="he-IL"/>
        </w:rPr>
        <w:t xml:space="preserve"> 16:4).</w:t>
      </w:r>
      <w:r w:rsidR="00691E8A" w:rsidRPr="00691E8A">
        <w:rPr>
          <w:vertAlign w:val="superscript"/>
          <w:lang w:val="en-GB" w:bidi="he-IL"/>
        </w:rPr>
        <w:footnoteReference w:id="583"/>
      </w:r>
      <w:r w:rsidR="00691E8A" w:rsidRPr="00691E8A">
        <w:rPr>
          <w:lang w:val="en-GB" w:bidi="he-IL"/>
        </w:rPr>
        <w:t xml:space="preserve"> </w:t>
      </w:r>
      <w:r w:rsidR="00FA077D">
        <w:rPr>
          <w:lang w:val="en-GB" w:bidi="he-IL"/>
        </w:rPr>
        <w:t xml:space="preserve">She will utter the name of Isaac, but not that of Ishmael. </w:t>
      </w:r>
      <w:r w:rsidR="00197874">
        <w:rPr>
          <w:lang w:val="en-GB" w:bidi="he-IL"/>
        </w:rPr>
        <w:t>Hi</w:t>
      </w:r>
      <w:r w:rsidR="00A22A22">
        <w:rPr>
          <w:lang w:val="en-GB" w:bidi="he-IL"/>
        </w:rPr>
        <w:t xml:space="preserve">s laughter has drawn attention to the fact that he might take what Sarah sees as Isaac’s rightful place as Abraham’s heir. </w:t>
      </w:r>
      <w:r w:rsidR="00311499">
        <w:rPr>
          <w:lang w:val="en-GB" w:bidi="he-IL"/>
        </w:rPr>
        <w:t>Are we to imagine Sarah remembering the events of a decade previously,</w:t>
      </w:r>
      <w:r w:rsidR="00197874">
        <w:rPr>
          <w:lang w:val="en-GB" w:bidi="he-IL"/>
        </w:rPr>
        <w:t xml:space="preserve"> when she got Hagar to have a baby on her behalf,</w:t>
      </w:r>
      <w:r w:rsidR="00311499">
        <w:rPr>
          <w:lang w:val="en-GB" w:bidi="he-IL"/>
        </w:rPr>
        <w:t xml:space="preserve"> or as deliberat</w:t>
      </w:r>
      <w:r w:rsidR="00691E8A">
        <w:rPr>
          <w:lang w:val="en-GB" w:bidi="he-IL"/>
        </w:rPr>
        <w:t>ely forgetting them? S</w:t>
      </w:r>
      <w:r w:rsidR="00311499">
        <w:rPr>
          <w:lang w:val="en-GB" w:bidi="he-IL"/>
        </w:rPr>
        <w:t xml:space="preserve">he makes no reference to them. </w:t>
      </w:r>
      <w:r w:rsidR="00CE3428">
        <w:rPr>
          <w:lang w:val="en-GB" w:bidi="he-IL"/>
        </w:rPr>
        <w:t xml:space="preserve">But </w:t>
      </w:r>
      <w:r w:rsidR="00311499">
        <w:rPr>
          <w:lang w:val="en-GB" w:bidi="he-IL"/>
        </w:rPr>
        <w:t>Ishmael</w:t>
      </w:r>
      <w:r w:rsidR="00CE3428">
        <w:rPr>
          <w:lang w:val="en-GB" w:bidi="he-IL"/>
        </w:rPr>
        <w:t xml:space="preserve"> is</w:t>
      </w:r>
      <w:r w:rsidR="00A22A22">
        <w:rPr>
          <w:lang w:val="en-GB" w:bidi="he-IL"/>
        </w:rPr>
        <w:t xml:space="preserve"> Abraham’s legitimate first son whom Ha</w:t>
      </w:r>
      <w:r w:rsidR="00CE3428">
        <w:rPr>
          <w:lang w:val="en-GB" w:bidi="he-IL"/>
        </w:rPr>
        <w:t>gar bore “for Abram” (16:16). Ye</w:t>
      </w:r>
      <w:r w:rsidR="00A22A22">
        <w:rPr>
          <w:lang w:val="en-GB" w:bidi="he-IL"/>
        </w:rPr>
        <w:t>t a master can alwa</w:t>
      </w:r>
      <w:r w:rsidR="00197874">
        <w:rPr>
          <w:lang w:val="en-GB" w:bidi="he-IL"/>
        </w:rPr>
        <w:t>ys “free” a servant, who then los</w:t>
      </w:r>
      <w:r w:rsidR="00B737DD">
        <w:rPr>
          <w:lang w:val="en-GB" w:bidi="he-IL"/>
        </w:rPr>
        <w:t>es their share of the property.</w:t>
      </w:r>
      <w:r w:rsidR="00A22A22">
        <w:rPr>
          <w:rStyle w:val="FootnoteReference"/>
          <w:lang w:val="en-GB" w:bidi="he-IL"/>
        </w:rPr>
        <w:footnoteReference w:id="584"/>
      </w:r>
      <w:r w:rsidR="00691E8A">
        <w:rPr>
          <w:lang w:val="en-GB" w:bidi="he-IL"/>
        </w:rPr>
        <w:t xml:space="preserve"> </w:t>
      </w:r>
      <w:r w:rsidR="00BE5FE7">
        <w:rPr>
          <w:lang w:val="en-GB" w:bidi="he-IL"/>
        </w:rPr>
        <w:t>Ishmael is a threat to Isaac; and “only if they die in the desert will that threat be eliminated.”</w:t>
      </w:r>
      <w:r w:rsidR="00BE5FE7">
        <w:rPr>
          <w:rStyle w:val="FootnoteReference"/>
          <w:lang w:val="en-GB" w:bidi="he-IL"/>
        </w:rPr>
        <w:footnoteReference w:id="585"/>
      </w:r>
    </w:p>
    <w:p w14:paraId="62161475" w14:textId="0B9C2D17" w:rsidR="00311AA0" w:rsidRDefault="0035187B" w:rsidP="002D5C78">
      <w:pPr>
        <w:rPr>
          <w:lang w:val="en-GB" w:bidi="he-IL"/>
        </w:rPr>
      </w:pPr>
      <w:r>
        <w:rPr>
          <w:b/>
          <w:lang w:val="en-GB" w:bidi="he-IL"/>
        </w:rPr>
        <w:t>21:11-13</w:t>
      </w:r>
      <w:r>
        <w:rPr>
          <w:lang w:val="en-GB" w:bidi="he-IL"/>
        </w:rPr>
        <w:t xml:space="preserve">. </w:t>
      </w:r>
      <w:r w:rsidR="00E150A6">
        <w:rPr>
          <w:lang w:val="en-GB" w:bidi="he-IL"/>
        </w:rPr>
        <w:t>For something to be bad i</w:t>
      </w:r>
      <w:r w:rsidR="00CE3428">
        <w:rPr>
          <w:lang w:val="en-GB" w:bidi="he-IL"/>
        </w:rPr>
        <w:t>n your eyes means you hate</w:t>
      </w:r>
      <w:r w:rsidR="00E150A6">
        <w:rPr>
          <w:lang w:val="en-GB" w:bidi="he-IL"/>
        </w:rPr>
        <w:t xml:space="preserve"> it</w:t>
      </w:r>
      <w:r w:rsidR="00CE3428">
        <w:rPr>
          <w:lang w:val="en-GB" w:bidi="he-IL"/>
        </w:rPr>
        <w:t>, you are offended by it</w:t>
      </w:r>
      <w:r w:rsidR="00E150A6">
        <w:rPr>
          <w:lang w:val="en-GB" w:bidi="he-IL"/>
        </w:rPr>
        <w:t xml:space="preserve"> (cf. 28:8), though it may also imply that you think it is </w:t>
      </w:r>
      <w:r w:rsidR="00CE3428">
        <w:rPr>
          <w:lang w:val="en-GB" w:bidi="he-IL"/>
        </w:rPr>
        <w:t xml:space="preserve">morally </w:t>
      </w:r>
      <w:r w:rsidR="00E150A6">
        <w:rPr>
          <w:lang w:val="en-GB" w:bidi="he-IL"/>
        </w:rPr>
        <w:t xml:space="preserve">wrong (cf. 38:10; 48:17). </w:t>
      </w:r>
      <w:r w:rsidR="007D02C2">
        <w:rPr>
          <w:lang w:val="en-GB" w:bidi="he-IL"/>
        </w:rPr>
        <w:t>While b</w:t>
      </w:r>
      <w:r w:rsidR="0026293E">
        <w:rPr>
          <w:lang w:val="en-GB" w:bidi="he-IL"/>
        </w:rPr>
        <w:t>oth connotations would be appropriate for</w:t>
      </w:r>
      <w:r w:rsidR="00E150A6">
        <w:rPr>
          <w:lang w:val="en-GB" w:bidi="he-IL"/>
        </w:rPr>
        <w:t xml:space="preserve"> </w:t>
      </w:r>
      <w:r w:rsidR="00CE3428">
        <w:rPr>
          <w:lang w:val="en-GB" w:bidi="he-IL"/>
        </w:rPr>
        <w:t>Abra</w:t>
      </w:r>
      <w:r w:rsidR="007D02C2">
        <w:rPr>
          <w:lang w:val="en-GB" w:bidi="he-IL"/>
        </w:rPr>
        <w:t xml:space="preserve">ham as he thinks about </w:t>
      </w:r>
      <w:r w:rsidR="00B737DD">
        <w:rPr>
          <w:lang w:val="en-GB" w:bidi="he-IL"/>
        </w:rPr>
        <w:t xml:space="preserve">throwing </w:t>
      </w:r>
      <w:r w:rsidR="007D02C2">
        <w:rPr>
          <w:lang w:val="en-GB" w:bidi="he-IL"/>
        </w:rPr>
        <w:t>Ishmael</w:t>
      </w:r>
      <w:r w:rsidR="00B737DD">
        <w:rPr>
          <w:lang w:val="en-GB" w:bidi="he-IL"/>
        </w:rPr>
        <w:t xml:space="preserve"> out, the description here </w:t>
      </w:r>
      <w:r w:rsidR="007D02C2">
        <w:rPr>
          <w:lang w:val="en-GB" w:bidi="he-IL"/>
        </w:rPr>
        <w:t>of Ishmael as “his son” (</w:t>
      </w:r>
      <w:r w:rsidR="00351ABC">
        <w:rPr>
          <w:lang w:val="en-GB" w:bidi="he-IL"/>
        </w:rPr>
        <w:t>Isaac was “</w:t>
      </w:r>
      <w:r w:rsidR="007D02C2">
        <w:rPr>
          <w:lang w:val="en-GB" w:bidi="he-IL"/>
        </w:rPr>
        <w:t>his son” in vv. 3, 4, 5)</w:t>
      </w:r>
      <w:r w:rsidR="00351ABC">
        <w:rPr>
          <w:rStyle w:val="FootnoteReference"/>
          <w:lang w:val="en-GB" w:bidi="he-IL"/>
        </w:rPr>
        <w:footnoteReference w:id="586"/>
      </w:r>
      <w:r w:rsidR="00CE3428">
        <w:rPr>
          <w:lang w:val="en-GB" w:bidi="he-IL"/>
        </w:rPr>
        <w:t xml:space="preserve"> </w:t>
      </w:r>
      <w:r w:rsidR="007D02C2">
        <w:rPr>
          <w:lang w:val="en-GB" w:bidi="he-IL"/>
        </w:rPr>
        <w:t xml:space="preserve">suggests it is his anguish that is in focus. </w:t>
      </w:r>
      <w:r w:rsidR="00CE3428" w:rsidRPr="00CE3428">
        <w:rPr>
          <w:lang w:val="en-GB" w:bidi="he-IL"/>
        </w:rPr>
        <w:t>While Hagar was</w:t>
      </w:r>
      <w:r w:rsidR="00CE3428" w:rsidRPr="005270FE">
        <w:rPr>
          <w:lang w:bidi="he-IL"/>
        </w:rPr>
        <w:t xml:space="preserve"> center</w:t>
      </w:r>
      <w:r w:rsidR="00CE3428" w:rsidRPr="00CE3428">
        <w:rPr>
          <w:lang w:val="en-GB" w:bidi="he-IL"/>
        </w:rPr>
        <w:t>-stage in Gen 16, her son becomes</w:t>
      </w:r>
      <w:r w:rsidR="00CE3428" w:rsidRPr="005270FE">
        <w:rPr>
          <w:lang w:bidi="he-IL"/>
        </w:rPr>
        <w:t xml:space="preserve"> center</w:t>
      </w:r>
      <w:r w:rsidR="00CE3428" w:rsidRPr="00CE3428">
        <w:rPr>
          <w:lang w:val="en-GB" w:bidi="he-IL"/>
        </w:rPr>
        <w:t>-stage in Gen 21.</w:t>
      </w:r>
      <w:r w:rsidR="00CE3428" w:rsidRPr="00CE3428">
        <w:rPr>
          <w:vertAlign w:val="superscript"/>
          <w:lang w:val="en-GB" w:bidi="he-IL"/>
        </w:rPr>
        <w:footnoteReference w:id="587"/>
      </w:r>
    </w:p>
    <w:p w14:paraId="6A145D0F" w14:textId="3C3DA083" w:rsidR="003C6763" w:rsidRDefault="00311AA0" w:rsidP="003C6763">
      <w:pPr>
        <w:rPr>
          <w:lang w:val="en-GB" w:bidi="he-IL"/>
        </w:rPr>
      </w:pPr>
      <w:r>
        <w:rPr>
          <w:lang w:val="en-GB" w:bidi="he-IL"/>
        </w:rPr>
        <w:t>God</w:t>
      </w:r>
      <w:r w:rsidR="00E150A6">
        <w:rPr>
          <w:lang w:val="en-GB" w:bidi="he-IL"/>
        </w:rPr>
        <w:t xml:space="preserve">’s response </w:t>
      </w:r>
      <w:r w:rsidR="007D02C2">
        <w:rPr>
          <w:lang w:val="en-GB" w:bidi="he-IL"/>
        </w:rPr>
        <w:t xml:space="preserve">to Abraham </w:t>
      </w:r>
      <w:r w:rsidR="00E150A6">
        <w:rPr>
          <w:lang w:val="en-GB" w:bidi="he-IL"/>
        </w:rPr>
        <w:t xml:space="preserve">(v. 12) may </w:t>
      </w:r>
      <w:r w:rsidR="00CE3428">
        <w:rPr>
          <w:lang w:val="en-GB" w:bidi="he-IL"/>
        </w:rPr>
        <w:t xml:space="preserve">also </w:t>
      </w:r>
      <w:r w:rsidR="00E150A6">
        <w:rPr>
          <w:lang w:val="en-GB" w:bidi="he-IL"/>
        </w:rPr>
        <w:t>carry both</w:t>
      </w:r>
      <w:r w:rsidR="007D02C2">
        <w:rPr>
          <w:lang w:val="en-GB" w:bidi="he-IL"/>
        </w:rPr>
        <w:t xml:space="preserve"> connotations. Abraham’s fatherly attachment to Ishmael is proper;</w:t>
      </w:r>
      <w:r w:rsidR="00CE3428">
        <w:rPr>
          <w:lang w:val="en-GB" w:bidi="he-IL"/>
        </w:rPr>
        <w:t xml:space="preserve"> </w:t>
      </w:r>
      <w:r w:rsidR="00351ABC">
        <w:rPr>
          <w:lang w:val="en-GB" w:bidi="he-IL"/>
        </w:rPr>
        <w:t xml:space="preserve">God is also concerned about Hagar, </w:t>
      </w:r>
      <w:r w:rsidR="007D02C2">
        <w:rPr>
          <w:lang w:val="en-GB" w:bidi="he-IL"/>
        </w:rPr>
        <w:t>whom v. 11 didn’t mention</w:t>
      </w:r>
      <w:r w:rsidR="00E150A6">
        <w:rPr>
          <w:lang w:val="en-GB" w:bidi="he-IL"/>
        </w:rPr>
        <w:t>.</w:t>
      </w:r>
      <w:r w:rsidR="00351ABC" w:rsidRPr="00351ABC">
        <w:rPr>
          <w:vertAlign w:val="superscript"/>
          <w:lang w:val="en-GB" w:bidi="he-IL"/>
        </w:rPr>
        <w:footnoteReference w:id="588"/>
      </w:r>
      <w:r w:rsidR="00CE3428">
        <w:rPr>
          <w:lang w:val="en-GB" w:bidi="he-IL"/>
        </w:rPr>
        <w:t xml:space="preserve"> Abraham</w:t>
      </w:r>
      <w:r w:rsidR="00E150A6">
        <w:rPr>
          <w:lang w:val="en-GB" w:bidi="he-IL"/>
        </w:rPr>
        <w:t xml:space="preserve"> is still maybe thinking that Ishmael as his firstborn should be the on</w:t>
      </w:r>
      <w:r w:rsidR="00CE3428">
        <w:rPr>
          <w:lang w:val="en-GB" w:bidi="he-IL"/>
        </w:rPr>
        <w:t>e through whom God’s promise is</w:t>
      </w:r>
      <w:r w:rsidR="00485216">
        <w:rPr>
          <w:lang w:val="en-GB" w:bidi="he-IL"/>
        </w:rPr>
        <w:t xml:space="preserve"> fulfilled (cf. 17:18). “</w:t>
      </w:r>
      <w:r w:rsidR="00485216" w:rsidRPr="00485216">
        <w:rPr>
          <w:lang w:val="en-GB" w:bidi="he-IL"/>
        </w:rPr>
        <w:t>B</w:t>
      </w:r>
      <w:r w:rsidR="00485216" w:rsidRPr="00485216">
        <w:rPr>
          <w:rFonts w:eastAsia="Times New Roman" w:cs="Times New Roman"/>
        </w:rPr>
        <w:t xml:space="preserve">ut then again this is the Bible, where the firstborn usually fare </w:t>
      </w:r>
      <w:r w:rsidR="00485216" w:rsidRPr="00485216">
        <w:rPr>
          <w:rFonts w:eastAsia="Times New Roman" w:cs="Times New Roman"/>
        </w:rPr>
        <w:lastRenderedPageBreak/>
        <w:t>poorly</w:t>
      </w:r>
      <w:r w:rsidR="00485216">
        <w:rPr>
          <w:rFonts w:eastAsia="Times New Roman" w:cs="Times New Roman"/>
        </w:rPr>
        <w:t>.</w:t>
      </w:r>
      <w:r w:rsidR="00CE3428">
        <w:rPr>
          <w:rFonts w:eastAsia="Times New Roman" w:cs="Times New Roman"/>
        </w:rPr>
        <w:t>”</w:t>
      </w:r>
      <w:r w:rsidR="00485216">
        <w:rPr>
          <w:rStyle w:val="FootnoteReference"/>
          <w:rFonts w:eastAsia="Times New Roman" w:cs="Times New Roman"/>
        </w:rPr>
        <w:footnoteReference w:id="589"/>
      </w:r>
      <w:r w:rsidR="00485216">
        <w:rPr>
          <w:rFonts w:eastAsia="Times New Roman" w:cs="Times New Roman"/>
        </w:rPr>
        <w:t xml:space="preserve"> </w:t>
      </w:r>
      <w:r w:rsidR="00112CD1">
        <w:rPr>
          <w:lang w:bidi="he-IL"/>
        </w:rPr>
        <w:t xml:space="preserve">God has determined that </w:t>
      </w:r>
      <w:r w:rsidR="00E150A6">
        <w:rPr>
          <w:lang w:val="en-GB" w:bidi="he-IL"/>
        </w:rPr>
        <w:t xml:space="preserve">Isaac is the one through whom </w:t>
      </w:r>
      <w:r w:rsidR="00E90987">
        <w:rPr>
          <w:lang w:val="en-GB" w:bidi="he-IL"/>
        </w:rPr>
        <w:t>fulfilment will come</w:t>
      </w:r>
      <w:r w:rsidR="00CE3428">
        <w:rPr>
          <w:lang w:val="en-GB" w:bidi="he-IL"/>
        </w:rPr>
        <w:t>, through whom Abraham’s</w:t>
      </w:r>
      <w:r w:rsidR="00120CB3">
        <w:rPr>
          <w:lang w:val="en-GB" w:bidi="he-IL"/>
        </w:rPr>
        <w:t xml:space="preserve"> offspring will be “named”</w:t>
      </w:r>
      <w:r w:rsidR="00CE3428">
        <w:rPr>
          <w:lang w:val="en-GB" w:bidi="he-IL"/>
        </w:rPr>
        <w:t xml:space="preserve">: his </w:t>
      </w:r>
      <w:r w:rsidR="00120CB3">
        <w:rPr>
          <w:lang w:val="en-GB" w:bidi="he-IL"/>
        </w:rPr>
        <w:t xml:space="preserve">genealogical line </w:t>
      </w:r>
      <w:r w:rsidR="00CE3428">
        <w:rPr>
          <w:lang w:val="en-GB" w:bidi="he-IL"/>
        </w:rPr>
        <w:t xml:space="preserve">is the one </w:t>
      </w:r>
      <w:r w:rsidR="00120CB3">
        <w:rPr>
          <w:lang w:val="en-GB" w:bidi="he-IL"/>
        </w:rPr>
        <w:t>that will count.</w:t>
      </w:r>
      <w:r w:rsidR="0044683C">
        <w:rPr>
          <w:lang w:val="en-GB" w:bidi="he-IL"/>
        </w:rPr>
        <w:t xml:space="preserve"> Hagar and her son are discounted.</w:t>
      </w:r>
      <w:r w:rsidR="0044683C">
        <w:rPr>
          <w:rStyle w:val="FootnoteReference"/>
          <w:lang w:val="en-GB" w:bidi="he-IL"/>
        </w:rPr>
        <w:footnoteReference w:id="590"/>
      </w:r>
      <w:r w:rsidR="00CE3428">
        <w:rPr>
          <w:lang w:val="en-GB" w:bidi="he-IL"/>
        </w:rPr>
        <w:t xml:space="preserve"> T</w:t>
      </w:r>
      <w:r w:rsidR="00120CB3">
        <w:rPr>
          <w:lang w:val="en-GB" w:bidi="he-IL"/>
        </w:rPr>
        <w:t xml:space="preserve">here is </w:t>
      </w:r>
      <w:r w:rsidR="00CE3428">
        <w:rPr>
          <w:lang w:val="en-GB" w:bidi="he-IL"/>
        </w:rPr>
        <w:t xml:space="preserve">still </w:t>
      </w:r>
      <w:r w:rsidR="00120CB3">
        <w:rPr>
          <w:lang w:val="en-GB" w:bidi="he-IL"/>
        </w:rPr>
        <w:t>no</w:t>
      </w:r>
      <w:r w:rsidR="00CE3428">
        <w:rPr>
          <w:lang w:val="en-GB" w:bidi="he-IL"/>
        </w:rPr>
        <w:t xml:space="preserve"> suggestion that </w:t>
      </w:r>
      <w:r w:rsidR="00120CB3">
        <w:rPr>
          <w:lang w:val="en-GB" w:bidi="he-IL"/>
        </w:rPr>
        <w:t>Sarah and Abraham should not have taken th</w:t>
      </w:r>
      <w:r w:rsidR="00CE3428">
        <w:rPr>
          <w:lang w:val="en-GB" w:bidi="he-IL"/>
        </w:rPr>
        <w:t>e action that they did. Maybe God</w:t>
      </w:r>
      <w:r w:rsidR="00120CB3">
        <w:rPr>
          <w:lang w:val="en-GB" w:bidi="he-IL"/>
        </w:rPr>
        <w:t xml:space="preserve"> appreciates the oppor</w:t>
      </w:r>
      <w:r w:rsidR="007D02C2">
        <w:rPr>
          <w:lang w:val="en-GB" w:bidi="he-IL"/>
        </w:rPr>
        <w:t>tunity to give expression to that</w:t>
      </w:r>
      <w:r w:rsidR="00120CB3">
        <w:rPr>
          <w:lang w:val="en-GB" w:bidi="he-IL"/>
        </w:rPr>
        <w:t xml:space="preserve"> important princ</w:t>
      </w:r>
      <w:r w:rsidR="007D02C2">
        <w:rPr>
          <w:lang w:val="en-GB" w:bidi="he-IL"/>
        </w:rPr>
        <w:t>iple that you don’</w:t>
      </w:r>
      <w:r w:rsidR="00120CB3">
        <w:rPr>
          <w:lang w:val="en-GB" w:bidi="he-IL"/>
        </w:rPr>
        <w:t>t come first just</w:t>
      </w:r>
      <w:r w:rsidR="00691E8A">
        <w:rPr>
          <w:lang w:val="en-GB" w:bidi="he-IL"/>
        </w:rPr>
        <w:t xml:space="preserve"> because you’</w:t>
      </w:r>
      <w:r w:rsidR="007D02C2">
        <w:rPr>
          <w:lang w:val="en-GB" w:bidi="he-IL"/>
        </w:rPr>
        <w:t>re born first (compare</w:t>
      </w:r>
      <w:r w:rsidR="00120CB3">
        <w:rPr>
          <w:lang w:val="en-GB" w:bidi="he-IL"/>
        </w:rPr>
        <w:t xml:space="preserve"> Cain and Abel, Esau and Jacob</w:t>
      </w:r>
      <w:r w:rsidR="007D02C2">
        <w:rPr>
          <w:lang w:val="en-GB" w:bidi="he-IL"/>
        </w:rPr>
        <w:t>, Manasseh and Ephraim</w:t>
      </w:r>
      <w:r w:rsidR="00120CB3">
        <w:rPr>
          <w:lang w:val="en-GB" w:bidi="he-IL"/>
        </w:rPr>
        <w:t>). But God has simply made up his mind</w:t>
      </w:r>
      <w:r w:rsidR="0030592D">
        <w:rPr>
          <w:lang w:val="en-GB" w:bidi="he-IL"/>
        </w:rPr>
        <w:t>, as Paul notes in Rom 9:7</w:t>
      </w:r>
      <w:r w:rsidR="00120CB3">
        <w:rPr>
          <w:lang w:val="en-GB" w:bidi="he-IL"/>
        </w:rPr>
        <w:t>.</w:t>
      </w:r>
      <w:r>
        <w:rPr>
          <w:lang w:val="en-GB" w:bidi="he-IL"/>
        </w:rPr>
        <w:t xml:space="preserve"> One might think tha</w:t>
      </w:r>
      <w:r w:rsidR="00112CD1">
        <w:rPr>
          <w:lang w:val="en-GB" w:bidi="he-IL"/>
        </w:rPr>
        <w:t>t there was no need to go along with</w:t>
      </w:r>
      <w:r>
        <w:rPr>
          <w:lang w:val="en-GB" w:bidi="he-IL"/>
        </w:rPr>
        <w:t xml:space="preserve"> Sarah’s extreme plan</w:t>
      </w:r>
      <w:r w:rsidR="00112CD1">
        <w:rPr>
          <w:lang w:val="en-GB" w:bidi="he-IL"/>
        </w:rPr>
        <w:t xml:space="preserve"> for getting Hagar and Ishmael out of the picture</w:t>
      </w:r>
      <w:r>
        <w:rPr>
          <w:lang w:val="en-GB" w:bidi="he-IL"/>
        </w:rPr>
        <w:t>. But maybe the tension will never go away otherwise.</w:t>
      </w:r>
      <w:r w:rsidR="00112CD1">
        <w:rPr>
          <w:rFonts w:eastAsia="Times New Roman" w:cs="Times New Roman"/>
          <w:lang w:val="en-GB"/>
        </w:rPr>
        <w:t xml:space="preserve"> </w:t>
      </w:r>
      <w:r w:rsidR="00112CD1">
        <w:rPr>
          <w:lang w:val="en-GB" w:bidi="he-IL"/>
        </w:rPr>
        <w:t>Even for God, Hagar</w:t>
      </w:r>
      <w:r w:rsidR="00CE3428" w:rsidRPr="00CE3428">
        <w:rPr>
          <w:lang w:val="en-GB" w:bidi="he-IL"/>
        </w:rPr>
        <w:t xml:space="preserve"> is</w:t>
      </w:r>
      <w:r w:rsidR="00112CD1">
        <w:rPr>
          <w:lang w:val="en-GB" w:bidi="he-IL"/>
        </w:rPr>
        <w:t xml:space="preserve"> now Abraham’s “handmaid</w:t>
      </w:r>
      <w:r w:rsidR="00CE3428" w:rsidRPr="00CE3428">
        <w:rPr>
          <w:lang w:val="en-GB" w:bidi="he-IL"/>
        </w:rPr>
        <w:t>,</w:t>
      </w:r>
      <w:r w:rsidR="00112CD1">
        <w:rPr>
          <w:lang w:val="en-GB" w:bidi="he-IL"/>
        </w:rPr>
        <w:t>” n</w:t>
      </w:r>
      <w:r w:rsidR="00CE3428" w:rsidRPr="00CE3428">
        <w:rPr>
          <w:lang w:val="en-GB" w:bidi="he-IL"/>
        </w:rPr>
        <w:t xml:space="preserve">ot his </w:t>
      </w:r>
      <w:r w:rsidR="00112CD1">
        <w:rPr>
          <w:lang w:val="en-GB" w:bidi="he-IL"/>
        </w:rPr>
        <w:t>“</w:t>
      </w:r>
      <w:r w:rsidR="00CE3428" w:rsidRPr="00CE3428">
        <w:rPr>
          <w:lang w:val="en-GB" w:bidi="he-IL"/>
        </w:rPr>
        <w:t>wife</w:t>
      </w:r>
      <w:r w:rsidR="00112CD1">
        <w:rPr>
          <w:lang w:val="en-GB" w:bidi="he-IL"/>
        </w:rPr>
        <w:t xml:space="preserve">” (16:3). </w:t>
      </w:r>
      <w:r w:rsidR="00112CD1" w:rsidRPr="00112CD1">
        <w:rPr>
          <w:lang w:val="en-GB" w:bidi="he-IL"/>
        </w:rPr>
        <w:t>“The reader has not suspected that God would be on Sarah’s side, but rather on Abraham’s. But… God pursues his great historical purposes in, with, and under all headstrong acts of men.”</w:t>
      </w:r>
      <w:r w:rsidR="00112CD1" w:rsidRPr="00112CD1">
        <w:rPr>
          <w:vertAlign w:val="superscript"/>
          <w:lang w:val="en-GB" w:bidi="he-IL"/>
        </w:rPr>
        <w:footnoteReference w:id="591"/>
      </w:r>
      <w:r w:rsidR="003C6763">
        <w:rPr>
          <w:lang w:val="en-GB" w:bidi="he-IL"/>
        </w:rPr>
        <w:t xml:space="preserve"> </w:t>
      </w:r>
      <w:r w:rsidR="003C6763">
        <w:t xml:space="preserve">He goes along with the dubious human plans in which </w:t>
      </w:r>
      <w:r w:rsidR="00B737DD">
        <w:t>the conflict issues. He</w:t>
      </w:r>
      <w:r w:rsidR="003C6763">
        <w:t xml:space="preserve"> does not insist on working via ideal plans and pure intentions but accepts the necessity to work through </w:t>
      </w:r>
      <w:r w:rsidR="003C6763">
        <w:rPr>
          <w:lang w:val="en-GB" w:bidi="he-IL"/>
        </w:rPr>
        <w:t>unsavoury plans and questionable decisions.</w:t>
      </w:r>
    </w:p>
    <w:p w14:paraId="38471BE9" w14:textId="77777777" w:rsidR="00AA5110" w:rsidRDefault="00112CD1" w:rsidP="002D5C78">
      <w:pPr>
        <w:rPr>
          <w:b/>
          <w:lang w:val="en-GB" w:bidi="he-IL"/>
        </w:rPr>
      </w:pPr>
      <w:r>
        <w:rPr>
          <w:lang w:val="en-GB" w:bidi="he-IL"/>
        </w:rPr>
        <w:t xml:space="preserve">But God is still </w:t>
      </w:r>
      <w:r w:rsidR="00400614">
        <w:rPr>
          <w:lang w:val="en-GB" w:bidi="he-IL"/>
        </w:rPr>
        <w:t xml:space="preserve">pledged </w:t>
      </w:r>
      <w:r w:rsidR="00311AA0">
        <w:rPr>
          <w:lang w:val="en-GB" w:bidi="he-IL"/>
        </w:rPr>
        <w:t>to fulfil</w:t>
      </w:r>
      <w:r>
        <w:rPr>
          <w:lang w:val="en-GB" w:bidi="he-IL"/>
        </w:rPr>
        <w:t>ling</w:t>
      </w:r>
      <w:r w:rsidR="00311AA0">
        <w:rPr>
          <w:lang w:val="en-GB" w:bidi="he-IL"/>
        </w:rPr>
        <w:t xml:space="preserve"> his promise regarding Ishmael (v. 13).</w:t>
      </w:r>
      <w:r w:rsidR="00927C4A">
        <w:rPr>
          <w:rFonts w:eastAsia="Times New Roman" w:cs="Times New Roman"/>
        </w:rPr>
        <w:t xml:space="preserve"> When </w:t>
      </w:r>
      <w:r w:rsidR="008D4E32">
        <w:rPr>
          <w:lang w:val="en-GB" w:bidi="he-IL"/>
        </w:rPr>
        <w:t>he</w:t>
      </w:r>
      <w:r w:rsidR="00927C4A" w:rsidRPr="00E33C5E">
        <w:rPr>
          <w:lang w:val="en-GB" w:bidi="he-IL"/>
        </w:rPr>
        <w:t xml:space="preserve"> chose </w:t>
      </w:r>
      <w:r w:rsidR="00927C4A">
        <w:rPr>
          <w:lang w:val="en-GB" w:bidi="he-IL"/>
        </w:rPr>
        <w:t>Isaac’s line not Ishmael’s, it wa</w:t>
      </w:r>
      <w:r w:rsidR="00927C4A" w:rsidRPr="00E33C5E">
        <w:rPr>
          <w:lang w:val="en-GB" w:bidi="he-IL"/>
        </w:rPr>
        <w:t>s not b</w:t>
      </w:r>
      <w:r w:rsidR="008A69BC">
        <w:rPr>
          <w:lang w:val="en-GB" w:bidi="he-IL"/>
        </w:rPr>
        <w:t>ecause Isaac (or Sarah) deserved</w:t>
      </w:r>
      <w:r w:rsidR="00927C4A" w:rsidRPr="00E33C5E">
        <w:rPr>
          <w:lang w:val="en-GB" w:bidi="he-IL"/>
        </w:rPr>
        <w:t xml:space="preserve"> it, nor</w:t>
      </w:r>
      <w:r w:rsidR="008A69BC">
        <w:rPr>
          <w:lang w:val="en-GB" w:bidi="he-IL"/>
        </w:rPr>
        <w:t xml:space="preserve"> because Ishmael (or Hagar) did not;</w:t>
      </w:r>
      <w:r w:rsidR="00927C4A">
        <w:rPr>
          <w:lang w:val="en-GB" w:bidi="he-IL"/>
        </w:rPr>
        <w:t xml:space="preserve"> </w:t>
      </w:r>
      <w:r w:rsidR="008A69BC">
        <w:rPr>
          <w:lang w:val="en-GB" w:bidi="he-IL"/>
        </w:rPr>
        <w:t>it was an aspect of God’s fulfilling</w:t>
      </w:r>
      <w:r w:rsidR="00927C4A">
        <w:rPr>
          <w:lang w:val="en-GB" w:bidi="he-IL"/>
        </w:rPr>
        <w:t xml:space="preserve"> his purpose th</w:t>
      </w:r>
      <w:r w:rsidR="008D4E32">
        <w:rPr>
          <w:lang w:val="en-GB" w:bidi="he-IL"/>
        </w:rPr>
        <w:t>at all nations may be blessed. And</w:t>
      </w:r>
      <w:r w:rsidR="00927C4A" w:rsidRPr="00E80847">
        <w:rPr>
          <w:lang w:val="en-GB" w:bidi="he-IL"/>
        </w:rPr>
        <w:t xml:space="preserve"> in this connection “Genesis depicts God both drawing lines and blurring them.”</w:t>
      </w:r>
      <w:r w:rsidR="00927C4A">
        <w:rPr>
          <w:rStyle w:val="FootnoteReference"/>
          <w:lang w:val="en-GB" w:bidi="he-IL"/>
        </w:rPr>
        <w:footnoteReference w:id="592"/>
      </w:r>
      <w:r w:rsidR="00927C4A" w:rsidRPr="00E80847">
        <w:rPr>
          <w:lang w:val="en-GB" w:bidi="he-IL"/>
        </w:rPr>
        <w:t xml:space="preserve"> </w:t>
      </w:r>
      <w:r w:rsidR="001A3400">
        <w:rPr>
          <w:lang w:val="en-GB" w:bidi="he-IL"/>
        </w:rPr>
        <w:t>Further, in vv. 12-13 “we meet theologians who know how to detect the ways of God in the midst of the tortuous ways of human beings.”</w:t>
      </w:r>
      <w:r w:rsidR="001A3400">
        <w:rPr>
          <w:rStyle w:val="FootnoteReference"/>
          <w:lang w:val="en-GB" w:bidi="he-IL"/>
        </w:rPr>
        <w:footnoteReference w:id="593"/>
      </w:r>
      <w:r w:rsidR="001A3400">
        <w:rPr>
          <w:lang w:val="en-GB" w:bidi="he-IL"/>
        </w:rPr>
        <w:t xml:space="preserve"> </w:t>
      </w:r>
      <w:r w:rsidR="00927C4A" w:rsidRPr="00E80847">
        <w:rPr>
          <w:lang w:val="en-GB" w:bidi="he-IL"/>
        </w:rPr>
        <w:t>Isaac is the elected son, but Ishmael is still the treasured son.</w:t>
      </w:r>
      <w:r w:rsidR="00927C4A">
        <w:rPr>
          <w:rStyle w:val="FootnoteReference"/>
          <w:lang w:val="en-GB" w:bidi="he-IL"/>
        </w:rPr>
        <w:footnoteReference w:id="594"/>
      </w:r>
      <w:r w:rsidR="00927C4A" w:rsidRPr="00E80847">
        <w:rPr>
          <w:lang w:val="en-GB" w:bidi="he-IL"/>
        </w:rPr>
        <w:t xml:space="preserve"> Both matter to God.</w:t>
      </w:r>
      <w:r w:rsidR="00AA5110">
        <w:rPr>
          <w:rFonts w:eastAsia="Times New Roman" w:cs="Times New Roman"/>
        </w:rPr>
        <w:t xml:space="preserve"> “I</w:t>
      </w:r>
      <w:r w:rsidR="00AA5110" w:rsidRPr="00AA5110">
        <w:rPr>
          <w:rFonts w:eastAsia="Times New Roman" w:cs="Arial"/>
        </w:rPr>
        <w:t>t is no unfeeling Deity who seconds Sarah's bidding to Abraham.” He is “a powerful and long lived participant in the lives of succeeding generations, who at this point…relieves Abraham of responsibility for a decision. He himself will take over now, as guardian and guarantor of the future.</w:t>
      </w:r>
      <w:r w:rsidR="00AA5110">
        <w:rPr>
          <w:rFonts w:eastAsia="Times New Roman" w:cs="Arial"/>
        </w:rPr>
        <w:t>”</w:t>
      </w:r>
      <w:r w:rsidR="00AA5110">
        <w:rPr>
          <w:rStyle w:val="FootnoteReference"/>
          <w:rFonts w:eastAsia="Times New Roman" w:cs="Arial"/>
        </w:rPr>
        <w:footnoteReference w:id="595"/>
      </w:r>
      <w:r w:rsidR="00671BAD">
        <w:rPr>
          <w:rFonts w:eastAsia="Times New Roman" w:cs="Arial"/>
        </w:rPr>
        <w:t xml:space="preserve"> W</w:t>
      </w:r>
      <w:r w:rsidR="0068575E">
        <w:rPr>
          <w:rFonts w:eastAsia="Times New Roman" w:cs="Arial"/>
        </w:rPr>
        <w:t>ill</w:t>
      </w:r>
      <w:r w:rsidR="00671BAD">
        <w:rPr>
          <w:rFonts w:eastAsia="Times New Roman" w:cs="Arial"/>
        </w:rPr>
        <w:t xml:space="preserve"> that promise really come about? The question remains as a “narrative gap” until 25:12-18 relates its answer.</w:t>
      </w:r>
      <w:r w:rsidR="00671BAD">
        <w:rPr>
          <w:rStyle w:val="FootnoteReference"/>
          <w:rFonts w:eastAsia="Times New Roman" w:cs="Arial"/>
        </w:rPr>
        <w:footnoteReference w:id="596"/>
      </w:r>
    </w:p>
    <w:p w14:paraId="1B06943C" w14:textId="77777777" w:rsidR="000A349D" w:rsidRDefault="000A349D" w:rsidP="002D5C78">
      <w:pPr>
        <w:rPr>
          <w:lang w:val="en-GB" w:bidi="he-IL"/>
        </w:rPr>
      </w:pPr>
      <w:r>
        <w:rPr>
          <w:b/>
          <w:lang w:val="en-GB" w:bidi="he-IL"/>
        </w:rPr>
        <w:t xml:space="preserve">21:14-16a. </w:t>
      </w:r>
      <w:r>
        <w:rPr>
          <w:lang w:val="en-GB" w:bidi="he-IL"/>
        </w:rPr>
        <w:t>Once again Abraham indicates his commitment to the task by starting early in the morning (cf. 19:27; 20:8). Whereas in Gen 16 he had told Sarah she could take action (and she to</w:t>
      </w:r>
      <w:r w:rsidR="009306B5">
        <w:rPr>
          <w:lang w:val="en-GB" w:bidi="he-IL"/>
        </w:rPr>
        <w:t>o</w:t>
      </w:r>
      <w:r>
        <w:rPr>
          <w:lang w:val="en-GB" w:bidi="he-IL"/>
        </w:rPr>
        <w:t>k tough action), this ti</w:t>
      </w:r>
      <w:r w:rsidR="00E519D7">
        <w:rPr>
          <w:lang w:val="en-GB" w:bidi="he-IL"/>
        </w:rPr>
        <w:t>me he takes action</w:t>
      </w:r>
      <w:r w:rsidR="009C08A2">
        <w:rPr>
          <w:lang w:val="en-GB" w:bidi="he-IL"/>
        </w:rPr>
        <w:t>.</w:t>
      </w:r>
      <w:r w:rsidR="00E519D7">
        <w:rPr>
          <w:lang w:val="en-GB" w:bidi="he-IL"/>
        </w:rPr>
        <w:t xml:space="preserve"> </w:t>
      </w:r>
      <w:r w:rsidR="002C3CCA" w:rsidRPr="00E519D7">
        <w:rPr>
          <w:lang w:bidi="he-IL"/>
        </w:rPr>
        <w:t>“</w:t>
      </w:r>
      <w:r w:rsidR="002C3CCA">
        <w:rPr>
          <w:lang w:val="en-GB" w:bidi="he-IL"/>
        </w:rPr>
        <w:t>Sent away” (</w:t>
      </w:r>
      <w:r w:rsidR="002C3CCA">
        <w:rPr>
          <w:i/>
          <w:lang w:val="en-GB" w:bidi="he-IL"/>
        </w:rPr>
        <w:t xml:space="preserve">šālaḥ </w:t>
      </w:r>
      <w:r w:rsidR="002C3CCA">
        <w:rPr>
          <w:lang w:val="en-GB" w:bidi="he-IL"/>
        </w:rPr>
        <w:t>piel) is another term that can mean divorce (cf. Deut 24:1-4</w:t>
      </w:r>
      <w:r w:rsidR="00256503">
        <w:rPr>
          <w:lang w:val="en-GB" w:bidi="he-IL"/>
        </w:rPr>
        <w:t xml:space="preserve">; </w:t>
      </w:r>
      <w:r w:rsidR="00E519D7">
        <w:rPr>
          <w:lang w:val="en-GB" w:bidi="he-IL"/>
        </w:rPr>
        <w:t>TgPsJ adds that Abraham gave Hagar</w:t>
      </w:r>
      <w:r w:rsidR="00256503">
        <w:rPr>
          <w:lang w:val="en-GB" w:bidi="he-IL"/>
        </w:rPr>
        <w:t xml:space="preserve"> a divorce certificate</w:t>
      </w:r>
      <w:r w:rsidR="009C08A2">
        <w:rPr>
          <w:lang w:val="en-GB" w:bidi="he-IL"/>
        </w:rPr>
        <w:t xml:space="preserve">). Abraham </w:t>
      </w:r>
      <w:r w:rsidR="009C08A2" w:rsidRPr="009C08A2">
        <w:rPr>
          <w:lang w:val="en-GB" w:bidi="he-IL"/>
        </w:rPr>
        <w:t xml:space="preserve">gives Hagar </w:t>
      </w:r>
      <w:r w:rsidR="009C08A2" w:rsidRPr="009C08A2">
        <w:rPr>
          <w:lang w:bidi="he-IL"/>
        </w:rPr>
        <w:t xml:space="preserve">provisions, though of a basic kind. It’s hard to tell whether he is being caring or whether his provision is meager and mean. </w:t>
      </w:r>
      <w:r w:rsidR="009C08A2">
        <w:rPr>
          <w:lang w:val="en-GB" w:bidi="he-IL"/>
        </w:rPr>
        <w:t xml:space="preserve">If they are in </w:t>
      </w:r>
      <w:r w:rsidR="008D4E32">
        <w:rPr>
          <w:lang w:val="en-GB" w:bidi="he-IL"/>
        </w:rPr>
        <w:t xml:space="preserve">the southern </w:t>
      </w:r>
      <w:r w:rsidR="009C08A2">
        <w:rPr>
          <w:lang w:val="en-GB" w:bidi="he-IL"/>
        </w:rPr>
        <w:t xml:space="preserve">Gerar, </w:t>
      </w:r>
      <w:r w:rsidR="008D4E32">
        <w:rPr>
          <w:lang w:val="en-GB" w:bidi="he-IL"/>
        </w:rPr>
        <w:t xml:space="preserve">they are in or not far from </w:t>
      </w:r>
      <w:r w:rsidR="00186598">
        <w:rPr>
          <w:lang w:val="en-GB" w:bidi="he-IL"/>
        </w:rPr>
        <w:t>the area that one could call the</w:t>
      </w:r>
      <w:r w:rsidR="001D27DE">
        <w:rPr>
          <w:lang w:val="en-GB" w:bidi="he-IL"/>
        </w:rPr>
        <w:t xml:space="preserve"> Beer S</w:t>
      </w:r>
      <w:r w:rsidR="00186598">
        <w:rPr>
          <w:lang w:val="en-GB" w:bidi="he-IL"/>
        </w:rPr>
        <w:t>heba w</w:t>
      </w:r>
      <w:r w:rsidR="008D4E32">
        <w:rPr>
          <w:lang w:val="en-GB" w:bidi="he-IL"/>
        </w:rPr>
        <w:t>ilderness (cf.</w:t>
      </w:r>
      <w:r w:rsidR="009C08A2" w:rsidRPr="009C08A2">
        <w:rPr>
          <w:lang w:val="en-GB" w:bidi="he-IL"/>
        </w:rPr>
        <w:t xml:space="preserve"> </w:t>
      </w:r>
      <w:r w:rsidR="009C08A2" w:rsidRPr="009C08A2">
        <w:rPr>
          <w:i/>
          <w:lang w:val="en-GB" w:bidi="he-IL"/>
        </w:rPr>
        <w:t xml:space="preserve">Jub </w:t>
      </w:r>
      <w:r w:rsidR="008D4E32">
        <w:rPr>
          <w:lang w:val="en-GB" w:bidi="he-IL"/>
        </w:rPr>
        <w:t>16:11; and</w:t>
      </w:r>
      <w:r w:rsidR="009C08A2" w:rsidRPr="009C08A2">
        <w:rPr>
          <w:lang w:val="en-GB" w:bidi="he-IL"/>
        </w:rPr>
        <w:t xml:space="preserve"> vv. 22-</w:t>
      </w:r>
      <w:r w:rsidR="008D4E32">
        <w:rPr>
          <w:lang w:val="en-GB" w:bidi="he-IL"/>
        </w:rPr>
        <w:t>34)</w:t>
      </w:r>
      <w:r w:rsidR="009C08A2" w:rsidRPr="009C08A2">
        <w:rPr>
          <w:lang w:val="en-GB" w:bidi="he-IL"/>
        </w:rPr>
        <w:t>.</w:t>
      </w:r>
      <w:r w:rsidR="009C08A2">
        <w:rPr>
          <w:lang w:val="en-GB" w:bidi="he-IL"/>
        </w:rPr>
        <w:t xml:space="preserve"> So Hagar</w:t>
      </w:r>
      <w:r w:rsidR="008B022E">
        <w:rPr>
          <w:lang w:val="en-GB" w:bidi="he-IL"/>
        </w:rPr>
        <w:t xml:space="preserve"> wanders, as God h</w:t>
      </w:r>
      <w:r w:rsidR="009C08A2">
        <w:rPr>
          <w:lang w:val="en-GB" w:bidi="he-IL"/>
        </w:rPr>
        <w:t>a</w:t>
      </w:r>
      <w:r w:rsidR="008D4E32">
        <w:rPr>
          <w:lang w:val="en-GB" w:bidi="he-IL"/>
        </w:rPr>
        <w:t>d made Abraham wander (20:13), a</w:t>
      </w:r>
      <w:r w:rsidR="009C08A2">
        <w:rPr>
          <w:lang w:val="en-GB" w:bidi="he-IL"/>
        </w:rPr>
        <w:t>nd</w:t>
      </w:r>
      <w:r w:rsidR="008D4E32">
        <w:rPr>
          <w:lang w:val="en-GB" w:bidi="he-IL"/>
        </w:rPr>
        <w:t xml:space="preserve"> </w:t>
      </w:r>
      <w:r w:rsidR="00F574B1">
        <w:rPr>
          <w:lang w:val="en-GB" w:bidi="he-IL"/>
        </w:rPr>
        <w:t>seems not to know where she is going.</w:t>
      </w:r>
    </w:p>
    <w:p w14:paraId="66718C6C" w14:textId="438E807C" w:rsidR="00186598" w:rsidRDefault="00186598" w:rsidP="002D5C78">
      <w:pPr>
        <w:rPr>
          <w:lang w:val="en-GB" w:bidi="he-IL"/>
        </w:rPr>
      </w:pPr>
      <w:r>
        <w:rPr>
          <w:lang w:val="en-GB" w:bidi="he-IL"/>
        </w:rPr>
        <w:t>In such wilderness, when your water is finished (v. 15), you are finished, and so is your child. Hagar dumps Ishmael unceremoniously under a bush. The verb (</w:t>
      </w:r>
      <w:r>
        <w:rPr>
          <w:i/>
          <w:lang w:val="en-GB" w:bidi="he-IL"/>
        </w:rPr>
        <w:t>šālak</w:t>
      </w:r>
      <w:r>
        <w:rPr>
          <w:lang w:val="en-GB" w:bidi="he-IL"/>
        </w:rPr>
        <w:t xml:space="preserve"> hiphil) is the one used for </w:t>
      </w:r>
      <w:r w:rsidR="002C3FA1">
        <w:rPr>
          <w:lang w:val="en-GB" w:bidi="he-IL"/>
        </w:rPr>
        <w:t>throwing J</w:t>
      </w:r>
      <w:r w:rsidR="00D22BEC">
        <w:rPr>
          <w:lang w:val="en-GB" w:bidi="he-IL"/>
        </w:rPr>
        <w:t xml:space="preserve">oseph into a pit (37:20, 22, </w:t>
      </w:r>
      <w:proofErr w:type="gramStart"/>
      <w:r w:rsidR="00D22BEC">
        <w:rPr>
          <w:lang w:val="en-GB" w:bidi="he-IL"/>
        </w:rPr>
        <w:t>24</w:t>
      </w:r>
      <w:proofErr w:type="gramEnd"/>
      <w:r w:rsidR="00D22BEC">
        <w:rPr>
          <w:lang w:val="en-GB" w:bidi="he-IL"/>
        </w:rPr>
        <w:t xml:space="preserve">; LXX’s verb </w:t>
      </w:r>
      <w:r w:rsidR="00D22BEC">
        <w:rPr>
          <w:i/>
          <w:lang w:val="en-GB" w:bidi="he-IL"/>
        </w:rPr>
        <w:t xml:space="preserve">riptō </w:t>
      </w:r>
      <w:r w:rsidR="00D22BEC">
        <w:rPr>
          <w:lang w:val="en-GB" w:bidi="he-IL"/>
        </w:rPr>
        <w:t>occ</w:t>
      </w:r>
      <w:r w:rsidR="009C08A2">
        <w:rPr>
          <w:lang w:val="en-GB" w:bidi="he-IL"/>
        </w:rPr>
        <w:t>urs in a similar connection in M</w:t>
      </w:r>
      <w:r w:rsidR="00D22BEC">
        <w:rPr>
          <w:lang w:val="en-GB" w:bidi="he-IL"/>
        </w:rPr>
        <w:t>att 15:30)</w:t>
      </w:r>
      <w:r w:rsidR="004B12B2">
        <w:rPr>
          <w:lang w:val="en-GB" w:bidi="he-IL"/>
        </w:rPr>
        <w:t>,</w:t>
      </w:r>
      <w:r w:rsidR="00D22BEC">
        <w:rPr>
          <w:rStyle w:val="FootnoteReference"/>
          <w:lang w:val="en-GB" w:bidi="he-IL"/>
        </w:rPr>
        <w:footnoteReference w:id="597"/>
      </w:r>
      <w:r w:rsidR="004B12B2">
        <w:rPr>
          <w:lang w:val="en-GB" w:bidi="he-IL"/>
        </w:rPr>
        <w:t xml:space="preserve"> as well as recalling the one used to describe Abraham’s throwing her out:</w:t>
      </w:r>
      <w:r w:rsidR="002C3FA1">
        <w:rPr>
          <w:lang w:val="en-GB" w:bidi="he-IL"/>
        </w:rPr>
        <w:t xml:space="preserve"> </w:t>
      </w:r>
      <w:r w:rsidR="004B12B2">
        <w:rPr>
          <w:lang w:val="en-GB" w:bidi="he-IL"/>
        </w:rPr>
        <w:t>“her homophonic actions mirror Abraham’s.”</w:t>
      </w:r>
      <w:r w:rsidR="004B12B2">
        <w:rPr>
          <w:rStyle w:val="FootnoteReference"/>
          <w:lang w:val="en-GB" w:bidi="he-IL"/>
        </w:rPr>
        <w:footnoteReference w:id="598"/>
      </w:r>
      <w:r w:rsidR="004B12B2">
        <w:rPr>
          <w:lang w:val="en-GB" w:bidi="he-IL"/>
        </w:rPr>
        <w:t xml:space="preserve"> </w:t>
      </w:r>
      <w:r w:rsidR="00F574B1">
        <w:rPr>
          <w:lang w:val="en-GB" w:bidi="he-IL"/>
        </w:rPr>
        <w:t>She is leaving him there to die.</w:t>
      </w:r>
      <w:r w:rsidR="008D4E32">
        <w:rPr>
          <w:lang w:val="en-GB" w:bidi="he-IL"/>
        </w:rPr>
        <w:t xml:space="preserve"> P</w:t>
      </w:r>
      <w:r w:rsidR="004B12B2">
        <w:rPr>
          <w:lang w:val="en-GB" w:bidi="he-IL"/>
        </w:rPr>
        <w:t>aradoxically</w:t>
      </w:r>
      <w:r w:rsidR="008D4E32">
        <w:rPr>
          <w:lang w:val="en-GB" w:bidi="he-IL"/>
        </w:rPr>
        <w:t>,</w:t>
      </w:r>
      <w:r w:rsidR="004B12B2">
        <w:rPr>
          <w:lang w:val="en-GB" w:bidi="he-IL"/>
        </w:rPr>
        <w:t xml:space="preserve"> she makes a </w:t>
      </w:r>
      <w:r w:rsidR="009C08A2">
        <w:rPr>
          <w:lang w:val="en-GB" w:bidi="he-IL"/>
        </w:rPr>
        <w:t xml:space="preserve">point of leaving </w:t>
      </w:r>
      <w:r w:rsidR="009C08A2">
        <w:rPr>
          <w:lang w:val="en-GB" w:bidi="he-IL"/>
        </w:rPr>
        <w:lastRenderedPageBreak/>
        <w:t>him with som</w:t>
      </w:r>
      <w:r w:rsidR="008D4E32">
        <w:rPr>
          <w:lang w:val="en-GB" w:bidi="he-IL"/>
        </w:rPr>
        <w:t>e shade,</w:t>
      </w:r>
      <w:r w:rsidR="009C08A2">
        <w:rPr>
          <w:lang w:val="en-GB" w:bidi="he-IL"/>
        </w:rPr>
        <w:t xml:space="preserve"> seeking to make his passing a little less </w:t>
      </w:r>
      <w:r w:rsidR="00D83E03">
        <w:rPr>
          <w:lang w:val="en-GB" w:bidi="he-IL"/>
        </w:rPr>
        <w:t>uncomfortable than it would be i</w:t>
      </w:r>
      <w:r w:rsidR="009C08A2">
        <w:rPr>
          <w:lang w:val="en-GB" w:bidi="he-IL"/>
        </w:rPr>
        <w:t>f he was just lying in the blazing sun.</w:t>
      </w:r>
    </w:p>
    <w:p w14:paraId="2D250824" w14:textId="77777777" w:rsidR="002C3FA1" w:rsidRPr="00094335" w:rsidRDefault="002C3FA1" w:rsidP="002D5C78">
      <w:pPr>
        <w:rPr>
          <w:lang w:val="en-GB" w:bidi="he-IL"/>
        </w:rPr>
      </w:pPr>
      <w:r>
        <w:rPr>
          <w:lang w:val="en-GB" w:bidi="he-IL"/>
        </w:rPr>
        <w:t>The pain expressed in that act finds furthe</w:t>
      </w:r>
      <w:r w:rsidR="00E14E82">
        <w:rPr>
          <w:lang w:val="en-GB" w:bidi="he-IL"/>
        </w:rPr>
        <w:t>r expression (v. 16a) in her</w:t>
      </w:r>
      <w:r>
        <w:rPr>
          <w:lang w:val="en-GB" w:bidi="he-IL"/>
        </w:rPr>
        <w:t xml:space="preserve"> inability to watch him die, like E</w:t>
      </w:r>
      <w:r w:rsidR="00185D83">
        <w:rPr>
          <w:lang w:val="en-GB" w:bidi="he-IL"/>
        </w:rPr>
        <w:t>tta Place refusing to stay with</w:t>
      </w:r>
      <w:r>
        <w:rPr>
          <w:lang w:val="en-GB" w:bidi="he-IL"/>
        </w:rPr>
        <w:t xml:space="preserve"> Butch Cassidy and Sundance </w:t>
      </w:r>
      <w:r w:rsidR="00185D83">
        <w:rPr>
          <w:lang w:val="en-GB" w:bidi="he-IL"/>
        </w:rPr>
        <w:t>and</w:t>
      </w:r>
      <w:r w:rsidR="00185D83" w:rsidRPr="00185D83">
        <w:rPr>
          <w:lang w:val="en-GB" w:bidi="he-IL"/>
        </w:rPr>
        <w:t xml:space="preserve"> watch </w:t>
      </w:r>
      <w:r w:rsidR="00185D83">
        <w:rPr>
          <w:lang w:val="en-GB" w:bidi="he-IL"/>
        </w:rPr>
        <w:t xml:space="preserve">them </w:t>
      </w:r>
      <w:r>
        <w:rPr>
          <w:lang w:val="en-GB" w:bidi="he-IL"/>
        </w:rPr>
        <w:t xml:space="preserve">die. </w:t>
      </w:r>
      <w:r w:rsidR="00185D83">
        <w:rPr>
          <w:lang w:val="en-GB" w:bidi="he-IL"/>
        </w:rPr>
        <w:t>Yet the tension in the mother’s feelings means she</w:t>
      </w:r>
      <w:r w:rsidR="00094335">
        <w:rPr>
          <w:lang w:val="en-GB" w:bidi="he-IL"/>
        </w:rPr>
        <w:t xml:space="preserve"> cannot simply abandon him. </w:t>
      </w:r>
      <w:r w:rsidR="00094335">
        <w:rPr>
          <w:i/>
          <w:lang w:val="en-GB" w:bidi="he-IL"/>
        </w:rPr>
        <w:t>GenR</w:t>
      </w:r>
      <w:r w:rsidR="00094335">
        <w:rPr>
          <w:lang w:val="en-GB" w:bidi="he-IL"/>
        </w:rPr>
        <w:t xml:space="preserve"> 53:4 says a bow</w:t>
      </w:r>
      <w:r w:rsidR="00E14E82">
        <w:rPr>
          <w:lang w:val="en-GB" w:bidi="he-IL"/>
        </w:rPr>
        <w:t>shot is half-a-mile</w:t>
      </w:r>
      <w:r w:rsidR="00094335">
        <w:rPr>
          <w:lang w:val="en-GB" w:bidi="he-IL"/>
        </w:rPr>
        <w:t>.</w:t>
      </w:r>
      <w:r w:rsidR="007102E0">
        <w:rPr>
          <w:rStyle w:val="FootnoteReference"/>
          <w:lang w:val="en-GB" w:bidi="he-IL"/>
        </w:rPr>
        <w:footnoteReference w:id="599"/>
      </w:r>
      <w:r w:rsidR="00094335">
        <w:rPr>
          <w:lang w:val="en-GB" w:bidi="he-IL"/>
        </w:rPr>
        <w:t xml:space="preserve"> </w:t>
      </w:r>
    </w:p>
    <w:p w14:paraId="00B61F0E" w14:textId="0355D121" w:rsidR="00185D83" w:rsidRDefault="00185D83" w:rsidP="002D5C78">
      <w:pPr>
        <w:rPr>
          <w:lang w:val="en-GB" w:bidi="he-IL"/>
        </w:rPr>
      </w:pPr>
      <w:r>
        <w:rPr>
          <w:b/>
          <w:lang w:val="en-GB" w:bidi="he-IL"/>
        </w:rPr>
        <w:t>21:16b-19</w:t>
      </w:r>
      <w:r>
        <w:rPr>
          <w:lang w:val="en-GB" w:bidi="he-IL"/>
        </w:rPr>
        <w:t xml:space="preserve">. </w:t>
      </w:r>
      <w:proofErr w:type="gramStart"/>
      <w:r w:rsidR="00487D9F" w:rsidRPr="00487D9F">
        <w:rPr>
          <w:lang w:val="en-GB" w:bidi="he-IL"/>
        </w:rPr>
        <w:t>Back</w:t>
      </w:r>
      <w:proofErr w:type="gramEnd"/>
      <w:r w:rsidR="00487D9F" w:rsidRPr="00487D9F">
        <w:rPr>
          <w:lang w:val="en-GB" w:bidi="he-IL"/>
        </w:rPr>
        <w:t xml:space="preserve"> </w:t>
      </w:r>
      <w:r w:rsidR="00487D9F">
        <w:rPr>
          <w:lang w:val="en-GB" w:bidi="he-IL"/>
        </w:rPr>
        <w:t>in 16:1-2</w:t>
      </w:r>
      <w:r w:rsidR="00487D9F">
        <w:rPr>
          <w:b/>
          <w:lang w:val="en-GB" w:bidi="he-IL"/>
        </w:rPr>
        <w:t xml:space="preserve"> </w:t>
      </w:r>
      <w:r w:rsidR="00487D9F">
        <w:rPr>
          <w:lang w:val="en-GB" w:bidi="he-IL"/>
        </w:rPr>
        <w:t>Sarah’s voi</w:t>
      </w:r>
      <w:r w:rsidR="005974D9">
        <w:rPr>
          <w:lang w:val="en-GB" w:bidi="he-IL"/>
        </w:rPr>
        <w:t>ce had spoken out to Abraham,</w:t>
      </w:r>
      <w:r w:rsidR="00487D9F">
        <w:rPr>
          <w:lang w:val="en-GB" w:bidi="he-IL"/>
        </w:rPr>
        <w:t xml:space="preserve"> he had listened, and it had worked against Hagar; </w:t>
      </w:r>
      <w:r w:rsidR="00487D9F" w:rsidRPr="00487D9F">
        <w:rPr>
          <w:lang w:val="en-GB" w:bidi="he-IL"/>
        </w:rPr>
        <w:t>and in v</w:t>
      </w:r>
      <w:r w:rsidR="00487D9F">
        <w:rPr>
          <w:lang w:val="en-GB" w:bidi="he-IL"/>
        </w:rPr>
        <w:t>v</w:t>
      </w:r>
      <w:r w:rsidR="00487D9F" w:rsidRPr="00487D9F">
        <w:rPr>
          <w:lang w:val="en-GB" w:bidi="he-IL"/>
        </w:rPr>
        <w:t>. 1</w:t>
      </w:r>
      <w:r w:rsidR="00487D9F">
        <w:rPr>
          <w:lang w:val="en-GB" w:bidi="he-IL"/>
        </w:rPr>
        <w:t>0-1</w:t>
      </w:r>
      <w:r w:rsidR="00487D9F" w:rsidRPr="00487D9F">
        <w:rPr>
          <w:lang w:val="en-GB" w:bidi="he-IL"/>
        </w:rPr>
        <w:t>2 Sarah’s voice had spoken out to Abraham</w:t>
      </w:r>
      <w:r w:rsidR="00487D9F">
        <w:rPr>
          <w:lang w:val="en-GB" w:bidi="he-IL"/>
        </w:rPr>
        <w:t xml:space="preserve"> and </w:t>
      </w:r>
      <w:r w:rsidR="008D4E32">
        <w:rPr>
          <w:lang w:val="en-GB" w:bidi="he-IL"/>
        </w:rPr>
        <w:t>God had told him to listen</w:t>
      </w:r>
      <w:r w:rsidR="00487D9F">
        <w:rPr>
          <w:lang w:val="en-GB" w:bidi="he-IL"/>
        </w:rPr>
        <w:t xml:space="preserve">. Now Hagar raises her voice as Abel’s blood had raised its voice (4:10), and she cries; her tears are the first tears in the Scriptures. </w:t>
      </w:r>
      <w:r w:rsidR="00543621">
        <w:rPr>
          <w:lang w:val="en-GB" w:bidi="he-IL"/>
        </w:rPr>
        <w:t>The birth that brought laug</w:t>
      </w:r>
      <w:r w:rsidR="00D83E03">
        <w:rPr>
          <w:lang w:val="en-GB" w:bidi="he-IL"/>
        </w:rPr>
        <w:t>hter to Sarah has brought</w:t>
      </w:r>
      <w:r w:rsidR="00543621">
        <w:rPr>
          <w:lang w:val="en-GB" w:bidi="he-IL"/>
        </w:rPr>
        <w:t xml:space="preserve"> only tears to Hagar.</w:t>
      </w:r>
      <w:r w:rsidR="00543621">
        <w:rPr>
          <w:rStyle w:val="FootnoteReference"/>
          <w:lang w:val="en-GB" w:bidi="he-IL"/>
        </w:rPr>
        <w:footnoteReference w:id="600"/>
      </w:r>
      <w:r w:rsidR="00C56AFD">
        <w:rPr>
          <w:lang w:val="en-GB" w:bidi="he-IL"/>
        </w:rPr>
        <w:t xml:space="preserve"> </w:t>
      </w:r>
      <w:r w:rsidR="0076633C">
        <w:rPr>
          <w:lang w:val="en-GB" w:bidi="he-IL"/>
        </w:rPr>
        <w:t>“Hagar’s was a cry without hope,</w:t>
      </w:r>
      <w:r w:rsidR="00EC7928" w:rsidRPr="00EC7928">
        <w:rPr>
          <w:lang w:val="en-GB" w:bidi="he-IL"/>
        </w:rPr>
        <w:t>”</w:t>
      </w:r>
      <w:r w:rsidR="00EC7928" w:rsidRPr="00EC7928">
        <w:rPr>
          <w:vertAlign w:val="superscript"/>
          <w:lang w:val="en-GB" w:bidi="he-IL"/>
        </w:rPr>
        <w:footnoteReference w:id="601"/>
      </w:r>
      <w:r w:rsidR="0076633C">
        <w:rPr>
          <w:lang w:val="en-GB" w:bidi="he-IL"/>
        </w:rPr>
        <w:t xml:space="preserve"> a</w:t>
      </w:r>
      <w:r w:rsidR="00EC7928">
        <w:rPr>
          <w:lang w:val="en-GB" w:bidi="he-IL"/>
        </w:rPr>
        <w:t>nd the story does not indicate that her cry was addressed to anyone.</w:t>
      </w:r>
      <w:r w:rsidR="00EC7928">
        <w:rPr>
          <w:rStyle w:val="FootnoteReference"/>
          <w:lang w:val="en-GB" w:bidi="he-IL"/>
        </w:rPr>
        <w:footnoteReference w:id="602"/>
      </w:r>
    </w:p>
    <w:p w14:paraId="65D2049F" w14:textId="4F5A07C4" w:rsidR="00487D9F" w:rsidRDefault="00487D9F" w:rsidP="002D5C78">
      <w:pPr>
        <w:rPr>
          <w:lang w:val="en-GB" w:bidi="he-IL"/>
        </w:rPr>
      </w:pPr>
      <w:r>
        <w:rPr>
          <w:lang w:val="en-GB" w:bidi="he-IL"/>
        </w:rPr>
        <w:t>But apparently the boy cries, too, and it is his voice that God listens to</w:t>
      </w:r>
      <w:r w:rsidR="00A05F1B">
        <w:rPr>
          <w:lang w:val="en-GB" w:bidi="he-IL"/>
        </w:rPr>
        <w:t xml:space="preserve"> (v. 17)</w:t>
      </w:r>
      <w:r>
        <w:rPr>
          <w:lang w:val="en-GB" w:bidi="he-IL"/>
        </w:rPr>
        <w:t xml:space="preserve">—which one may guess is fine with Hagar. </w:t>
      </w:r>
      <w:r w:rsidR="00A05F1B">
        <w:rPr>
          <w:lang w:val="en-GB" w:bidi="he-IL"/>
        </w:rPr>
        <w:t>Even if his mother who can do nothing cannot bear to listen, God who can do something listen</w:t>
      </w:r>
      <w:r w:rsidR="005974D9">
        <w:rPr>
          <w:lang w:val="en-GB" w:bidi="he-IL"/>
        </w:rPr>
        <w:t>s. Hagar</w:t>
      </w:r>
      <w:r w:rsidR="00A05F1B">
        <w:rPr>
          <w:lang w:val="en-GB" w:bidi="he-IL"/>
        </w:rPr>
        <w:t xml:space="preserve"> is not where the boy is; God listens where the boy is.</w:t>
      </w:r>
      <w:r w:rsidR="003106FC">
        <w:rPr>
          <w:lang w:val="en-GB" w:bidi="he-IL"/>
        </w:rPr>
        <w:t xml:space="preserve"> God lives up to Ishmael’s name</w:t>
      </w:r>
      <w:r w:rsidR="00F574B1">
        <w:rPr>
          <w:lang w:val="en-GB" w:bidi="he-IL"/>
        </w:rPr>
        <w:t xml:space="preserve"> (though </w:t>
      </w:r>
      <w:r w:rsidR="00273152">
        <w:rPr>
          <w:lang w:val="en-GB" w:bidi="he-IL"/>
        </w:rPr>
        <w:t xml:space="preserve">the name </w:t>
      </w:r>
      <w:r w:rsidR="00F574B1">
        <w:rPr>
          <w:lang w:val="en-GB" w:bidi="he-IL"/>
        </w:rPr>
        <w:t xml:space="preserve">is still not used </w:t>
      </w:r>
      <w:r w:rsidR="00273152">
        <w:rPr>
          <w:lang w:val="en-GB" w:bidi="he-IL"/>
        </w:rPr>
        <w:t>in this chapter)</w:t>
      </w:r>
      <w:r w:rsidR="003106FC">
        <w:rPr>
          <w:lang w:val="en-GB" w:bidi="he-IL"/>
        </w:rPr>
        <w:t>.</w:t>
      </w:r>
      <w:r w:rsidR="00A05F1B">
        <w:rPr>
          <w:lang w:val="en-GB" w:bidi="he-IL"/>
        </w:rPr>
        <w:t xml:space="preserve"> Onc</w:t>
      </w:r>
      <w:r w:rsidR="00D83E03">
        <w:rPr>
          <w:lang w:val="en-GB" w:bidi="he-IL"/>
        </w:rPr>
        <w:t>e again God’s envoy calls to Hagar</w:t>
      </w:r>
      <w:r w:rsidR="00A05F1B">
        <w:rPr>
          <w:lang w:val="en-GB" w:bidi="he-IL"/>
        </w:rPr>
        <w:t>, this time from the heavens</w:t>
      </w:r>
      <w:r w:rsidR="005974D9">
        <w:rPr>
          <w:lang w:val="en-GB" w:bidi="he-IL"/>
        </w:rPr>
        <w:t>, perhaps</w:t>
      </w:r>
      <w:r w:rsidR="00F574B1">
        <w:rPr>
          <w:lang w:val="en-GB" w:bidi="he-IL"/>
        </w:rPr>
        <w:t xml:space="preserve"> because God commissions the envoy there immediately upon hearing the cry</w:t>
      </w:r>
      <w:r w:rsidR="00A05F1B">
        <w:rPr>
          <w:lang w:val="en-GB" w:bidi="he-IL"/>
        </w:rPr>
        <w:t xml:space="preserve">. </w:t>
      </w:r>
      <w:r w:rsidR="005974D9">
        <w:rPr>
          <w:lang w:val="en-GB" w:bidi="he-IL"/>
        </w:rPr>
        <w:t>The envoy does use Hagar’s</w:t>
      </w:r>
      <w:r w:rsidR="00F574B1">
        <w:rPr>
          <w:lang w:val="en-GB" w:bidi="he-IL"/>
        </w:rPr>
        <w:t xml:space="preserve"> name, and </w:t>
      </w:r>
      <w:r w:rsidR="00A05F1B">
        <w:rPr>
          <w:lang w:val="en-GB" w:bidi="he-IL"/>
        </w:rPr>
        <w:t>asks her what the problem is, which needn’t have</w:t>
      </w:r>
      <w:r w:rsidR="005974D9">
        <w:rPr>
          <w:lang w:val="en-GB" w:bidi="he-IL"/>
        </w:rPr>
        <w:t xml:space="preserve"> been a rhetorical question and might </w:t>
      </w:r>
      <w:r w:rsidR="00A05F1B">
        <w:rPr>
          <w:lang w:val="en-GB" w:bidi="he-IL"/>
        </w:rPr>
        <w:t xml:space="preserve">rather </w:t>
      </w:r>
      <w:r w:rsidR="005974D9">
        <w:rPr>
          <w:lang w:val="en-GB" w:bidi="he-IL"/>
        </w:rPr>
        <w:t>have been one that gives Hagar</w:t>
      </w:r>
      <w:r w:rsidR="00A05F1B">
        <w:rPr>
          <w:lang w:val="en-GB" w:bidi="he-IL"/>
        </w:rPr>
        <w:t xml:space="preserve"> the chance to speak (cf</w:t>
      </w:r>
      <w:r w:rsidR="005974D9">
        <w:rPr>
          <w:lang w:val="en-GB" w:bidi="he-IL"/>
        </w:rPr>
        <w:t>. 16:8). But on this occasion the envoy</w:t>
      </w:r>
      <w:r w:rsidR="00A05F1B">
        <w:rPr>
          <w:lang w:val="en-GB" w:bidi="he-IL"/>
        </w:rPr>
        <w:t xml:space="preserve"> goes straight on with the exhortation</w:t>
      </w:r>
      <w:r w:rsidR="005974D9">
        <w:rPr>
          <w:lang w:val="en-GB" w:bidi="he-IL"/>
        </w:rPr>
        <w:t>/invitation</w:t>
      </w:r>
      <w:r w:rsidR="00A05F1B">
        <w:rPr>
          <w:lang w:val="en-GB" w:bidi="he-IL"/>
        </w:rPr>
        <w:t xml:space="preserve"> given to Abraham in 15:1 (and cf. 26:24).</w:t>
      </w:r>
    </w:p>
    <w:p w14:paraId="45082BDE" w14:textId="1ED417EA" w:rsidR="00814D80" w:rsidRDefault="005974D9" w:rsidP="002D5C78">
      <w:pPr>
        <w:rPr>
          <w:lang w:val="en-GB" w:bidi="he-IL"/>
        </w:rPr>
      </w:pPr>
      <w:r>
        <w:rPr>
          <w:lang w:val="en-GB" w:bidi="he-IL"/>
        </w:rPr>
        <w:t xml:space="preserve">But </w:t>
      </w:r>
      <w:r w:rsidR="007102E0">
        <w:rPr>
          <w:lang w:val="en-GB" w:bidi="he-IL"/>
        </w:rPr>
        <w:t>Hagar needs to take action (v. 18). Twice we have been told that she sat down; the envoy tel</w:t>
      </w:r>
      <w:r>
        <w:rPr>
          <w:lang w:val="en-GB" w:bidi="he-IL"/>
        </w:rPr>
        <w:t>ls her to get up. She has put the boy down</w:t>
      </w:r>
      <w:r w:rsidR="007102E0">
        <w:rPr>
          <w:lang w:val="en-GB" w:bidi="he-IL"/>
        </w:rPr>
        <w:t>; the envoy tells</w:t>
      </w:r>
      <w:r>
        <w:rPr>
          <w:lang w:val="en-GB" w:bidi="he-IL"/>
        </w:rPr>
        <w:t xml:space="preserve"> her to lift him u</w:t>
      </w:r>
      <w:r w:rsidR="0076633C">
        <w:rPr>
          <w:lang w:val="en-GB" w:bidi="he-IL"/>
        </w:rPr>
        <w:t>p and grasp</w:t>
      </w:r>
      <w:r w:rsidR="007102E0">
        <w:rPr>
          <w:lang w:val="en-GB" w:bidi="he-IL"/>
        </w:rPr>
        <w:t xml:space="preserve"> hold of him</w:t>
      </w:r>
      <w:r>
        <w:rPr>
          <w:lang w:val="en-GB" w:bidi="he-IL"/>
        </w:rPr>
        <w:t xml:space="preserve"> to help him start walking again</w:t>
      </w:r>
      <w:r w:rsidR="007102E0">
        <w:rPr>
          <w:lang w:val="en-GB" w:bidi="he-IL"/>
        </w:rPr>
        <w:t>. The envoy switches to speaking God’s actual word</w:t>
      </w:r>
      <w:r w:rsidR="00814D80">
        <w:rPr>
          <w:lang w:val="en-GB" w:bidi="he-IL"/>
        </w:rPr>
        <w:t xml:space="preserve">s </w:t>
      </w:r>
      <w:r w:rsidR="00814D80" w:rsidRPr="00814D80">
        <w:rPr>
          <w:lang w:val="en-GB" w:bidi="he-IL"/>
        </w:rPr>
        <w:t>and thus adds further force to what he says</w:t>
      </w:r>
      <w:r w:rsidR="0076633C">
        <w:rPr>
          <w:lang w:val="en-GB" w:bidi="he-IL"/>
        </w:rPr>
        <w:t xml:space="preserve">, </w:t>
      </w:r>
      <w:r w:rsidR="00814D80">
        <w:rPr>
          <w:lang w:val="en-GB" w:bidi="he-IL"/>
        </w:rPr>
        <w:t xml:space="preserve">to reaffirm God’s commitment to keeping the promise </w:t>
      </w:r>
      <w:r w:rsidR="0076633C">
        <w:rPr>
          <w:lang w:val="en-GB" w:bidi="he-IL"/>
        </w:rPr>
        <w:t>that he gave to Abraham</w:t>
      </w:r>
      <w:r>
        <w:rPr>
          <w:lang w:val="en-GB" w:bidi="he-IL"/>
        </w:rPr>
        <w:t xml:space="preserve"> which</w:t>
      </w:r>
      <w:r w:rsidR="00814D80">
        <w:rPr>
          <w:lang w:val="en-GB" w:bidi="he-IL"/>
        </w:rPr>
        <w:t xml:space="preserve"> the envoy </w:t>
      </w:r>
      <w:r>
        <w:rPr>
          <w:lang w:val="en-GB" w:bidi="he-IL"/>
        </w:rPr>
        <w:t>now gives</w:t>
      </w:r>
      <w:r w:rsidR="00814D80">
        <w:rPr>
          <w:lang w:val="en-GB" w:bidi="he-IL"/>
        </w:rPr>
        <w:t xml:space="preserve"> to Hagar herself in rather different terms</w:t>
      </w:r>
      <w:r w:rsidR="007102E0">
        <w:rPr>
          <w:lang w:val="en-GB" w:bidi="he-IL"/>
        </w:rPr>
        <w:t>.</w:t>
      </w:r>
      <w:r w:rsidR="00727890">
        <w:rPr>
          <w:lang w:val="en-GB" w:bidi="he-IL"/>
        </w:rPr>
        <w:t xml:space="preserve"> </w:t>
      </w:r>
      <w:r w:rsidR="00F00400">
        <w:rPr>
          <w:lang w:val="en-GB" w:bidi="he-IL"/>
        </w:rPr>
        <w:t>“The child, parched with thirst and given up even by its own mother, will become ‘a great people.’”</w:t>
      </w:r>
      <w:r w:rsidR="00F00400">
        <w:rPr>
          <w:rStyle w:val="FootnoteReference"/>
          <w:lang w:val="en-GB" w:bidi="he-IL"/>
        </w:rPr>
        <w:footnoteReference w:id="603"/>
      </w:r>
    </w:p>
    <w:p w14:paraId="6587BC5D" w14:textId="77777777" w:rsidR="007102E0" w:rsidRDefault="00814D80" w:rsidP="002D5C78">
      <w:pPr>
        <w:rPr>
          <w:lang w:val="en-GB" w:bidi="he-IL"/>
        </w:rPr>
      </w:pPr>
      <w:r>
        <w:rPr>
          <w:lang w:val="en-GB" w:bidi="he-IL"/>
        </w:rPr>
        <w:t xml:space="preserve">And God opens her eyes (v. 19). In Gen 16 the envoy found Hagar by a spring with a well. Here it’s not explicit whether she is again by a well or whether God specially provides one to which he then opens her eyes. </w:t>
      </w:r>
      <w:r w:rsidR="00902BFC">
        <w:rPr>
          <w:lang w:val="en-GB" w:bidi="he-IL"/>
        </w:rPr>
        <w:t xml:space="preserve">Either way, she sees something different from what she was afraid of seeing (v. 16). </w:t>
      </w:r>
      <w:r>
        <w:rPr>
          <w:lang w:val="en-GB" w:bidi="he-IL"/>
        </w:rPr>
        <w:t>She and her son have turned a corner.</w:t>
      </w:r>
    </w:p>
    <w:p w14:paraId="23521806" w14:textId="77777777" w:rsidR="00814D80" w:rsidRDefault="00814D80" w:rsidP="002D5C78">
      <w:pPr>
        <w:rPr>
          <w:lang w:val="en-GB" w:bidi="he-IL"/>
        </w:rPr>
      </w:pPr>
      <w:r>
        <w:rPr>
          <w:b/>
          <w:lang w:val="en-GB" w:bidi="he-IL"/>
        </w:rPr>
        <w:t xml:space="preserve">21:20-21. </w:t>
      </w:r>
      <w:proofErr w:type="gramStart"/>
      <w:r>
        <w:rPr>
          <w:lang w:val="en-GB" w:bidi="he-IL"/>
        </w:rPr>
        <w:t>Another</w:t>
      </w:r>
      <w:proofErr w:type="gramEnd"/>
      <w:r>
        <w:rPr>
          <w:lang w:val="en-GB" w:bidi="he-IL"/>
        </w:rPr>
        <w:t xml:space="preserve"> key scriptural phrase appears for the first </w:t>
      </w:r>
      <w:r w:rsidR="005974D9">
        <w:rPr>
          <w:lang w:val="en-GB" w:bidi="he-IL"/>
        </w:rPr>
        <w:t>time</w:t>
      </w:r>
      <w:r w:rsidR="00F97697">
        <w:rPr>
          <w:lang w:val="en-GB" w:bidi="he-IL"/>
        </w:rPr>
        <w:t xml:space="preserve">: God was with Ishmael. </w:t>
      </w:r>
      <w:r w:rsidR="008A53A5">
        <w:rPr>
          <w:lang w:val="en-GB" w:bidi="he-IL"/>
        </w:rPr>
        <w:t>Subsequently, it will apply to Isaac, Jacob,</w:t>
      </w:r>
      <w:r w:rsidR="00191627">
        <w:rPr>
          <w:lang w:val="en-GB" w:bidi="he-IL"/>
        </w:rPr>
        <w:t xml:space="preserve"> </w:t>
      </w:r>
      <w:r w:rsidR="008A53A5">
        <w:rPr>
          <w:lang w:val="en-GB" w:bidi="he-IL"/>
        </w:rPr>
        <w:t>and Joseph</w:t>
      </w:r>
      <w:r w:rsidR="00F97697">
        <w:rPr>
          <w:lang w:val="en-GB" w:bidi="he-IL"/>
        </w:rPr>
        <w:t xml:space="preserve"> (</w:t>
      </w:r>
      <w:r w:rsidR="00191627">
        <w:rPr>
          <w:lang w:val="en-GB" w:bidi="he-IL"/>
        </w:rPr>
        <w:t xml:space="preserve">26:3, 28; </w:t>
      </w:r>
      <w:r w:rsidR="008A53A5">
        <w:rPr>
          <w:lang w:val="en-GB" w:bidi="he-IL"/>
        </w:rPr>
        <w:t xml:space="preserve">28:18; 31:3, 5; </w:t>
      </w:r>
      <w:r w:rsidR="00191627">
        <w:rPr>
          <w:lang w:val="en-GB" w:bidi="he-IL"/>
        </w:rPr>
        <w:t>39:2, 3, 21, 23). In all these</w:t>
      </w:r>
      <w:r w:rsidR="00F97697">
        <w:rPr>
          <w:lang w:val="en-GB" w:bidi="he-IL"/>
        </w:rPr>
        <w:t xml:space="preserve"> cases (and in subsequent stories) the First Testament does not mean that the person to whom it applies has a </w:t>
      </w:r>
      <w:r w:rsidR="0076633C">
        <w:rPr>
          <w:lang w:val="en-GB" w:bidi="he-IL"/>
        </w:rPr>
        <w:t xml:space="preserve">subjective </w:t>
      </w:r>
      <w:r w:rsidR="00F97697">
        <w:rPr>
          <w:lang w:val="en-GB" w:bidi="he-IL"/>
        </w:rPr>
        <w:t>feeling that God is with them</w:t>
      </w:r>
      <w:r w:rsidR="00D80D5B">
        <w:rPr>
          <w:lang w:val="en-GB" w:bidi="he-IL"/>
        </w:rPr>
        <w:t>, nor that God makes them feel supported</w:t>
      </w:r>
      <w:r w:rsidR="00F97697">
        <w:rPr>
          <w:lang w:val="en-GB" w:bidi="he-IL"/>
        </w:rPr>
        <w:t xml:space="preserve">. It means that objectively God is active in their lives and circumstances and </w:t>
      </w:r>
      <w:r w:rsidR="00D80D5B">
        <w:rPr>
          <w:lang w:val="en-GB" w:bidi="he-IL"/>
        </w:rPr>
        <w:t xml:space="preserve">that God makes things happen. </w:t>
      </w:r>
      <w:r w:rsidR="008A53A5">
        <w:rPr>
          <w:lang w:bidi="he-IL"/>
        </w:rPr>
        <w:t>T</w:t>
      </w:r>
      <w:r w:rsidR="008A53A5" w:rsidRPr="008A53A5">
        <w:rPr>
          <w:lang w:bidi="he-IL"/>
        </w:rPr>
        <w:t xml:space="preserve">hus when the scriptures say God “is with” someone, </w:t>
      </w:r>
      <w:proofErr w:type="gramStart"/>
      <w:r w:rsidR="008A53A5" w:rsidRPr="008A53A5">
        <w:rPr>
          <w:lang w:bidi="he-IL"/>
        </w:rPr>
        <w:t>Tg</w:t>
      </w:r>
      <w:proofErr w:type="gramEnd"/>
      <w:r w:rsidR="008A53A5" w:rsidRPr="008A53A5">
        <w:rPr>
          <w:lang w:bidi="he-IL"/>
        </w:rPr>
        <w:t xml:space="preserve"> often says he</w:t>
      </w:r>
      <w:r w:rsidR="008A53A5" w:rsidRPr="008A53A5">
        <w:rPr>
          <w:bCs/>
          <w:lang w:bidi="he-IL"/>
        </w:rPr>
        <w:t xml:space="preserve"> "is at someone's as</w:t>
      </w:r>
      <w:r w:rsidR="008A53A5">
        <w:rPr>
          <w:bCs/>
          <w:lang w:bidi="he-IL"/>
        </w:rPr>
        <w:t>sistance,”</w:t>
      </w:r>
      <w:r w:rsidR="008A53A5" w:rsidRPr="008A53A5">
        <w:rPr>
          <w:bCs/>
          <w:vertAlign w:val="superscript"/>
          <w:lang w:bidi="he-IL"/>
        </w:rPr>
        <w:footnoteReference w:id="604"/>
      </w:r>
      <w:r w:rsidR="008A53A5">
        <w:rPr>
          <w:bCs/>
          <w:lang w:bidi="he-IL"/>
        </w:rPr>
        <w:t xml:space="preserve"> especially</w:t>
      </w:r>
      <w:r w:rsidR="008A53A5">
        <w:rPr>
          <w:lang w:val="en-GB" w:bidi="he-IL"/>
        </w:rPr>
        <w:t xml:space="preserve"> when the person </w:t>
      </w:r>
      <w:r w:rsidR="00F97697">
        <w:rPr>
          <w:lang w:val="en-GB" w:bidi="he-IL"/>
        </w:rPr>
        <w:t xml:space="preserve">has the chips stacked against them. In Ishmael’s case it means </w:t>
      </w:r>
      <w:r w:rsidR="008A53A5">
        <w:rPr>
          <w:lang w:val="en-GB" w:bidi="he-IL"/>
        </w:rPr>
        <w:t>the boy who has been thrown out will</w:t>
      </w:r>
      <w:r w:rsidR="00F97697">
        <w:rPr>
          <w:lang w:val="en-GB" w:bidi="he-IL"/>
        </w:rPr>
        <w:t xml:space="preserve"> becomes a successful hunter like Nimrod.</w:t>
      </w:r>
      <w:r w:rsidR="00F574B1">
        <w:rPr>
          <w:lang w:val="en-GB" w:bidi="he-IL"/>
        </w:rPr>
        <w:t xml:space="preserve"> The description uses different terms from the ones in the promise in 16:12, but the implications are similar.</w:t>
      </w:r>
    </w:p>
    <w:p w14:paraId="6A3F9008" w14:textId="1DC60607" w:rsidR="0035538C" w:rsidRDefault="00F97697" w:rsidP="0035538C">
      <w:pPr>
        <w:pStyle w:val="ListParagraph"/>
        <w:ind w:left="0" w:firstLine="720"/>
        <w:rPr>
          <w:lang w:bidi="he-IL"/>
        </w:rPr>
      </w:pPr>
      <w:r>
        <w:rPr>
          <w:lang w:val="en-GB" w:bidi="he-IL"/>
        </w:rPr>
        <w:lastRenderedPageBreak/>
        <w:t>The Paran Wilderness (v. 21) stretches do</w:t>
      </w:r>
      <w:r w:rsidR="00531685">
        <w:rPr>
          <w:lang w:val="en-GB" w:bidi="he-IL"/>
        </w:rPr>
        <w:t>wn well into Sinai. It would not be surprising that Hagar looked to her home country for a wife for him.</w:t>
      </w:r>
      <w:r w:rsidR="00C56AFD">
        <w:rPr>
          <w:lang w:val="en-GB" w:bidi="he-IL"/>
        </w:rPr>
        <w:t xml:space="preserve"> But it means that “the boy’s severance from the chosen lineage is complete.”</w:t>
      </w:r>
      <w:r w:rsidR="00C56AFD">
        <w:rPr>
          <w:rStyle w:val="FootnoteReference"/>
          <w:lang w:val="en-GB" w:bidi="he-IL"/>
        </w:rPr>
        <w:footnoteReference w:id="605"/>
      </w:r>
      <w:r w:rsidR="00927C4A">
        <w:rPr>
          <w:lang w:val="en-GB" w:bidi="he-IL"/>
        </w:rPr>
        <w:t xml:space="preserve"> </w:t>
      </w:r>
      <w:r w:rsidR="00A769D3" w:rsidRPr="00927C4A">
        <w:rPr>
          <w:lang w:bidi="he-IL"/>
        </w:rPr>
        <w:t>The end of Gen 21</w:t>
      </w:r>
      <w:r w:rsidR="00BE5FE7" w:rsidRPr="00927C4A">
        <w:rPr>
          <w:lang w:bidi="he-IL"/>
        </w:rPr>
        <w:t xml:space="preserve"> is not reconciliation and harmony but separate flourishing.</w:t>
      </w:r>
      <w:r w:rsidR="004A27BD">
        <w:rPr>
          <w:rStyle w:val="FootnoteReference"/>
          <w:lang w:bidi="he-IL"/>
        </w:rPr>
        <w:footnoteReference w:id="606"/>
      </w:r>
      <w:r w:rsidR="00D83E03">
        <w:rPr>
          <w:lang w:bidi="he-IL"/>
        </w:rPr>
        <w:t xml:space="preserve"> T</w:t>
      </w:r>
      <w:r w:rsidR="0015126C" w:rsidRPr="00927C4A">
        <w:rPr>
          <w:lang w:bidi="he-IL"/>
        </w:rPr>
        <w:t>he way the story ends means that Hagar and Is</w:t>
      </w:r>
      <w:r w:rsidR="00A769D3" w:rsidRPr="00927C4A">
        <w:rPr>
          <w:lang w:bidi="he-IL"/>
        </w:rPr>
        <w:t>h</w:t>
      </w:r>
      <w:r w:rsidR="0015126C" w:rsidRPr="00927C4A">
        <w:rPr>
          <w:lang w:bidi="he-IL"/>
        </w:rPr>
        <w:t xml:space="preserve">mael will both be free from Egyptian oppressors and </w:t>
      </w:r>
      <w:r w:rsidR="000232AD" w:rsidRPr="00927C4A">
        <w:rPr>
          <w:lang w:bidi="he-IL"/>
        </w:rPr>
        <w:t xml:space="preserve">from </w:t>
      </w:r>
      <w:r w:rsidR="0015126C" w:rsidRPr="00927C4A">
        <w:rPr>
          <w:lang w:bidi="he-IL"/>
        </w:rPr>
        <w:t>Hebrew discrimination.</w:t>
      </w:r>
      <w:r w:rsidR="0015126C" w:rsidRPr="00927C4A">
        <w:rPr>
          <w:vertAlign w:val="superscript"/>
          <w:lang w:bidi="he-IL"/>
        </w:rPr>
        <w:footnoteReference w:id="607"/>
      </w:r>
      <w:r w:rsidR="0015126C" w:rsidRPr="00927C4A">
        <w:rPr>
          <w:lang w:bidi="he-IL"/>
        </w:rPr>
        <w:t xml:space="preserve"> </w:t>
      </w:r>
      <w:r w:rsidR="0035538C">
        <w:rPr>
          <w:lang w:bidi="he-IL"/>
        </w:rPr>
        <w:t xml:space="preserve">“Was it </w:t>
      </w:r>
      <w:r w:rsidR="0035538C" w:rsidRPr="00E613DF">
        <w:rPr>
          <w:rFonts w:asciiTheme="minorHAnsi" w:hAnsiTheme="minorHAnsi" w:cstheme="minorHAnsi"/>
          <w:szCs w:val="22"/>
          <w:lang w:bidi="he-IL"/>
        </w:rPr>
        <w:t xml:space="preserve">better </w:t>
      </w:r>
      <w:r w:rsidR="0035538C" w:rsidRPr="00E613DF">
        <w:rPr>
          <w:rFonts w:asciiTheme="minorHAnsi" w:eastAsiaTheme="minorHAnsi" w:hAnsiTheme="minorHAnsi" w:cstheme="minorHAnsi"/>
          <w:bCs/>
          <w:szCs w:val="22"/>
        </w:rPr>
        <w:t>when Hagar and</w:t>
      </w:r>
      <w:r w:rsidR="0035538C" w:rsidRPr="00E613DF">
        <w:rPr>
          <w:rFonts w:asciiTheme="minorHAnsi" w:eastAsiaTheme="minorHAnsi" w:hAnsiTheme="minorHAnsi" w:cstheme="minorHAnsi"/>
          <w:b/>
          <w:bCs/>
          <w:szCs w:val="22"/>
        </w:rPr>
        <w:t xml:space="preserve"> </w:t>
      </w:r>
      <w:r w:rsidR="0035538C" w:rsidRPr="00E613DF">
        <w:rPr>
          <w:rFonts w:asciiTheme="minorHAnsi" w:eastAsiaTheme="minorHAnsi" w:hAnsiTheme="minorHAnsi" w:cstheme="minorHAnsi"/>
          <w:bCs/>
          <w:szCs w:val="22"/>
        </w:rPr>
        <w:t>Ishmael lived with Abraham, Sarah and later Isaac; or was it b</w:t>
      </w:r>
      <w:r w:rsidR="0035538C">
        <w:rPr>
          <w:rFonts w:asciiTheme="minorHAnsi" w:eastAsiaTheme="minorHAnsi" w:hAnsiTheme="minorHAnsi" w:cstheme="minorHAnsi"/>
          <w:bCs/>
          <w:szCs w:val="22"/>
        </w:rPr>
        <w:t>etter when they were sent away?”</w:t>
      </w:r>
      <w:r w:rsidR="0035538C">
        <w:rPr>
          <w:rStyle w:val="FootnoteReference"/>
          <w:rFonts w:asciiTheme="minorHAnsi" w:eastAsiaTheme="minorHAnsi" w:hAnsiTheme="minorHAnsi" w:cstheme="minorHAnsi"/>
          <w:bCs/>
          <w:szCs w:val="22"/>
        </w:rPr>
        <w:footnoteReference w:id="608"/>
      </w:r>
    </w:p>
    <w:p w14:paraId="366BE400" w14:textId="77777777" w:rsidR="008C0B9A" w:rsidRDefault="00927C4A" w:rsidP="008C0B9A">
      <w:pPr>
        <w:pStyle w:val="Heading2"/>
        <w:rPr>
          <w:lang w:bidi="he-IL"/>
        </w:rPr>
      </w:pPr>
      <w:r>
        <w:rPr>
          <w:lang w:bidi="he-IL"/>
        </w:rPr>
        <w:t>Reading Contextually</w:t>
      </w:r>
    </w:p>
    <w:p w14:paraId="6416AE36" w14:textId="0B20B786" w:rsidR="00E80847" w:rsidRPr="00E80847" w:rsidRDefault="0076633C" w:rsidP="00927C4A">
      <w:pPr>
        <w:rPr>
          <w:lang w:val="en-GB" w:bidi="he-IL"/>
        </w:rPr>
      </w:pPr>
      <w:r>
        <w:rPr>
          <w:lang w:val="en-GB" w:bidi="he-IL"/>
        </w:rPr>
        <w:t>In Gal</w:t>
      </w:r>
      <w:r w:rsidR="00E80847">
        <w:rPr>
          <w:lang w:val="en-GB" w:bidi="he-IL"/>
        </w:rPr>
        <w:t xml:space="preserve"> </w:t>
      </w:r>
      <w:r>
        <w:rPr>
          <w:lang w:val="en-GB" w:bidi="he-IL"/>
        </w:rPr>
        <w:t>4 Paul draws a different point from the contrast</w:t>
      </w:r>
      <w:r w:rsidR="00E80847">
        <w:rPr>
          <w:lang w:val="en-GB" w:bidi="he-IL"/>
        </w:rPr>
        <w:t xml:space="preserve"> between Hagar and Sarah</w:t>
      </w:r>
      <w:r w:rsidR="00D83E03">
        <w:rPr>
          <w:lang w:val="en-GB" w:bidi="he-IL"/>
        </w:rPr>
        <w:t xml:space="preserve"> than the one in Gen 21</w:t>
      </w:r>
      <w:r w:rsidR="00E80847">
        <w:rPr>
          <w:lang w:val="en-GB" w:bidi="he-IL"/>
        </w:rPr>
        <w:t xml:space="preserve">. Paradoxically, boldly, </w:t>
      </w:r>
      <w:r>
        <w:rPr>
          <w:lang w:val="en-GB" w:bidi="he-IL"/>
        </w:rPr>
        <w:t>and with Pauline hutzpah</w:t>
      </w:r>
      <w:r w:rsidR="00E80847">
        <w:rPr>
          <w:lang w:val="en-GB" w:bidi="he-IL"/>
        </w:rPr>
        <w:t>, Haga</w:t>
      </w:r>
      <w:r>
        <w:rPr>
          <w:lang w:val="en-GB" w:bidi="he-IL"/>
        </w:rPr>
        <w:t>r stands for the Sinai covenant,</w:t>
      </w:r>
      <w:r w:rsidR="00530439">
        <w:rPr>
          <w:lang w:val="en-GB" w:bidi="he-IL"/>
        </w:rPr>
        <w:t xml:space="preserve"> servitude</w:t>
      </w:r>
      <w:r>
        <w:rPr>
          <w:lang w:val="en-GB" w:bidi="he-IL"/>
        </w:rPr>
        <w:t>,</w:t>
      </w:r>
      <w:r w:rsidR="00530439">
        <w:rPr>
          <w:lang w:val="en-GB" w:bidi="he-IL"/>
        </w:rPr>
        <w:t xml:space="preserve"> </w:t>
      </w:r>
      <w:r w:rsidR="00E80847">
        <w:rPr>
          <w:lang w:val="en-GB" w:bidi="he-IL"/>
        </w:rPr>
        <w:t>and the earthly Jerusalem, Sarah f</w:t>
      </w:r>
      <w:r w:rsidR="00D83E03">
        <w:rPr>
          <w:lang w:val="en-GB" w:bidi="he-IL"/>
        </w:rPr>
        <w:t>or the Jerusalem above, which Paul</w:t>
      </w:r>
      <w:r w:rsidR="00E80847">
        <w:rPr>
          <w:lang w:val="en-GB" w:bidi="he-IL"/>
        </w:rPr>
        <w:t xml:space="preserve"> associates with</w:t>
      </w:r>
      <w:r w:rsidR="00530439">
        <w:rPr>
          <w:lang w:val="en-GB" w:bidi="he-IL"/>
        </w:rPr>
        <w:t xml:space="preserve"> freedom and with Jesus.</w:t>
      </w:r>
      <w:r w:rsidR="003E6C8F">
        <w:rPr>
          <w:rStyle w:val="FootnoteReference"/>
          <w:lang w:val="en-GB" w:bidi="he-IL"/>
        </w:rPr>
        <w:footnoteReference w:id="609"/>
      </w:r>
      <w:r w:rsidR="00530439">
        <w:rPr>
          <w:lang w:val="en-GB" w:bidi="he-IL"/>
        </w:rPr>
        <w:t xml:space="preserve"> These things are </w:t>
      </w:r>
      <w:r w:rsidR="00530439">
        <w:rPr>
          <w:i/>
          <w:lang w:val="en-GB" w:bidi="he-IL"/>
        </w:rPr>
        <w:t>allēgoroumena</w:t>
      </w:r>
      <w:r w:rsidR="00530439">
        <w:rPr>
          <w:lang w:val="en-GB" w:bidi="he-IL"/>
        </w:rPr>
        <w:t xml:space="preserve">, they are figurative or they </w:t>
      </w:r>
      <w:r w:rsidR="00D47CA5">
        <w:rPr>
          <w:lang w:val="en-GB" w:bidi="he-IL"/>
        </w:rPr>
        <w:t>can be taken figuratively, he</w:t>
      </w:r>
      <w:r>
        <w:rPr>
          <w:lang w:val="en-GB" w:bidi="he-IL"/>
        </w:rPr>
        <w:t xml:space="preserve"> says. Either </w:t>
      </w:r>
      <w:r w:rsidR="00530439">
        <w:rPr>
          <w:lang w:val="en-GB" w:bidi="he-IL"/>
        </w:rPr>
        <w:t xml:space="preserve">he means the story was designed as an allegory or illustration of the way God brings about </w:t>
      </w:r>
      <w:r>
        <w:rPr>
          <w:lang w:val="en-GB" w:bidi="he-IL"/>
        </w:rPr>
        <w:t>the world’s salvation, or he simply means he intends</w:t>
      </w:r>
      <w:r w:rsidR="00530439">
        <w:rPr>
          <w:lang w:val="en-GB" w:bidi="he-IL"/>
        </w:rPr>
        <w:t xml:space="preserve"> to us</w:t>
      </w:r>
      <w:r>
        <w:rPr>
          <w:lang w:val="en-GB" w:bidi="he-IL"/>
        </w:rPr>
        <w:t>e the story that way. To ask which is correct might involve</w:t>
      </w:r>
      <w:r w:rsidR="00530439">
        <w:rPr>
          <w:lang w:val="en-GB" w:bidi="he-IL"/>
        </w:rPr>
        <w:t xml:space="preserve"> press</w:t>
      </w:r>
      <w:r>
        <w:rPr>
          <w:lang w:val="en-GB" w:bidi="he-IL"/>
        </w:rPr>
        <w:t xml:space="preserve">ing on Paul a distinction </w:t>
      </w:r>
      <w:r w:rsidR="00530439">
        <w:rPr>
          <w:lang w:val="en-GB" w:bidi="he-IL"/>
        </w:rPr>
        <w:t xml:space="preserve">he wasn’t making. All he knows is that the Holy Spirit is inspiring him to </w:t>
      </w:r>
      <w:r>
        <w:rPr>
          <w:lang w:val="en-GB" w:bidi="he-IL"/>
        </w:rPr>
        <w:t>use the story in this way. T</w:t>
      </w:r>
      <w:r w:rsidR="00530439">
        <w:rPr>
          <w:lang w:val="en-GB" w:bidi="he-IL"/>
        </w:rPr>
        <w:t>he message the Holy Spirit wanted to bring to the original audience of</w:t>
      </w:r>
      <w:r>
        <w:rPr>
          <w:lang w:val="en-GB" w:bidi="he-IL"/>
        </w:rPr>
        <w:t xml:space="preserve"> the story was different from the one </w:t>
      </w:r>
      <w:r w:rsidR="00530439">
        <w:rPr>
          <w:lang w:val="en-GB" w:bidi="he-IL"/>
        </w:rPr>
        <w:t>Paul wants to giv</w:t>
      </w:r>
      <w:r w:rsidR="00494C53">
        <w:rPr>
          <w:lang w:val="en-GB" w:bidi="he-IL"/>
        </w:rPr>
        <w:t xml:space="preserve">e on the basis of it, </w:t>
      </w:r>
      <w:r w:rsidR="00D47CA5">
        <w:rPr>
          <w:lang w:val="en-GB" w:bidi="he-IL"/>
        </w:rPr>
        <w:t>but the Spirit was involved</w:t>
      </w:r>
      <w:r w:rsidR="00530439">
        <w:rPr>
          <w:lang w:val="en-GB" w:bidi="he-IL"/>
        </w:rPr>
        <w:t xml:space="preserve"> in both. </w:t>
      </w:r>
      <w:r w:rsidR="00AF7EE2">
        <w:rPr>
          <w:lang w:val="en-GB" w:bidi="he-IL"/>
        </w:rPr>
        <w:t xml:space="preserve">We do not have to outlaw Paul’s exposition on the basis of a more historical understanding; nor do we have to rule out a more historical understanding on the basis of Paul’s exposition. </w:t>
      </w:r>
    </w:p>
    <w:p w14:paraId="55264221" w14:textId="7636B372" w:rsidR="00807C1C" w:rsidRDefault="00807C1C" w:rsidP="00927C4A">
      <w:pPr>
        <w:rPr>
          <w:lang w:val="en-GB" w:bidi="he-IL"/>
        </w:rPr>
      </w:pPr>
    </w:p>
    <w:p w14:paraId="37C3D723" w14:textId="77777777" w:rsidR="00807C1C" w:rsidRPr="003E6C8F" w:rsidRDefault="00AF7EE2" w:rsidP="00927C4A">
      <w:pPr>
        <w:pStyle w:val="Quote"/>
      </w:pPr>
      <w:r w:rsidRPr="003E6C8F">
        <w:t>Th</w:t>
      </w:r>
      <w:r w:rsidR="00807C1C" w:rsidRPr="003E6C8F">
        <w:t>ough Saint Paul, having the instinct of Gods Spirit, doth allegorize the history of Sarah and Hagar: it is therefore no warrant to every expositer and interpreter to ma</w:t>
      </w:r>
      <w:r w:rsidRPr="003E6C8F">
        <w:t>ke allegories of Scripture…</w:t>
      </w:r>
      <w:r w:rsidR="00807C1C" w:rsidRPr="003E6C8F">
        <w:t>: 1. Saint Pauls rare using of allegories, ought to teach such, that they also should be verie sparing. 2. Unlesse they could say of themselves, as Paul did, I think I have the spirit of God, 1 Cor. 7.4. They cannot challenge the like liberty in expounding of scripture, as S. Paul did: therefore it may be said unto them, as Christ said to his disciples you know not, what spir</w:t>
      </w:r>
      <w:r w:rsidRPr="003E6C8F">
        <w:t>it you are of. Luk. 9.55. 3. Pet</w:t>
      </w:r>
      <w:r w:rsidR="00807C1C" w:rsidRPr="003E6C8F">
        <w:t>er. to this purpose useth a good reason; It only belongeth to God, which inspired the Scriptures, perfectly to know all things, that were to come, and not only to know them, but to dispose &amp; direct them, as it pleaseth him, wherefore he only can appoint</w:t>
      </w:r>
      <w:r w:rsidRPr="003E6C8F">
        <w:t xml:space="preserve"> that things formerly done…</w:t>
      </w:r>
      <w:r w:rsidR="00807C1C" w:rsidRPr="003E6C8F">
        <w:t xml:space="preserve"> should beare a true and certaine type and figure of things afterward to bee done. Man therefore that cannot dispose of things to come, is not to make types and figures, according to his owne device.</w:t>
      </w:r>
      <w:r w:rsidR="00494C53">
        <w:rPr>
          <w:rStyle w:val="FootnoteReference"/>
        </w:rPr>
        <w:footnoteReference w:id="610"/>
      </w:r>
    </w:p>
    <w:p w14:paraId="6F2129D0" w14:textId="77777777" w:rsidR="00807C1C" w:rsidRPr="00807C1C" w:rsidRDefault="00807C1C" w:rsidP="00927C4A">
      <w:pPr>
        <w:rPr>
          <w:lang w:bidi="he-IL"/>
        </w:rPr>
      </w:pPr>
    </w:p>
    <w:p w14:paraId="57261794" w14:textId="2BA0CA8F" w:rsidR="004E4173" w:rsidRPr="00927C4A" w:rsidRDefault="00494C53" w:rsidP="004E4173">
      <w:r>
        <w:rPr>
          <w:lang w:bidi="he-IL"/>
        </w:rPr>
        <w:t>A</w:t>
      </w:r>
      <w:r w:rsidR="00AF7EE2">
        <w:rPr>
          <w:lang w:bidi="he-IL"/>
        </w:rPr>
        <w:t xml:space="preserve"> reading of Gen 21 that starts from a </w:t>
      </w:r>
      <w:r w:rsidR="00A769D3">
        <w:rPr>
          <w:lang w:bidi="he-IL"/>
        </w:rPr>
        <w:t xml:space="preserve">post-New Testament context finds different significance </w:t>
      </w:r>
      <w:r w:rsidR="00AF7EE2">
        <w:rPr>
          <w:lang w:bidi="he-IL"/>
        </w:rPr>
        <w:t xml:space="preserve">in it. </w:t>
      </w:r>
      <w:r w:rsidR="00A769D3">
        <w:t>TgPsJ gives the names of Ishmael’s first and second wives, Adisha (apparently a variant on Ayisha) and Fatima: they are the names of a wife and daughter of Mohammed.</w:t>
      </w:r>
      <w:r w:rsidR="00A769D3">
        <w:rPr>
          <w:rStyle w:val="FootnoteReference"/>
        </w:rPr>
        <w:footnoteReference w:id="611"/>
      </w:r>
      <w:r w:rsidR="00A769D3">
        <w:t xml:space="preserve"> A</w:t>
      </w:r>
      <w:r w:rsidR="00D47CA5">
        <w:t>nd a</w:t>
      </w:r>
      <w:r w:rsidR="00A769D3">
        <w:t xml:space="preserve"> millennium or more </w:t>
      </w:r>
      <w:r w:rsidR="00A769D3">
        <w:lastRenderedPageBreak/>
        <w:t xml:space="preserve">later, </w:t>
      </w:r>
      <w:r w:rsidR="000F263A" w:rsidRPr="00A769D3">
        <w:rPr>
          <w:lang w:val="en-GB" w:bidi="he-IL"/>
        </w:rPr>
        <w:t>“</w:t>
      </w:r>
      <w:r w:rsidR="00A769D3">
        <w:t>t</w:t>
      </w:r>
      <w:r w:rsidR="000F263A">
        <w:t>he wor</w:t>
      </w:r>
      <w:r w:rsidR="00A769D3">
        <w:t>ld is filled with</w:t>
      </w:r>
      <w:r w:rsidR="00AF7EE2">
        <w:t>…</w:t>
      </w:r>
      <w:r w:rsidR="000F263A">
        <w:t xml:space="preserve"> descendants of Ishmael. Nearly one billion Muslims, 85 percent of whom live outside the Middle East, call Abraham fathe</w:t>
      </w:r>
      <w:r w:rsidR="00A769D3">
        <w:t>r, too…. T</w:t>
      </w:r>
      <w:r w:rsidR="000F263A">
        <w:t>hey are the descendants of God’s promise to Ishmael, which remains a contemporary theological reality. How is the other half of Abraham’s family going to relate to these brothers and si</w:t>
      </w:r>
      <w:r w:rsidR="00A769D3">
        <w:t>sters</w:t>
      </w:r>
      <w:r w:rsidR="00AF7EE2">
        <w:t>?</w:t>
      </w:r>
      <w:r w:rsidR="000F263A">
        <w:t>”</w:t>
      </w:r>
      <w:r w:rsidR="000F263A">
        <w:rPr>
          <w:rStyle w:val="FootnoteReference"/>
        </w:rPr>
        <w:footnoteReference w:id="612"/>
      </w:r>
      <w:r w:rsidR="00D47CA5">
        <w:t xml:space="preserve"> </w:t>
      </w:r>
      <w:r w:rsidR="00CF08BD">
        <w:t>A reading of Ishmael that starts from a nineteenth-century context in the United States can take him as a heroic outcast and renegade figure, as he is for Melville.</w:t>
      </w:r>
      <w:r w:rsidR="00CF08BD">
        <w:rPr>
          <w:rStyle w:val="FootnoteReference"/>
        </w:rPr>
        <w:footnoteReference w:id="613"/>
      </w:r>
      <w:r w:rsidR="00D47CA5">
        <w:t xml:space="preserve"> </w:t>
      </w:r>
      <w:r w:rsidR="00A769D3">
        <w:rPr>
          <w:lang w:val="en-GB" w:bidi="he-IL"/>
        </w:rPr>
        <w:t>A</w:t>
      </w:r>
      <w:r w:rsidR="00A769D3" w:rsidRPr="00A769D3">
        <w:rPr>
          <w:lang w:bidi="he-IL"/>
        </w:rPr>
        <w:t xml:space="preserve"> reading of Gen 21 that starts from a</w:t>
      </w:r>
      <w:r w:rsidR="00D47CA5">
        <w:rPr>
          <w:lang w:bidi="he-IL"/>
        </w:rPr>
        <w:t>nother</w:t>
      </w:r>
      <w:r w:rsidR="00A769D3" w:rsidRPr="00A769D3">
        <w:rPr>
          <w:lang w:bidi="he-IL"/>
        </w:rPr>
        <w:t xml:space="preserve"> twenty-first century context finds </w:t>
      </w:r>
      <w:r w:rsidR="00A769D3">
        <w:rPr>
          <w:lang w:bidi="he-IL"/>
        </w:rPr>
        <w:t>yet another significance</w:t>
      </w:r>
      <w:r w:rsidR="00A769D3" w:rsidRPr="00A769D3">
        <w:rPr>
          <w:lang w:bidi="he-IL"/>
        </w:rPr>
        <w:t xml:space="preserve"> in it.</w:t>
      </w:r>
      <w:r w:rsidR="00A769D3">
        <w:rPr>
          <w:lang w:bidi="he-IL"/>
        </w:rPr>
        <w:t xml:space="preserve"> </w:t>
      </w:r>
      <w:r w:rsidR="007D6930">
        <w:t>Like</w:t>
      </w:r>
      <w:r w:rsidR="007D6930" w:rsidRPr="007D6930">
        <w:t xml:space="preserve"> Gen 16</w:t>
      </w:r>
      <w:r>
        <w:t>, this chapter</w:t>
      </w:r>
      <w:r w:rsidR="007D6930">
        <w:t xml:space="preserve"> invites us to have our eyes open to women in our world who live with</w:t>
      </w:r>
      <w:r w:rsidR="007D6930" w:rsidRPr="007D6930">
        <w:t xml:space="preserve"> </w:t>
      </w:r>
      <w:r w:rsidR="000232AD">
        <w:t xml:space="preserve">oppression derived from </w:t>
      </w:r>
      <w:r w:rsidR="007D6930" w:rsidRPr="007D6930">
        <w:t xml:space="preserve">slavery, </w:t>
      </w:r>
      <w:r w:rsidR="007D6930">
        <w:t xml:space="preserve">class, </w:t>
      </w:r>
      <w:r w:rsidR="007D6930" w:rsidRPr="007D6930">
        <w:t>poverty, ethnicity, sexual</w:t>
      </w:r>
      <w:r w:rsidR="007D6930">
        <w:t xml:space="preserve"> and economic exploitation, homelessness, and the challenges of </w:t>
      </w:r>
      <w:r w:rsidR="007D6930" w:rsidRPr="007D6930">
        <w:t>single-parenting.</w:t>
      </w:r>
      <w:r w:rsidR="007D6930" w:rsidRPr="007D6930">
        <w:rPr>
          <w:vertAlign w:val="superscript"/>
        </w:rPr>
        <w:footnoteReference w:id="614"/>
      </w:r>
      <w:r w:rsidR="000232AD">
        <w:t xml:space="preserve"> </w:t>
      </w:r>
      <w:r w:rsidR="000232AD">
        <w:rPr>
          <w:lang w:bidi="he-IL"/>
        </w:rPr>
        <w:t>Hagar’s</w:t>
      </w:r>
      <w:r w:rsidR="007D6930">
        <w:rPr>
          <w:lang w:bidi="he-IL"/>
        </w:rPr>
        <w:t xml:space="preserve"> story draws us into empathizing with wom</w:t>
      </w:r>
      <w:r w:rsidR="000232AD">
        <w:rPr>
          <w:lang w:bidi="he-IL"/>
        </w:rPr>
        <w:t>en in this position and</w:t>
      </w:r>
      <w:r w:rsidR="007D6930">
        <w:rPr>
          <w:lang w:bidi="he-IL"/>
        </w:rPr>
        <w:t xml:space="preserve"> into crying out to God, to bosses, to men, and to people of the dominant race on their behalf</w:t>
      </w:r>
      <w:r w:rsidR="000232AD">
        <w:rPr>
          <w:lang w:bidi="he-IL"/>
        </w:rPr>
        <w:t>.</w:t>
      </w:r>
      <w:r w:rsidR="00927C4A">
        <w:t xml:space="preserve"> </w:t>
      </w:r>
      <w:r w:rsidR="004E4173">
        <w:br w:type="page"/>
      </w:r>
    </w:p>
    <w:p w14:paraId="6B637303" w14:textId="77777777" w:rsidR="004E4173" w:rsidRDefault="00595176" w:rsidP="004E4173">
      <w:pPr>
        <w:pStyle w:val="Heading1"/>
        <w:rPr>
          <w:lang w:bidi="he-IL"/>
        </w:rPr>
      </w:pPr>
      <w:r>
        <w:rPr>
          <w:lang w:bidi="he-IL"/>
        </w:rPr>
        <w:lastRenderedPageBreak/>
        <w:t>Genesis 21:22-34</w:t>
      </w:r>
      <w:r w:rsidR="00AE0D91">
        <w:rPr>
          <w:lang w:bidi="he-IL"/>
        </w:rPr>
        <w:t>—</w:t>
      </w:r>
      <w:r w:rsidR="00AA3033">
        <w:rPr>
          <w:lang w:bidi="he-IL"/>
        </w:rPr>
        <w:t>Ab</w:t>
      </w:r>
      <w:r w:rsidR="00AE0D91">
        <w:rPr>
          <w:lang w:bidi="he-IL"/>
        </w:rPr>
        <w:t>raham and Abimelek (2)</w:t>
      </w:r>
    </w:p>
    <w:p w14:paraId="614029A8" w14:textId="77777777" w:rsidR="00AA3033" w:rsidRDefault="00AA3033" w:rsidP="00AA3033">
      <w:pPr>
        <w:rPr>
          <w:lang w:bidi="he-IL"/>
        </w:rPr>
      </w:pPr>
    </w:p>
    <w:p w14:paraId="758AFDB3" w14:textId="77777777" w:rsidR="00141055" w:rsidRPr="00DA695A" w:rsidRDefault="00141055" w:rsidP="00141055">
      <w:pPr>
        <w:pStyle w:val="Heading2"/>
        <w:rPr>
          <w:lang w:bidi="he-IL"/>
        </w:rPr>
      </w:pPr>
      <w:r>
        <w:rPr>
          <w:lang w:bidi="he-IL"/>
        </w:rPr>
        <w:t>Overview</w:t>
      </w:r>
    </w:p>
    <w:p w14:paraId="7033BCE7" w14:textId="77777777" w:rsidR="00AE0D91" w:rsidRDefault="00A44819" w:rsidP="00AA3033">
      <w:pPr>
        <w:rPr>
          <w:lang w:bidi="he-IL"/>
        </w:rPr>
      </w:pPr>
      <w:r>
        <w:rPr>
          <w:lang w:bidi="he-IL"/>
        </w:rPr>
        <w:t>T</w:t>
      </w:r>
      <w:r w:rsidR="00AE0D91">
        <w:rPr>
          <w:lang w:bidi="he-IL"/>
        </w:rPr>
        <w:t xml:space="preserve">here is </w:t>
      </w:r>
      <w:r>
        <w:rPr>
          <w:lang w:bidi="he-IL"/>
        </w:rPr>
        <w:t xml:space="preserve">again </w:t>
      </w:r>
      <w:r w:rsidR="00AE0D91">
        <w:rPr>
          <w:lang w:bidi="he-IL"/>
        </w:rPr>
        <w:t>conflict and reconciliation</w:t>
      </w:r>
      <w:r w:rsidR="00B22D08">
        <w:rPr>
          <w:lang w:bidi="he-IL"/>
        </w:rPr>
        <w:t xml:space="preserve"> between Abraham and Abimelek. At the background of</w:t>
      </w:r>
      <w:r w:rsidR="00AE0D91">
        <w:rPr>
          <w:lang w:bidi="he-IL"/>
        </w:rPr>
        <w:t xml:space="preserve"> a suggestion by Abimelek that he and Abraham </w:t>
      </w:r>
      <w:r w:rsidR="00B22D08">
        <w:rPr>
          <w:lang w:bidi="he-IL"/>
        </w:rPr>
        <w:t xml:space="preserve">should </w:t>
      </w:r>
      <w:r w:rsidR="00AE0D91">
        <w:rPr>
          <w:lang w:bidi="he-IL"/>
        </w:rPr>
        <w:t>make a pact is a com</w:t>
      </w:r>
      <w:r w:rsidR="00B71FFF">
        <w:rPr>
          <w:lang w:bidi="he-IL"/>
        </w:rPr>
        <w:t>plaint by Abraham about the right</w:t>
      </w:r>
      <w:r w:rsidR="00AE0D91">
        <w:rPr>
          <w:lang w:bidi="he-IL"/>
        </w:rPr>
        <w:t>s to a well at Beer Sheba</w:t>
      </w:r>
      <w:r w:rsidR="00B71FFF">
        <w:rPr>
          <w:lang w:bidi="he-IL"/>
        </w:rPr>
        <w:t>. The resolution of the complaint opens up the possibility of peac</w:t>
      </w:r>
      <w:r w:rsidR="00B22D08">
        <w:rPr>
          <w:lang w:bidi="he-IL"/>
        </w:rPr>
        <w:t>e</w:t>
      </w:r>
      <w:r w:rsidR="00B71FFF">
        <w:rPr>
          <w:lang w:bidi="he-IL"/>
        </w:rPr>
        <w:t xml:space="preserve">ful ongoing life and worship </w:t>
      </w:r>
      <w:r>
        <w:rPr>
          <w:lang w:bidi="he-IL"/>
        </w:rPr>
        <w:t>on the part of Abraham’s people</w:t>
      </w:r>
      <w:r w:rsidR="00B22D08">
        <w:rPr>
          <w:lang w:bidi="he-IL"/>
        </w:rPr>
        <w:t xml:space="preserve"> </w:t>
      </w:r>
      <w:r w:rsidR="00B71FFF">
        <w:rPr>
          <w:lang w:bidi="he-IL"/>
        </w:rPr>
        <w:t>at Beer Sheba.</w:t>
      </w:r>
    </w:p>
    <w:p w14:paraId="0BE2D3F2" w14:textId="77777777" w:rsidR="004E4173" w:rsidRDefault="004E4173" w:rsidP="004E4173">
      <w:pPr>
        <w:pStyle w:val="Heading2"/>
        <w:tabs>
          <w:tab w:val="left" w:pos="6690"/>
        </w:tabs>
      </w:pPr>
      <w:r w:rsidRPr="00DA695A">
        <w:rPr>
          <w:lang w:bidi="he-IL"/>
        </w:rPr>
        <w:t>Translation</w:t>
      </w:r>
    </w:p>
    <w:p w14:paraId="17E99F4B" w14:textId="52B3BFF3" w:rsidR="004E4173" w:rsidRPr="00C2188F" w:rsidRDefault="004E4173" w:rsidP="004E4173">
      <w:pPr>
        <w:rPr>
          <w:lang w:val="en-GB"/>
        </w:rPr>
      </w:pPr>
      <w:r>
        <w:rPr>
          <w:vertAlign w:val="superscript"/>
        </w:rPr>
        <w:t>22</w:t>
      </w:r>
      <w:r w:rsidRPr="00C2188F">
        <w:rPr>
          <w:lang w:val="en-GB"/>
        </w:rPr>
        <w:t xml:space="preserve">At that time </w:t>
      </w:r>
      <w:r>
        <w:rPr>
          <w:lang w:val="en-GB"/>
        </w:rPr>
        <w:t>Abimelek</w:t>
      </w:r>
      <w:r w:rsidRPr="00C2188F">
        <w:rPr>
          <w:lang w:val="en-GB"/>
        </w:rPr>
        <w:t xml:space="preserve"> and </w:t>
      </w:r>
      <w:r>
        <w:rPr>
          <w:lang w:val="en-GB"/>
        </w:rPr>
        <w:t>Pikol, his army officer, said to Abraham: “</w:t>
      </w:r>
      <w:r w:rsidR="001550B9">
        <w:rPr>
          <w:lang w:val="en-GB"/>
        </w:rPr>
        <w:t>God be</w:t>
      </w:r>
      <w:r w:rsidRPr="00C2188F">
        <w:rPr>
          <w:lang w:val="en-GB"/>
        </w:rPr>
        <w:t xml:space="preserve"> with yo</w:t>
      </w:r>
      <w:r>
        <w:rPr>
          <w:lang w:val="en-GB"/>
        </w:rPr>
        <w:t>u</w:t>
      </w:r>
      <w:r w:rsidR="001550B9">
        <w:rPr>
          <w:rStyle w:val="FootnoteReference"/>
          <w:lang w:val="en-GB"/>
        </w:rPr>
        <w:footnoteReference w:id="615"/>
      </w:r>
      <w:r>
        <w:rPr>
          <w:lang w:val="en-GB"/>
        </w:rPr>
        <w:t xml:space="preserve"> in everything that you do. </w:t>
      </w:r>
      <w:r>
        <w:rPr>
          <w:vertAlign w:val="superscript"/>
          <w:lang w:val="en-GB"/>
        </w:rPr>
        <w:t>23</w:t>
      </w:r>
      <w:r w:rsidR="0051215E">
        <w:rPr>
          <w:lang w:val="en-GB"/>
        </w:rPr>
        <w:t xml:space="preserve">But </w:t>
      </w:r>
      <w:r w:rsidRPr="00C2188F">
        <w:rPr>
          <w:lang w:val="en-GB"/>
        </w:rPr>
        <w:t>now, s</w:t>
      </w:r>
      <w:r>
        <w:rPr>
          <w:lang w:val="en-GB"/>
        </w:rPr>
        <w:t>wear to me here by God: if you</w:t>
      </w:r>
      <w:r w:rsidRPr="00C2188F">
        <w:rPr>
          <w:lang w:val="en-GB"/>
        </w:rPr>
        <w:t xml:space="preserve"> deal falsely with me or with my o</w:t>
      </w:r>
      <w:r>
        <w:rPr>
          <w:lang w:val="en-GB"/>
        </w:rPr>
        <w:t>ffspring or with my posterity….</w:t>
      </w:r>
      <w:r w:rsidR="00F25222">
        <w:rPr>
          <w:rStyle w:val="FootnoteReference"/>
          <w:lang w:val="en-GB"/>
        </w:rPr>
        <w:footnoteReference w:id="616"/>
      </w:r>
      <w:r>
        <w:rPr>
          <w:lang w:val="en-GB"/>
        </w:rPr>
        <w:t xml:space="preserve"> You’re to</w:t>
      </w:r>
      <w:r w:rsidRPr="00C2188F">
        <w:rPr>
          <w:lang w:val="en-GB"/>
        </w:rPr>
        <w:t xml:space="preserve"> act </w:t>
      </w:r>
      <w:r>
        <w:rPr>
          <w:lang w:val="en-GB"/>
        </w:rPr>
        <w:t>with</w:t>
      </w:r>
      <w:r w:rsidRPr="00C2188F">
        <w:rPr>
          <w:lang w:val="en-GB"/>
        </w:rPr>
        <w:t xml:space="preserve"> me and </w:t>
      </w:r>
      <w:r>
        <w:rPr>
          <w:lang w:val="en-GB"/>
        </w:rPr>
        <w:t>with</w:t>
      </w:r>
      <w:r w:rsidRPr="00C2188F">
        <w:rPr>
          <w:lang w:val="en-GB"/>
        </w:rPr>
        <w:t xml:space="preserve"> the country in which </w:t>
      </w:r>
      <w:r>
        <w:rPr>
          <w:lang w:val="en-GB"/>
        </w:rPr>
        <w:t>you’ve</w:t>
      </w:r>
      <w:r w:rsidRPr="00C2188F">
        <w:rPr>
          <w:lang w:val="en-GB"/>
        </w:rPr>
        <w:t xml:space="preserve"> resid</w:t>
      </w:r>
      <w:r>
        <w:rPr>
          <w:lang w:val="en-GB"/>
        </w:rPr>
        <w:t>ed</w:t>
      </w:r>
      <w:r w:rsidRPr="00C2188F">
        <w:rPr>
          <w:lang w:val="en-GB"/>
        </w:rPr>
        <w:t xml:space="preserve"> </w:t>
      </w:r>
      <w:r w:rsidR="00122B80">
        <w:rPr>
          <w:lang w:val="en-GB"/>
        </w:rPr>
        <w:t xml:space="preserve">as an alien </w:t>
      </w:r>
      <w:r w:rsidRPr="00C2188F">
        <w:rPr>
          <w:lang w:val="en-GB"/>
        </w:rPr>
        <w:t xml:space="preserve">in accordance with the commitment </w:t>
      </w:r>
      <w:r>
        <w:rPr>
          <w:lang w:val="en-GB"/>
        </w:rPr>
        <w:t>with which I’ve</w:t>
      </w:r>
      <w:r w:rsidRPr="00C2188F">
        <w:rPr>
          <w:lang w:val="en-GB"/>
        </w:rPr>
        <w:t xml:space="preserve"> </w:t>
      </w:r>
      <w:r>
        <w:rPr>
          <w:lang w:val="en-GB"/>
        </w:rPr>
        <w:t>acted with</w:t>
      </w:r>
      <w:r w:rsidRPr="00C2188F">
        <w:rPr>
          <w:lang w:val="en-GB"/>
        </w:rPr>
        <w:t xml:space="preserve"> you</w:t>
      </w:r>
      <w:r>
        <w:rPr>
          <w:lang w:val="en-GB"/>
        </w:rPr>
        <w:t xml:space="preserve">.” </w:t>
      </w:r>
      <w:r>
        <w:rPr>
          <w:vertAlign w:val="superscript"/>
          <w:lang w:val="en-GB"/>
        </w:rPr>
        <w:t>24</w:t>
      </w:r>
      <w:r w:rsidRPr="00C2188F">
        <w:rPr>
          <w:lang w:val="en-GB"/>
        </w:rPr>
        <w:t>Abraham said,</w:t>
      </w:r>
      <w:r>
        <w:rPr>
          <w:lang w:val="en-GB"/>
        </w:rPr>
        <w:t xml:space="preserve"> “I myself</w:t>
      </w:r>
      <w:r w:rsidR="00EC4702">
        <w:rPr>
          <w:rStyle w:val="FootnoteReference"/>
          <w:lang w:val="en-GB"/>
        </w:rPr>
        <w:footnoteReference w:id="617"/>
      </w:r>
      <w:r w:rsidRPr="00C2188F">
        <w:rPr>
          <w:lang w:val="en-GB"/>
        </w:rPr>
        <w:t xml:space="preserve"> </w:t>
      </w:r>
      <w:r w:rsidR="00F10F8A">
        <w:rPr>
          <w:lang w:val="en-GB"/>
        </w:rPr>
        <w:t xml:space="preserve">will </w:t>
      </w:r>
      <w:r w:rsidRPr="00C2188F">
        <w:rPr>
          <w:lang w:val="en-GB"/>
        </w:rPr>
        <w:t>swear</w:t>
      </w:r>
      <w:r>
        <w:rPr>
          <w:lang w:val="en-GB"/>
        </w:rPr>
        <w:t>.”</w:t>
      </w:r>
      <w:r w:rsidRPr="00C2188F">
        <w:rPr>
          <w:lang w:val="en-GB"/>
        </w:rPr>
        <w:t xml:space="preserve"> </w:t>
      </w:r>
    </w:p>
    <w:p w14:paraId="7890B272" w14:textId="77777777" w:rsidR="00540027" w:rsidRDefault="004E4173" w:rsidP="004E4173">
      <w:pPr>
        <w:rPr>
          <w:lang w:val="en-GB"/>
        </w:rPr>
      </w:pPr>
      <w:r>
        <w:rPr>
          <w:vertAlign w:val="superscript"/>
          <w:lang w:val="en-GB"/>
        </w:rPr>
        <w:t>25</w:t>
      </w:r>
      <w:r>
        <w:rPr>
          <w:lang w:val="en-GB"/>
        </w:rPr>
        <w:t xml:space="preserve">Abraham </w:t>
      </w:r>
      <w:r w:rsidR="0065789A">
        <w:rPr>
          <w:lang w:val="en-GB"/>
        </w:rPr>
        <w:t xml:space="preserve">had </w:t>
      </w:r>
      <w:r>
        <w:rPr>
          <w:lang w:val="en-GB"/>
        </w:rPr>
        <w:t>reproved</w:t>
      </w:r>
      <w:r w:rsidR="0065789A">
        <w:rPr>
          <w:rStyle w:val="FootnoteReference"/>
          <w:lang w:val="en-GB"/>
        </w:rPr>
        <w:footnoteReference w:id="618"/>
      </w:r>
      <w:r w:rsidRPr="00C2188F">
        <w:rPr>
          <w:lang w:val="en-GB"/>
        </w:rPr>
        <w:t xml:space="preserve"> </w:t>
      </w:r>
      <w:r>
        <w:rPr>
          <w:lang w:val="en-GB"/>
        </w:rPr>
        <w:t>Abimelek</w:t>
      </w:r>
      <w:r w:rsidRPr="00C2188F">
        <w:rPr>
          <w:lang w:val="en-GB"/>
        </w:rPr>
        <w:t xml:space="preserve"> concerning a well</w:t>
      </w:r>
      <w:r w:rsidR="00374490">
        <w:rPr>
          <w:rStyle w:val="FootnoteReference"/>
          <w:lang w:val="en-GB"/>
        </w:rPr>
        <w:footnoteReference w:id="619"/>
      </w:r>
      <w:r w:rsidRPr="00C2188F">
        <w:rPr>
          <w:lang w:val="en-GB"/>
        </w:rPr>
        <w:t xml:space="preserve"> of water that </w:t>
      </w:r>
      <w:r>
        <w:rPr>
          <w:lang w:val="en-GB"/>
        </w:rPr>
        <w:t xml:space="preserve">Abimelek’s servants had seized. </w:t>
      </w:r>
      <w:r>
        <w:rPr>
          <w:vertAlign w:val="superscript"/>
          <w:lang w:val="en-GB"/>
        </w:rPr>
        <w:t>26</w:t>
      </w:r>
      <w:r>
        <w:rPr>
          <w:lang w:val="en-GB"/>
        </w:rPr>
        <w:t>Abimelek</w:t>
      </w:r>
      <w:r w:rsidRPr="00C2188F">
        <w:rPr>
          <w:lang w:val="en-GB"/>
        </w:rPr>
        <w:t xml:space="preserve"> said,</w:t>
      </w:r>
      <w:r>
        <w:rPr>
          <w:lang w:val="en-GB"/>
        </w:rPr>
        <w:t xml:space="preserve"> “</w:t>
      </w:r>
      <w:r w:rsidRPr="00C2188F">
        <w:rPr>
          <w:lang w:val="en-GB"/>
        </w:rPr>
        <w:t>I don</w:t>
      </w:r>
      <w:r>
        <w:rPr>
          <w:lang w:val="en-GB"/>
        </w:rPr>
        <w:t>’</w:t>
      </w:r>
      <w:r w:rsidRPr="00C2188F">
        <w:rPr>
          <w:lang w:val="en-GB"/>
        </w:rPr>
        <w:t xml:space="preserve">t know who did this thing. You </w:t>
      </w:r>
      <w:r w:rsidR="00D67A87">
        <w:rPr>
          <w:lang w:val="en-GB"/>
        </w:rPr>
        <w:t xml:space="preserve">yourself </w:t>
      </w:r>
      <w:r w:rsidRPr="00C2188F">
        <w:rPr>
          <w:lang w:val="en-GB"/>
        </w:rPr>
        <w:t>didn</w:t>
      </w:r>
      <w:r>
        <w:rPr>
          <w:lang w:val="en-GB"/>
        </w:rPr>
        <w:t>’</w:t>
      </w:r>
      <w:r w:rsidRPr="00C2188F">
        <w:rPr>
          <w:lang w:val="en-GB"/>
        </w:rPr>
        <w:t>t tell me; I hadn</w:t>
      </w:r>
      <w:r>
        <w:rPr>
          <w:lang w:val="en-GB"/>
        </w:rPr>
        <w:t>’</w:t>
      </w:r>
      <w:r w:rsidRPr="00C2188F">
        <w:rPr>
          <w:lang w:val="en-GB"/>
        </w:rPr>
        <w:t xml:space="preserve">t heard of it </w:t>
      </w:r>
      <w:r>
        <w:rPr>
          <w:lang w:val="en-GB"/>
        </w:rPr>
        <w:t>till</w:t>
      </w:r>
      <w:r w:rsidRPr="00C2188F">
        <w:rPr>
          <w:lang w:val="en-GB"/>
        </w:rPr>
        <w:t xml:space="preserve"> today</w:t>
      </w:r>
      <w:r>
        <w:rPr>
          <w:lang w:val="en-GB"/>
        </w:rPr>
        <w:t>.”</w:t>
      </w:r>
      <w:r w:rsidRPr="00C2188F">
        <w:rPr>
          <w:lang w:val="en-GB"/>
        </w:rPr>
        <w:t xml:space="preserve"> </w:t>
      </w:r>
    </w:p>
    <w:p w14:paraId="621AB413" w14:textId="18B317BC" w:rsidR="00182164" w:rsidRDefault="004E4173" w:rsidP="004E4173">
      <w:pPr>
        <w:rPr>
          <w:lang w:val="en-GB"/>
        </w:rPr>
      </w:pPr>
      <w:r>
        <w:rPr>
          <w:vertAlign w:val="superscript"/>
          <w:lang w:val="en-GB"/>
        </w:rPr>
        <w:t>27</w:t>
      </w:r>
      <w:r w:rsidR="00540027">
        <w:rPr>
          <w:lang w:val="en-GB"/>
        </w:rPr>
        <w:t>So A</w:t>
      </w:r>
      <w:r w:rsidR="001C2AC6">
        <w:rPr>
          <w:lang w:val="en-GB"/>
        </w:rPr>
        <w:t>braham got</w:t>
      </w:r>
      <w:r>
        <w:rPr>
          <w:lang w:val="en-GB"/>
        </w:rPr>
        <w:t xml:space="preserve"> </w:t>
      </w:r>
      <w:r w:rsidR="001C2AC6">
        <w:rPr>
          <w:lang w:val="en-GB"/>
        </w:rPr>
        <w:t xml:space="preserve">flock </w:t>
      </w:r>
      <w:r>
        <w:rPr>
          <w:lang w:val="en-GB"/>
        </w:rPr>
        <w:t>and herd</w:t>
      </w:r>
      <w:r w:rsidRPr="00C2188F">
        <w:rPr>
          <w:lang w:val="en-GB"/>
        </w:rPr>
        <w:t xml:space="preserve"> and gave them to </w:t>
      </w:r>
      <w:r>
        <w:rPr>
          <w:lang w:val="en-GB"/>
        </w:rPr>
        <w:t>Abimelek</w:t>
      </w:r>
      <w:r w:rsidRPr="00C2188F">
        <w:rPr>
          <w:lang w:val="en-GB"/>
        </w:rPr>
        <w:t xml:space="preserve">, and the two of them </w:t>
      </w:r>
      <w:r>
        <w:rPr>
          <w:lang w:val="en-GB"/>
        </w:rPr>
        <w:t>solemniz</w:t>
      </w:r>
      <w:r w:rsidRPr="00C2188F">
        <w:rPr>
          <w:lang w:val="en-GB"/>
        </w:rPr>
        <w:t xml:space="preserve">ed a </w:t>
      </w:r>
      <w:r>
        <w:rPr>
          <w:lang w:val="en-GB"/>
        </w:rPr>
        <w:t xml:space="preserve">pact. </w:t>
      </w:r>
      <w:r>
        <w:rPr>
          <w:vertAlign w:val="superscript"/>
          <w:lang w:val="en-GB"/>
        </w:rPr>
        <w:t>28</w:t>
      </w:r>
      <w:r>
        <w:rPr>
          <w:lang w:val="en-GB"/>
        </w:rPr>
        <w:t>Abraham put</w:t>
      </w:r>
      <w:r w:rsidRPr="00C2188F">
        <w:rPr>
          <w:lang w:val="en-GB"/>
        </w:rPr>
        <w:t xml:space="preserve"> seven ewes from the flock</w:t>
      </w:r>
      <w:r>
        <w:rPr>
          <w:lang w:val="en-GB"/>
        </w:rPr>
        <w:t xml:space="preserve"> on their own. </w:t>
      </w:r>
      <w:r>
        <w:rPr>
          <w:vertAlign w:val="superscript"/>
          <w:lang w:val="en-GB"/>
        </w:rPr>
        <w:t>29</w:t>
      </w:r>
      <w:r>
        <w:rPr>
          <w:lang w:val="en-GB"/>
        </w:rPr>
        <w:t>Abimelek</w:t>
      </w:r>
      <w:r w:rsidRPr="00C2188F">
        <w:rPr>
          <w:lang w:val="en-GB"/>
        </w:rPr>
        <w:t xml:space="preserve"> said to Abraham,</w:t>
      </w:r>
      <w:r>
        <w:rPr>
          <w:lang w:val="en-GB"/>
        </w:rPr>
        <w:t xml:space="preserve"> “</w:t>
      </w:r>
      <w:r w:rsidRPr="00C2188F">
        <w:rPr>
          <w:lang w:val="en-GB"/>
        </w:rPr>
        <w:t xml:space="preserve">What are these seven ewes here that </w:t>
      </w:r>
      <w:r>
        <w:rPr>
          <w:lang w:val="en-GB"/>
        </w:rPr>
        <w:t xml:space="preserve">you’ve put on their own?” </w:t>
      </w:r>
      <w:r>
        <w:rPr>
          <w:vertAlign w:val="superscript"/>
          <w:lang w:val="en-GB"/>
        </w:rPr>
        <w:t>30</w:t>
      </w:r>
      <w:r w:rsidRPr="00C2188F">
        <w:rPr>
          <w:lang w:val="en-GB"/>
        </w:rPr>
        <w:t>He said,</w:t>
      </w:r>
      <w:r>
        <w:rPr>
          <w:lang w:val="en-GB"/>
        </w:rPr>
        <w:t xml:space="preserve"> “</w:t>
      </w:r>
      <w:r w:rsidR="008E1F8B">
        <w:rPr>
          <w:lang w:val="en-GB"/>
        </w:rPr>
        <w:t>T</w:t>
      </w:r>
      <w:r w:rsidRPr="00C2188F">
        <w:rPr>
          <w:lang w:val="en-GB"/>
        </w:rPr>
        <w:t>he seven ewes</w:t>
      </w:r>
      <w:r w:rsidR="008E1F8B">
        <w:rPr>
          <w:lang w:val="en-GB"/>
        </w:rPr>
        <w:t>, you are to get</w:t>
      </w:r>
      <w:r w:rsidRPr="00C2188F">
        <w:rPr>
          <w:lang w:val="en-GB"/>
        </w:rPr>
        <w:t xml:space="preserve"> from my hand </w:t>
      </w:r>
      <w:r>
        <w:rPr>
          <w:lang w:val="en-GB"/>
        </w:rPr>
        <w:t>so</w:t>
      </w:r>
      <w:r w:rsidRPr="00C2188F">
        <w:rPr>
          <w:lang w:val="en-GB"/>
        </w:rPr>
        <w:t xml:space="preserve"> it will be a witness </w:t>
      </w:r>
      <w:r>
        <w:rPr>
          <w:lang w:val="en-GB"/>
        </w:rPr>
        <w:t xml:space="preserve">for me </w:t>
      </w:r>
      <w:r w:rsidRPr="00C2188F">
        <w:rPr>
          <w:lang w:val="en-GB"/>
        </w:rPr>
        <w:t>that I dug this well</w:t>
      </w:r>
      <w:r>
        <w:rPr>
          <w:lang w:val="en-GB"/>
        </w:rPr>
        <w:t>.”</w:t>
      </w:r>
      <w:r w:rsidR="00F93A40">
        <w:rPr>
          <w:lang w:val="en-GB"/>
        </w:rPr>
        <w:t xml:space="preserve"> </w:t>
      </w:r>
      <w:r>
        <w:rPr>
          <w:vertAlign w:val="superscript"/>
          <w:lang w:val="en-GB"/>
        </w:rPr>
        <w:t>31</w:t>
      </w:r>
      <w:r>
        <w:rPr>
          <w:lang w:val="en-GB"/>
        </w:rPr>
        <w:t>That’s why</w:t>
      </w:r>
      <w:r w:rsidR="00C01BA6">
        <w:rPr>
          <w:lang w:val="en-GB"/>
        </w:rPr>
        <w:t xml:space="preserve"> that sit</w:t>
      </w:r>
      <w:r w:rsidRPr="00C2188F">
        <w:rPr>
          <w:lang w:val="en-GB"/>
        </w:rPr>
        <w:t xml:space="preserve">e was called </w:t>
      </w:r>
      <w:r>
        <w:rPr>
          <w:lang w:val="en-GB"/>
        </w:rPr>
        <w:t>Be’er Š</w:t>
      </w:r>
      <w:r w:rsidRPr="00C2188F">
        <w:rPr>
          <w:lang w:val="en-GB"/>
        </w:rPr>
        <w:t>eba, becau</w:t>
      </w:r>
      <w:r>
        <w:rPr>
          <w:lang w:val="en-GB"/>
        </w:rPr>
        <w:t xml:space="preserve">se the two of them swore </w:t>
      </w:r>
      <w:r w:rsidRPr="00C2188F">
        <w:rPr>
          <w:lang w:val="en-GB"/>
        </w:rPr>
        <w:t xml:space="preserve">there. </w:t>
      </w:r>
      <w:r w:rsidR="00C02311">
        <w:rPr>
          <w:vertAlign w:val="superscript"/>
          <w:lang w:val="en-GB"/>
        </w:rPr>
        <w:t>32</w:t>
      </w:r>
      <w:r>
        <w:rPr>
          <w:lang w:val="en-GB"/>
        </w:rPr>
        <w:t>So they solemniz</w:t>
      </w:r>
      <w:r w:rsidRPr="00C2188F">
        <w:rPr>
          <w:lang w:val="en-GB"/>
        </w:rPr>
        <w:t xml:space="preserve">ed a </w:t>
      </w:r>
      <w:r>
        <w:rPr>
          <w:lang w:val="en-GB"/>
        </w:rPr>
        <w:t>pact</w:t>
      </w:r>
      <w:r w:rsidRPr="00C2188F">
        <w:rPr>
          <w:lang w:val="en-GB"/>
        </w:rPr>
        <w:t xml:space="preserve"> at </w:t>
      </w:r>
      <w:r>
        <w:rPr>
          <w:lang w:val="en-GB"/>
        </w:rPr>
        <w:t>Be’er Šeba</w:t>
      </w:r>
      <w:r w:rsidR="000C6B9E">
        <w:rPr>
          <w:lang w:val="en-GB"/>
        </w:rPr>
        <w:t xml:space="preserve">, and </w:t>
      </w:r>
      <w:r>
        <w:rPr>
          <w:lang w:val="en-GB"/>
        </w:rPr>
        <w:t xml:space="preserve">Abimelek and Pikol, his army officer, set off </w:t>
      </w:r>
      <w:r w:rsidRPr="00C2188F">
        <w:rPr>
          <w:lang w:val="en-GB"/>
        </w:rPr>
        <w:t xml:space="preserve">and went back to the </w:t>
      </w:r>
      <w:r w:rsidR="0051215E">
        <w:rPr>
          <w:lang w:val="en-GB"/>
        </w:rPr>
        <w:t>Peliš</w:t>
      </w:r>
      <w:r w:rsidR="00B251F3" w:rsidRPr="00B251F3">
        <w:rPr>
          <w:lang w:val="en-GB"/>
        </w:rPr>
        <w:t>t</w:t>
      </w:r>
      <w:r w:rsidR="00A9559F">
        <w:rPr>
          <w:lang w:val="en-GB"/>
        </w:rPr>
        <w:t>it</w:t>
      </w:r>
      <w:r w:rsidR="00B251F3" w:rsidRPr="00B251F3">
        <w:rPr>
          <w:lang w:val="en-GB"/>
        </w:rPr>
        <w:t>es</w:t>
      </w:r>
      <w:r>
        <w:rPr>
          <w:lang w:val="en-GB"/>
        </w:rPr>
        <w:t>’ country</w:t>
      </w:r>
      <w:r w:rsidRPr="00C2188F">
        <w:rPr>
          <w:lang w:val="en-GB"/>
        </w:rPr>
        <w:t xml:space="preserve">. </w:t>
      </w:r>
      <w:r>
        <w:rPr>
          <w:vertAlign w:val="superscript"/>
          <w:lang w:val="en-GB"/>
        </w:rPr>
        <w:t>33</w:t>
      </w:r>
      <w:r w:rsidR="00EF2C2F">
        <w:rPr>
          <w:lang w:val="en-GB"/>
        </w:rPr>
        <w:t>H</w:t>
      </w:r>
      <w:r w:rsidRPr="00C2188F">
        <w:rPr>
          <w:lang w:val="en-GB"/>
        </w:rPr>
        <w:t>e planted a tamarisk</w:t>
      </w:r>
      <w:r w:rsidR="00453B50">
        <w:rPr>
          <w:rStyle w:val="FootnoteReference"/>
          <w:lang w:val="en-GB"/>
        </w:rPr>
        <w:footnoteReference w:id="620"/>
      </w:r>
      <w:r w:rsidRPr="00C2188F">
        <w:rPr>
          <w:lang w:val="en-GB"/>
        </w:rPr>
        <w:t xml:space="preserve"> at </w:t>
      </w:r>
      <w:r>
        <w:rPr>
          <w:lang w:val="en-GB"/>
        </w:rPr>
        <w:t>Be’er Šeba</w:t>
      </w:r>
      <w:r w:rsidRPr="00C2188F">
        <w:rPr>
          <w:lang w:val="en-GB"/>
        </w:rPr>
        <w:t xml:space="preserve"> and called </w:t>
      </w:r>
      <w:r w:rsidR="00D65833">
        <w:rPr>
          <w:lang w:val="en-GB"/>
        </w:rPr>
        <w:t xml:space="preserve">out there with name </w:t>
      </w:r>
      <w:r w:rsidRPr="00C2188F">
        <w:rPr>
          <w:lang w:val="en-GB"/>
        </w:rPr>
        <w:t xml:space="preserve">Yahweh, </w:t>
      </w:r>
      <w:r w:rsidR="00FE3007">
        <w:rPr>
          <w:lang w:val="en-GB"/>
        </w:rPr>
        <w:t>Age-long God</w:t>
      </w:r>
      <w:r w:rsidR="000C6B9E">
        <w:rPr>
          <w:lang w:val="en-GB"/>
        </w:rPr>
        <w:t>.</w:t>
      </w:r>
    </w:p>
    <w:p w14:paraId="357B3610" w14:textId="77777777" w:rsidR="004E4173" w:rsidRDefault="004E4173" w:rsidP="004E4173">
      <w:pPr>
        <w:rPr>
          <w:lang w:val="en-GB"/>
        </w:rPr>
      </w:pPr>
      <w:r>
        <w:rPr>
          <w:vertAlign w:val="superscript"/>
          <w:lang w:val="en-GB"/>
        </w:rPr>
        <w:t>34</w:t>
      </w:r>
      <w:r w:rsidRPr="00C2188F">
        <w:rPr>
          <w:lang w:val="en-GB"/>
        </w:rPr>
        <w:t>Abraham resided</w:t>
      </w:r>
      <w:r w:rsidR="00122B80">
        <w:rPr>
          <w:lang w:val="en-GB"/>
        </w:rPr>
        <w:t xml:space="preserve"> as an alien</w:t>
      </w:r>
      <w:r w:rsidRPr="00C2188F">
        <w:rPr>
          <w:lang w:val="en-GB"/>
        </w:rPr>
        <w:t xml:space="preserve"> in the </w:t>
      </w:r>
      <w:r w:rsidR="0051215E">
        <w:rPr>
          <w:lang w:val="en-GB"/>
        </w:rPr>
        <w:t>Peliš</w:t>
      </w:r>
      <w:r>
        <w:rPr>
          <w:lang w:val="en-GB"/>
        </w:rPr>
        <w:t>t</w:t>
      </w:r>
      <w:r w:rsidR="00A9559F">
        <w:rPr>
          <w:lang w:val="en-GB"/>
        </w:rPr>
        <w:t>it</w:t>
      </w:r>
      <w:r>
        <w:rPr>
          <w:lang w:val="en-GB"/>
        </w:rPr>
        <w:t xml:space="preserve">es’ country </w:t>
      </w:r>
      <w:r w:rsidRPr="00C2188F">
        <w:rPr>
          <w:lang w:val="en-GB"/>
        </w:rPr>
        <w:t xml:space="preserve">for a long time. </w:t>
      </w:r>
    </w:p>
    <w:p w14:paraId="52D5D2A3" w14:textId="77777777" w:rsidR="004E4173" w:rsidRDefault="00141055" w:rsidP="004E4173">
      <w:pPr>
        <w:pStyle w:val="Heading2"/>
        <w:rPr>
          <w:lang w:bidi="he-IL"/>
        </w:rPr>
      </w:pPr>
      <w:r>
        <w:rPr>
          <w:lang w:bidi="he-IL"/>
        </w:rPr>
        <w:lastRenderedPageBreak/>
        <w:t>Interpretation</w:t>
      </w:r>
      <w:r w:rsidR="00C0799A">
        <w:rPr>
          <w:lang w:bidi="he-IL"/>
        </w:rPr>
        <w:t xml:space="preserve"> </w:t>
      </w:r>
    </w:p>
    <w:p w14:paraId="6FFE9459" w14:textId="0F5ED8BE" w:rsidR="006F30A5" w:rsidRDefault="00595176" w:rsidP="005A29A8">
      <w:pPr>
        <w:rPr>
          <w:lang w:val="en-GB"/>
        </w:rPr>
      </w:pPr>
      <w:r>
        <w:rPr>
          <w:lang w:val="en-GB"/>
        </w:rPr>
        <w:t>Vv. 22-34</w:t>
      </w:r>
      <w:r w:rsidR="008602D6">
        <w:rPr>
          <w:lang w:val="en-GB"/>
        </w:rPr>
        <w:t xml:space="preserve"> form a unit</w:t>
      </w:r>
      <w:r w:rsidR="00A44819">
        <w:rPr>
          <w:lang w:val="en-GB"/>
        </w:rPr>
        <w:t xml:space="preserve"> in MT;</w:t>
      </w:r>
      <w:r w:rsidR="0062055C">
        <w:rPr>
          <w:lang w:val="en-GB"/>
        </w:rPr>
        <w:t xml:space="preserve"> they </w:t>
      </w:r>
      <w:r w:rsidR="005A29A8">
        <w:rPr>
          <w:lang w:val="en-GB"/>
        </w:rPr>
        <w:t xml:space="preserve">belong together </w:t>
      </w:r>
      <w:r w:rsidR="0062055C" w:rsidRPr="0062055C">
        <w:rPr>
          <w:lang w:val="en-GB"/>
        </w:rPr>
        <w:t>over against what precedes and what follows</w:t>
      </w:r>
      <w:r w:rsidR="002F6DFD">
        <w:rPr>
          <w:lang w:val="en-GB"/>
        </w:rPr>
        <w:t xml:space="preserve">. </w:t>
      </w:r>
      <w:r w:rsidR="002F6DFD" w:rsidRPr="002F6DFD">
        <w:rPr>
          <w:lang w:val="en-GB"/>
        </w:rPr>
        <w:t>One effect of placing the material here is to provide some breathing space between the drama of Isaac’s birth and its aftermath and the even higher drama of the offering of Isaac.</w:t>
      </w:r>
      <w:r w:rsidR="002F6DFD" w:rsidRPr="002F6DFD">
        <w:rPr>
          <w:vertAlign w:val="superscript"/>
          <w:lang w:val="en-GB"/>
        </w:rPr>
        <w:footnoteReference w:id="621"/>
      </w:r>
      <w:r w:rsidR="002F6DFD">
        <w:rPr>
          <w:lang w:val="en-GB"/>
        </w:rPr>
        <w:t xml:space="preserve"> The verses</w:t>
      </w:r>
      <w:r w:rsidR="0062055C">
        <w:rPr>
          <w:lang w:val="en-GB"/>
        </w:rPr>
        <w:t xml:space="preserve"> </w:t>
      </w:r>
      <w:r w:rsidR="002F6DFD">
        <w:rPr>
          <w:lang w:val="en-GB"/>
        </w:rPr>
        <w:t>focus</w:t>
      </w:r>
      <w:r w:rsidR="0062055C">
        <w:rPr>
          <w:lang w:val="en-GB"/>
        </w:rPr>
        <w:t xml:space="preserve"> on the relationship</w:t>
      </w:r>
      <w:r w:rsidR="002F6DFD">
        <w:rPr>
          <w:lang w:val="en-GB"/>
        </w:rPr>
        <w:t xml:space="preserve"> between Abraham and Abimelek, b</w:t>
      </w:r>
      <w:r w:rsidR="00D60F68">
        <w:rPr>
          <w:lang w:val="en-GB"/>
        </w:rPr>
        <w:t>u</w:t>
      </w:r>
      <w:r w:rsidR="0062055C">
        <w:rPr>
          <w:lang w:val="en-GB"/>
        </w:rPr>
        <w:t>t they read jerkily and manifest</w:t>
      </w:r>
      <w:r w:rsidR="00D60F68">
        <w:rPr>
          <w:lang w:val="en-GB"/>
        </w:rPr>
        <w:t xml:space="preserve"> some </w:t>
      </w:r>
      <w:r w:rsidR="00EC7FB8">
        <w:rPr>
          <w:lang w:val="en-GB"/>
        </w:rPr>
        <w:t xml:space="preserve">repetition and </w:t>
      </w:r>
      <w:r w:rsidR="00D60F68">
        <w:rPr>
          <w:lang w:val="en-GB"/>
        </w:rPr>
        <w:t>overlap</w:t>
      </w:r>
      <w:r w:rsidR="00EC7FB8">
        <w:rPr>
          <w:lang w:val="en-GB"/>
        </w:rPr>
        <w:t>.</w:t>
      </w:r>
      <w:r w:rsidR="00D60F68">
        <w:rPr>
          <w:lang w:val="en-GB"/>
        </w:rPr>
        <w:t xml:space="preserve"> </w:t>
      </w:r>
      <w:r w:rsidR="00A44819">
        <w:rPr>
          <w:lang w:val="en-GB"/>
        </w:rPr>
        <w:t>V</w:t>
      </w:r>
      <w:r w:rsidR="00B251F3">
        <w:rPr>
          <w:lang w:val="en-GB"/>
        </w:rPr>
        <w:t>v. 22-24 relate</w:t>
      </w:r>
      <w:r w:rsidR="00855671">
        <w:rPr>
          <w:lang w:val="en-GB"/>
        </w:rPr>
        <w:t xml:space="preserve"> </w:t>
      </w:r>
      <w:r w:rsidR="00B251F3">
        <w:rPr>
          <w:lang w:val="en-GB"/>
        </w:rPr>
        <w:t xml:space="preserve">how </w:t>
      </w:r>
      <w:r w:rsidR="00855671">
        <w:rPr>
          <w:lang w:val="en-GB"/>
        </w:rPr>
        <w:t xml:space="preserve">a formal agreement </w:t>
      </w:r>
      <w:r w:rsidR="00EC7FB8">
        <w:rPr>
          <w:lang w:val="en-GB"/>
        </w:rPr>
        <w:t>comes</w:t>
      </w:r>
      <w:r w:rsidR="00A211B9">
        <w:rPr>
          <w:lang w:val="en-GB"/>
        </w:rPr>
        <w:t xml:space="preserve"> abou</w:t>
      </w:r>
      <w:r w:rsidR="00B251F3">
        <w:rPr>
          <w:lang w:val="en-GB"/>
        </w:rPr>
        <w:t>t on Abimelek’s initiative (</w:t>
      </w:r>
      <w:r w:rsidR="00A211B9">
        <w:rPr>
          <w:lang w:val="en-GB"/>
        </w:rPr>
        <w:t>which one might be inclined to link with unfinished business from Gen 20)</w:t>
      </w:r>
      <w:r w:rsidR="00B251F3">
        <w:rPr>
          <w:lang w:val="en-GB"/>
        </w:rPr>
        <w:t>,</w:t>
      </w:r>
      <w:r w:rsidR="00A211B9">
        <w:rPr>
          <w:lang w:val="en-GB"/>
        </w:rPr>
        <w:t xml:space="preserve"> while</w:t>
      </w:r>
      <w:r w:rsidR="00B251F3">
        <w:rPr>
          <w:lang w:val="en-GB"/>
        </w:rPr>
        <w:t xml:space="preserve"> vv. 25-2</w:t>
      </w:r>
      <w:r w:rsidR="00A44819">
        <w:rPr>
          <w:lang w:val="en-GB"/>
        </w:rPr>
        <w:t xml:space="preserve">6 </w:t>
      </w:r>
      <w:r w:rsidR="00EC7FB8">
        <w:rPr>
          <w:lang w:val="en-GB"/>
        </w:rPr>
        <w:t>make a new start and</w:t>
      </w:r>
      <w:r w:rsidR="00A211B9">
        <w:rPr>
          <w:lang w:val="en-GB"/>
        </w:rPr>
        <w:t xml:space="preserve"> focus on a grievance that Abraham brings to Abimelek. </w:t>
      </w:r>
      <w:r w:rsidR="00EC7FB8">
        <w:rPr>
          <w:lang w:val="en-GB"/>
        </w:rPr>
        <w:t>T</w:t>
      </w:r>
      <w:r w:rsidR="00855671">
        <w:rPr>
          <w:lang w:val="en-GB"/>
        </w:rPr>
        <w:t xml:space="preserve">he passage </w:t>
      </w:r>
      <w:r w:rsidR="00EC7FB8">
        <w:rPr>
          <w:lang w:val="en-GB"/>
        </w:rPr>
        <w:t xml:space="preserve">then </w:t>
      </w:r>
      <w:r w:rsidR="00B251F3">
        <w:rPr>
          <w:lang w:val="en-GB"/>
        </w:rPr>
        <w:t xml:space="preserve">goes on to </w:t>
      </w:r>
      <w:r w:rsidR="00855671">
        <w:rPr>
          <w:lang w:val="en-GB"/>
        </w:rPr>
        <w:t xml:space="preserve">talk about two groups of </w:t>
      </w:r>
      <w:r w:rsidR="00A44819">
        <w:rPr>
          <w:lang w:val="en-GB"/>
        </w:rPr>
        <w:t xml:space="preserve">sheep (vv. 27 and 28-30) and </w:t>
      </w:r>
      <w:r w:rsidR="00855671">
        <w:rPr>
          <w:lang w:val="en-GB"/>
        </w:rPr>
        <w:t xml:space="preserve">implies two explanations of the name of Beer </w:t>
      </w:r>
      <w:r w:rsidR="00A44819">
        <w:rPr>
          <w:lang w:val="en-GB"/>
        </w:rPr>
        <w:t xml:space="preserve">Sheba as “Well of Seven” and </w:t>
      </w:r>
      <w:r w:rsidR="00855671">
        <w:rPr>
          <w:lang w:val="en-GB"/>
        </w:rPr>
        <w:t xml:space="preserve">“Well of an Oath.” </w:t>
      </w:r>
      <w:r w:rsidR="00B251F3">
        <w:rPr>
          <w:lang w:val="en-GB"/>
        </w:rPr>
        <w:t>O</w:t>
      </w:r>
      <w:r w:rsidR="00EC7FB8">
        <w:rPr>
          <w:lang w:val="en-GB"/>
        </w:rPr>
        <w:t xml:space="preserve">ne can </w:t>
      </w:r>
      <w:r w:rsidR="00B251F3">
        <w:rPr>
          <w:lang w:val="en-GB"/>
        </w:rPr>
        <w:t xml:space="preserve">in fact </w:t>
      </w:r>
      <w:r w:rsidR="00EC7FB8">
        <w:rPr>
          <w:lang w:val="en-GB"/>
        </w:rPr>
        <w:t>divide it into two smoother stories</w:t>
      </w:r>
      <w:r w:rsidR="00B251F3">
        <w:rPr>
          <w:lang w:val="en-GB"/>
        </w:rPr>
        <w:t xml:space="preserve"> which might then have been interwoven</w:t>
      </w:r>
      <w:r w:rsidR="00EC7FB8">
        <w:rPr>
          <w:lang w:val="en-GB"/>
        </w:rPr>
        <w:t>:</w:t>
      </w:r>
    </w:p>
    <w:p w14:paraId="148E1212" w14:textId="77777777" w:rsidR="00855671" w:rsidRDefault="00855671" w:rsidP="005A29A8">
      <w:pPr>
        <w:rPr>
          <w:lang w:val="en-GB"/>
        </w:rPr>
      </w:pPr>
    </w:p>
    <w:p w14:paraId="2957FA35" w14:textId="77777777" w:rsidR="00855671" w:rsidRDefault="00855671" w:rsidP="00855671">
      <w:pPr>
        <w:ind w:firstLine="0"/>
        <w:rPr>
          <w:lang w:val="en-GB"/>
        </w:rPr>
      </w:pPr>
      <w:proofErr w:type="gramStart"/>
      <w:r>
        <w:rPr>
          <w:lang w:val="en-GB"/>
        </w:rPr>
        <w:t>vv</w:t>
      </w:r>
      <w:proofErr w:type="gramEnd"/>
      <w:r>
        <w:rPr>
          <w:lang w:val="en-GB"/>
        </w:rPr>
        <w:t>. 22-24</w:t>
      </w:r>
      <w:r>
        <w:rPr>
          <w:lang w:val="en-GB"/>
        </w:rPr>
        <w:tab/>
      </w:r>
      <w:r w:rsidR="00EC7FB8">
        <w:rPr>
          <w:lang w:val="en-GB"/>
        </w:rPr>
        <w:t>Abimelek seeks an</w:t>
      </w:r>
      <w:r>
        <w:rPr>
          <w:lang w:val="en-GB"/>
        </w:rPr>
        <w:t xml:space="preserve"> agreement</w:t>
      </w:r>
      <w:r>
        <w:rPr>
          <w:lang w:val="en-GB"/>
        </w:rPr>
        <w:tab/>
      </w:r>
      <w:r>
        <w:rPr>
          <w:lang w:val="en-GB"/>
        </w:rPr>
        <w:tab/>
        <w:t>vv. 25-26</w:t>
      </w:r>
      <w:r>
        <w:rPr>
          <w:lang w:val="en-GB"/>
        </w:rPr>
        <w:tab/>
      </w:r>
      <w:r w:rsidR="00EC7FB8">
        <w:rPr>
          <w:lang w:val="en-GB"/>
        </w:rPr>
        <w:t>Abraham seeks some resolution</w:t>
      </w:r>
    </w:p>
    <w:p w14:paraId="2F26898A" w14:textId="77777777" w:rsidR="00855671" w:rsidRDefault="00855671" w:rsidP="00855671">
      <w:pPr>
        <w:ind w:firstLine="0"/>
        <w:rPr>
          <w:lang w:val="en-GB"/>
        </w:rPr>
      </w:pPr>
      <w:r>
        <w:rPr>
          <w:lang w:val="en-GB"/>
        </w:rPr>
        <w:t>v. 27</w:t>
      </w:r>
      <w:r>
        <w:rPr>
          <w:lang w:val="en-GB"/>
        </w:rPr>
        <w:tab/>
      </w:r>
      <w:r>
        <w:rPr>
          <w:lang w:val="en-GB"/>
        </w:rPr>
        <w:tab/>
        <w:t>the agreement</w:t>
      </w:r>
      <w:r>
        <w:rPr>
          <w:lang w:val="en-GB"/>
        </w:rPr>
        <w:tab/>
      </w:r>
      <w:r>
        <w:rPr>
          <w:lang w:val="en-GB"/>
        </w:rPr>
        <w:tab/>
      </w:r>
      <w:r>
        <w:rPr>
          <w:lang w:val="en-GB"/>
        </w:rPr>
        <w:tab/>
      </w:r>
      <w:r>
        <w:rPr>
          <w:lang w:val="en-GB"/>
        </w:rPr>
        <w:tab/>
        <w:t>v</w:t>
      </w:r>
      <w:r w:rsidR="00C02311">
        <w:rPr>
          <w:lang w:val="en-GB"/>
        </w:rPr>
        <w:t>v. 28-30</w:t>
      </w:r>
      <w:r w:rsidR="00C02311">
        <w:rPr>
          <w:lang w:val="en-GB"/>
        </w:rPr>
        <w:tab/>
        <w:t>the resolution</w:t>
      </w:r>
    </w:p>
    <w:p w14:paraId="74773524" w14:textId="77777777" w:rsidR="00C02311" w:rsidRDefault="007C3F31" w:rsidP="00855671">
      <w:pPr>
        <w:ind w:firstLine="0"/>
        <w:rPr>
          <w:lang w:val="en-GB"/>
        </w:rPr>
      </w:pPr>
      <w:r>
        <w:rPr>
          <w:lang w:val="en-GB"/>
        </w:rPr>
        <w:t>v. 31</w:t>
      </w:r>
      <w:r>
        <w:rPr>
          <w:lang w:val="en-GB"/>
        </w:rPr>
        <w:tab/>
      </w:r>
      <w:r>
        <w:rPr>
          <w:lang w:val="en-GB"/>
        </w:rPr>
        <w:tab/>
        <w:t>the naming</w:t>
      </w:r>
      <w:r>
        <w:rPr>
          <w:lang w:val="en-GB"/>
        </w:rPr>
        <w:tab/>
      </w:r>
      <w:r>
        <w:rPr>
          <w:lang w:val="en-GB"/>
        </w:rPr>
        <w:tab/>
      </w:r>
      <w:r>
        <w:rPr>
          <w:lang w:val="en-GB"/>
        </w:rPr>
        <w:tab/>
      </w:r>
      <w:r>
        <w:rPr>
          <w:lang w:val="en-GB"/>
        </w:rPr>
        <w:tab/>
        <w:t>v. 32</w:t>
      </w:r>
      <w:r w:rsidR="0021102A">
        <w:rPr>
          <w:lang w:val="en-GB"/>
        </w:rPr>
        <w:t>a</w:t>
      </w:r>
      <w:r w:rsidR="00C02311">
        <w:rPr>
          <w:lang w:val="en-GB"/>
        </w:rPr>
        <w:tab/>
      </w:r>
      <w:r w:rsidR="00C02311">
        <w:rPr>
          <w:lang w:val="en-GB"/>
        </w:rPr>
        <w:tab/>
        <w:t>the naming</w:t>
      </w:r>
    </w:p>
    <w:p w14:paraId="1C3EA742" w14:textId="77777777" w:rsidR="00C02311" w:rsidRDefault="0021102A" w:rsidP="00855671">
      <w:pPr>
        <w:ind w:firstLine="0"/>
        <w:rPr>
          <w:lang w:val="en-GB"/>
        </w:rPr>
      </w:pPr>
      <w:r>
        <w:rPr>
          <w:lang w:val="en-GB"/>
        </w:rPr>
        <w:t>v. 32b</w:t>
      </w:r>
      <w:r>
        <w:rPr>
          <w:lang w:val="en-GB"/>
        </w:rPr>
        <w:tab/>
      </w:r>
      <w:r>
        <w:rPr>
          <w:lang w:val="en-GB"/>
        </w:rPr>
        <w:tab/>
        <w:t>Abimelek goes home</w:t>
      </w:r>
      <w:r w:rsidR="00C02311">
        <w:rPr>
          <w:lang w:val="en-GB"/>
        </w:rPr>
        <w:tab/>
      </w:r>
      <w:r w:rsidR="00C02311">
        <w:rPr>
          <w:lang w:val="en-GB"/>
        </w:rPr>
        <w:tab/>
      </w:r>
      <w:r w:rsidR="00C02311">
        <w:rPr>
          <w:lang w:val="en-GB"/>
        </w:rPr>
        <w:tab/>
        <w:t>v. 33</w:t>
      </w:r>
      <w:r w:rsidR="00C02311">
        <w:rPr>
          <w:lang w:val="en-GB"/>
        </w:rPr>
        <w:tab/>
      </w:r>
      <w:r w:rsidR="00C02311">
        <w:rPr>
          <w:lang w:val="en-GB"/>
        </w:rPr>
        <w:tab/>
        <w:t xml:space="preserve">Abraham </w:t>
      </w:r>
      <w:r w:rsidR="00B251F3">
        <w:rPr>
          <w:lang w:val="en-GB"/>
        </w:rPr>
        <w:t>settles</w:t>
      </w:r>
      <w:r>
        <w:rPr>
          <w:lang w:val="en-GB"/>
        </w:rPr>
        <w:t xml:space="preserve"> </w:t>
      </w:r>
      <w:r w:rsidR="00C02311">
        <w:rPr>
          <w:lang w:val="en-GB"/>
        </w:rPr>
        <w:t>in Beer Sheba</w:t>
      </w:r>
    </w:p>
    <w:p w14:paraId="2AA34826" w14:textId="77777777" w:rsidR="00855671" w:rsidRDefault="00855671" w:rsidP="005A29A8">
      <w:pPr>
        <w:rPr>
          <w:lang w:val="en-GB"/>
        </w:rPr>
      </w:pPr>
    </w:p>
    <w:p w14:paraId="5513A3FC" w14:textId="16259540" w:rsidR="005A29A8" w:rsidRDefault="00B251F3" w:rsidP="00EC7FB8">
      <w:pPr>
        <w:ind w:firstLine="0"/>
        <w:rPr>
          <w:lang w:val="en-GB"/>
        </w:rPr>
      </w:pPr>
      <w:r>
        <w:rPr>
          <w:lang w:val="en-GB"/>
        </w:rPr>
        <w:t>If the section does combine two stories, i</w:t>
      </w:r>
      <w:r w:rsidR="00EC7FB8">
        <w:rPr>
          <w:lang w:val="en-GB"/>
        </w:rPr>
        <w:t>t wouldn’t be surprising if the material comes from more than one source, but there is no consensus on how to relate it to the sources that are commonly thought to appear elsewhere in Genesis</w:t>
      </w:r>
      <w:r w:rsidR="00374490">
        <w:rPr>
          <w:lang w:val="en-GB"/>
        </w:rPr>
        <w:t xml:space="preserve"> (“we are on a scholarly merry-go-round”)</w:t>
      </w:r>
      <w:r w:rsidR="00EC7FB8">
        <w:rPr>
          <w:lang w:val="en-GB"/>
        </w:rPr>
        <w:t>.</w:t>
      </w:r>
      <w:r w:rsidR="00374490">
        <w:rPr>
          <w:rStyle w:val="FootnoteReference"/>
          <w:lang w:val="en-GB"/>
        </w:rPr>
        <w:footnoteReference w:id="622"/>
      </w:r>
      <w:r w:rsidR="005D4056">
        <w:rPr>
          <w:lang w:val="en-GB"/>
        </w:rPr>
        <w:t xml:space="preserve"> While t</w:t>
      </w:r>
      <w:r w:rsidR="002F6DFD">
        <w:rPr>
          <w:lang w:val="en-GB"/>
        </w:rPr>
        <w:t>he t</w:t>
      </w:r>
      <w:r>
        <w:rPr>
          <w:lang w:val="en-GB"/>
        </w:rPr>
        <w:t>wo stories</w:t>
      </w:r>
      <w:r w:rsidR="00EC7FB8">
        <w:rPr>
          <w:lang w:val="en-GB"/>
        </w:rPr>
        <w:t xml:space="preserve"> </w:t>
      </w:r>
      <w:r>
        <w:rPr>
          <w:lang w:val="en-GB"/>
        </w:rPr>
        <w:t xml:space="preserve">might </w:t>
      </w:r>
      <w:r w:rsidR="005D4056">
        <w:rPr>
          <w:lang w:val="en-GB"/>
        </w:rPr>
        <w:t xml:space="preserve">then relate to different events, </w:t>
      </w:r>
      <w:r w:rsidR="00EC7FB8">
        <w:rPr>
          <w:lang w:val="en-GB"/>
        </w:rPr>
        <w:t>the</w:t>
      </w:r>
      <w:r>
        <w:rPr>
          <w:lang w:val="en-GB"/>
        </w:rPr>
        <w:t>ir</w:t>
      </w:r>
      <w:r w:rsidR="00EC7FB8">
        <w:rPr>
          <w:lang w:val="en-GB"/>
        </w:rPr>
        <w:t xml:space="preserve"> </w:t>
      </w:r>
      <w:r>
        <w:rPr>
          <w:lang w:val="en-GB"/>
        </w:rPr>
        <w:t xml:space="preserve">interweaving </w:t>
      </w:r>
      <w:r w:rsidR="00EC7FB8">
        <w:rPr>
          <w:lang w:val="en-GB"/>
        </w:rPr>
        <w:t xml:space="preserve">rather invites us to </w:t>
      </w:r>
      <w:r w:rsidR="002F6DFD">
        <w:rPr>
          <w:lang w:val="en-GB"/>
        </w:rPr>
        <w:t>see the passage</w:t>
      </w:r>
      <w:r>
        <w:rPr>
          <w:lang w:val="en-GB"/>
        </w:rPr>
        <w:t xml:space="preserve"> as bringing together </w:t>
      </w:r>
      <w:r w:rsidR="00EC7FB8">
        <w:rPr>
          <w:lang w:val="en-GB"/>
        </w:rPr>
        <w:t xml:space="preserve">stories that provide </w:t>
      </w:r>
      <w:r>
        <w:rPr>
          <w:lang w:val="en-GB"/>
        </w:rPr>
        <w:t xml:space="preserve">two </w:t>
      </w:r>
      <w:r w:rsidR="00EC7FB8">
        <w:rPr>
          <w:lang w:val="en-GB"/>
        </w:rPr>
        <w:t>different angles on one event</w:t>
      </w:r>
      <w:r w:rsidR="00863764">
        <w:rPr>
          <w:lang w:val="en-GB"/>
        </w:rPr>
        <w:t>, as happens a number of times in Genesis</w:t>
      </w:r>
      <w:r w:rsidR="00EC7FB8">
        <w:rPr>
          <w:lang w:val="en-GB"/>
        </w:rPr>
        <w:t>.</w:t>
      </w:r>
      <w:r w:rsidR="002F6DFD">
        <w:rPr>
          <w:lang w:val="en-GB"/>
        </w:rPr>
        <w:t xml:space="preserve"> The passage then works as follows.</w:t>
      </w:r>
    </w:p>
    <w:p w14:paraId="6D86CDA4" w14:textId="77777777" w:rsidR="00D60F68" w:rsidRDefault="00D60F68" w:rsidP="005A29A8">
      <w:pPr>
        <w:rPr>
          <w:lang w:val="en-GB"/>
        </w:rPr>
      </w:pPr>
    </w:p>
    <w:p w14:paraId="678BF746" w14:textId="77777777" w:rsidR="007A456C" w:rsidRPr="007A456C" w:rsidRDefault="007A456C" w:rsidP="007A456C">
      <w:pPr>
        <w:pStyle w:val="ListParagraph"/>
        <w:numPr>
          <w:ilvl w:val="0"/>
          <w:numId w:val="44"/>
        </w:numPr>
        <w:rPr>
          <w:lang w:val="en-GB"/>
        </w:rPr>
      </w:pPr>
      <w:r w:rsidRPr="007A456C">
        <w:rPr>
          <w:lang w:val="en-GB"/>
        </w:rPr>
        <w:t xml:space="preserve">Abimelek’s greeting “God be with you” forms an appropriate opening to the passage, not least because of the link it makes with the </w:t>
      </w:r>
      <w:r>
        <w:rPr>
          <w:lang w:val="en-GB"/>
        </w:rPr>
        <w:t xml:space="preserve">preceding </w:t>
      </w:r>
      <w:r w:rsidRPr="007A456C">
        <w:rPr>
          <w:lang w:val="en-GB"/>
        </w:rPr>
        <w:t xml:space="preserve">declaration that God was with Ishmael (though in v. 20 “with” was </w:t>
      </w:r>
      <w:r w:rsidRPr="007A456C">
        <w:rPr>
          <w:i/>
          <w:lang w:val="en-GB"/>
        </w:rPr>
        <w:t>’et</w:t>
      </w:r>
      <w:r w:rsidRPr="007A456C">
        <w:rPr>
          <w:lang w:val="en-GB"/>
        </w:rPr>
        <w:t xml:space="preserve">, in v. 22 it is </w:t>
      </w:r>
      <w:r w:rsidRPr="007A456C">
        <w:rPr>
          <w:i/>
          <w:lang w:val="en-GB"/>
        </w:rPr>
        <w:t>‘im</w:t>
      </w:r>
      <w:r w:rsidRPr="007A456C">
        <w:rPr>
          <w:lang w:val="en-GB"/>
        </w:rPr>
        <w:t xml:space="preserve">). </w:t>
      </w:r>
    </w:p>
    <w:p w14:paraId="7F9A2B71" w14:textId="36D1CA2D" w:rsidR="00D60F68" w:rsidRDefault="002F6DFD" w:rsidP="00D60F68">
      <w:pPr>
        <w:pStyle w:val="ListParagraph"/>
        <w:numPr>
          <w:ilvl w:val="0"/>
          <w:numId w:val="44"/>
        </w:numPr>
        <w:rPr>
          <w:lang w:val="en-GB"/>
        </w:rPr>
      </w:pPr>
      <w:r>
        <w:rPr>
          <w:lang w:val="en-GB"/>
        </w:rPr>
        <w:t xml:space="preserve">Vv. 22-24: </w:t>
      </w:r>
      <w:r w:rsidR="00863764">
        <w:rPr>
          <w:lang w:val="en-GB"/>
        </w:rPr>
        <w:t xml:space="preserve">also </w:t>
      </w:r>
      <w:r>
        <w:rPr>
          <w:lang w:val="en-GB"/>
        </w:rPr>
        <w:t>i</w:t>
      </w:r>
      <w:r w:rsidR="00D60F68">
        <w:rPr>
          <w:lang w:val="en-GB"/>
        </w:rPr>
        <w:t xml:space="preserve">n accordance </w:t>
      </w:r>
      <w:r w:rsidR="00863764">
        <w:rPr>
          <w:lang w:val="en-GB"/>
        </w:rPr>
        <w:t xml:space="preserve">with occasional </w:t>
      </w:r>
      <w:r w:rsidR="00D60F68">
        <w:rPr>
          <w:lang w:val="en-GB"/>
        </w:rPr>
        <w:t>practice</w:t>
      </w:r>
      <w:r w:rsidR="005D4056">
        <w:rPr>
          <w:lang w:val="en-GB"/>
        </w:rPr>
        <w:t xml:space="preserve"> </w:t>
      </w:r>
      <w:r w:rsidR="00863764">
        <w:rPr>
          <w:lang w:val="en-GB"/>
        </w:rPr>
        <w:t xml:space="preserve">in Genesis </w:t>
      </w:r>
      <w:r w:rsidR="005D4056">
        <w:rPr>
          <w:lang w:val="en-GB"/>
        </w:rPr>
        <w:t xml:space="preserve">and </w:t>
      </w:r>
      <w:r w:rsidR="00863764">
        <w:rPr>
          <w:lang w:val="en-GB"/>
        </w:rPr>
        <w:t xml:space="preserve">with </w:t>
      </w:r>
      <w:r>
        <w:rPr>
          <w:lang w:val="en-GB"/>
        </w:rPr>
        <w:t>Western news reports</w:t>
      </w:r>
      <w:r w:rsidR="00D60F68">
        <w:rPr>
          <w:lang w:val="en-GB"/>
        </w:rPr>
        <w:t xml:space="preserve">, Genesis first </w:t>
      </w:r>
      <w:r w:rsidR="007A456C">
        <w:rPr>
          <w:lang w:val="en-GB"/>
        </w:rPr>
        <w:t>provide</w:t>
      </w:r>
      <w:r w:rsidR="00863764">
        <w:rPr>
          <w:lang w:val="en-GB"/>
        </w:rPr>
        <w:t>s</w:t>
      </w:r>
      <w:r w:rsidR="00D60F68">
        <w:rPr>
          <w:lang w:val="en-GB"/>
        </w:rPr>
        <w:t xml:space="preserve"> a summary version of the event</w:t>
      </w:r>
      <w:r w:rsidR="007A456C">
        <w:rPr>
          <w:lang w:val="en-GB"/>
        </w:rPr>
        <w:t>, on which</w:t>
      </w:r>
      <w:r w:rsidR="00D60F68">
        <w:rPr>
          <w:lang w:val="en-GB"/>
        </w:rPr>
        <w:t xml:space="preserve"> </w:t>
      </w:r>
      <w:r w:rsidR="007A456C">
        <w:rPr>
          <w:lang w:val="en-GB"/>
        </w:rPr>
        <w:t>it will go on to</w:t>
      </w:r>
      <w:r>
        <w:rPr>
          <w:lang w:val="en-GB"/>
        </w:rPr>
        <w:t xml:space="preserve"> give more detail</w:t>
      </w:r>
      <w:r w:rsidR="00D60F68">
        <w:rPr>
          <w:lang w:val="en-GB"/>
        </w:rPr>
        <w:t>.</w:t>
      </w:r>
      <w:r w:rsidR="007A456C">
        <w:rPr>
          <w:lang w:val="en-GB"/>
        </w:rPr>
        <w:t xml:space="preserve"> </w:t>
      </w:r>
    </w:p>
    <w:p w14:paraId="58818749" w14:textId="77777777" w:rsidR="00536A95" w:rsidRDefault="007A456C" w:rsidP="007C3F31">
      <w:pPr>
        <w:pStyle w:val="ListParagraph"/>
        <w:numPr>
          <w:ilvl w:val="0"/>
          <w:numId w:val="44"/>
        </w:numPr>
        <w:rPr>
          <w:lang w:val="en-GB"/>
        </w:rPr>
      </w:pPr>
      <w:r>
        <w:rPr>
          <w:lang w:val="en-GB"/>
        </w:rPr>
        <w:t>Vv. 25-26: the back story explains</w:t>
      </w:r>
      <w:r w:rsidR="002F6DFD">
        <w:rPr>
          <w:lang w:val="en-GB"/>
        </w:rPr>
        <w:t xml:space="preserve"> the need for</w:t>
      </w:r>
      <w:r w:rsidR="007C3F31">
        <w:rPr>
          <w:lang w:val="en-GB"/>
        </w:rPr>
        <w:t xml:space="preserve"> the pact as se</w:t>
      </w:r>
      <w:r>
        <w:rPr>
          <w:lang w:val="en-GB"/>
        </w:rPr>
        <w:t>en from Abraham’s angle; the verses also</w:t>
      </w:r>
      <w:r w:rsidR="00B251F3">
        <w:rPr>
          <w:lang w:val="en-GB"/>
        </w:rPr>
        <w:t xml:space="preserve"> make a link with 21:14-19</w:t>
      </w:r>
      <w:r w:rsidR="007C3F31">
        <w:rPr>
          <w:lang w:val="en-GB"/>
        </w:rPr>
        <w:t xml:space="preserve"> through the theme of the well.</w:t>
      </w:r>
    </w:p>
    <w:p w14:paraId="7C2FD175" w14:textId="77777777" w:rsidR="0009445D" w:rsidRDefault="002F6DFD" w:rsidP="007C3F31">
      <w:pPr>
        <w:pStyle w:val="ListParagraph"/>
        <w:numPr>
          <w:ilvl w:val="0"/>
          <w:numId w:val="44"/>
        </w:numPr>
        <w:rPr>
          <w:lang w:val="en-GB"/>
        </w:rPr>
      </w:pPr>
      <w:r>
        <w:rPr>
          <w:lang w:val="en-GB"/>
        </w:rPr>
        <w:t>Vv. 27-32a: t</w:t>
      </w:r>
      <w:r w:rsidR="0009445D">
        <w:rPr>
          <w:lang w:val="en-GB"/>
        </w:rPr>
        <w:t>he making of the pact spells out Abraham’s “Yes” in v. 24 and includes a clarifying o</w:t>
      </w:r>
      <w:r>
        <w:rPr>
          <w:lang w:val="en-GB"/>
        </w:rPr>
        <w:t>f the well’s status</w:t>
      </w:r>
      <w:r w:rsidR="0009445D">
        <w:rPr>
          <w:lang w:val="en-GB"/>
        </w:rPr>
        <w:t>. The provision of the animals relates first to the pact in general (v. 27) and then to Abraham’s claim to the well (vv. 28-30).</w:t>
      </w:r>
    </w:p>
    <w:p w14:paraId="518382D1" w14:textId="77777777" w:rsidR="0009445D" w:rsidRDefault="002F6DFD" w:rsidP="007C3F31">
      <w:pPr>
        <w:pStyle w:val="ListParagraph"/>
        <w:numPr>
          <w:ilvl w:val="0"/>
          <w:numId w:val="44"/>
        </w:numPr>
        <w:rPr>
          <w:lang w:val="en-GB"/>
        </w:rPr>
      </w:pPr>
      <w:r>
        <w:rPr>
          <w:lang w:val="en-GB"/>
        </w:rPr>
        <w:t>Vv. 32b-34: t</w:t>
      </w:r>
      <w:r w:rsidR="0009445D">
        <w:rPr>
          <w:lang w:val="en-GB"/>
        </w:rPr>
        <w:t>his clarifying opens up the possibility of peaceful and settled life for a while</w:t>
      </w:r>
      <w:r>
        <w:rPr>
          <w:lang w:val="en-GB"/>
        </w:rPr>
        <w:t xml:space="preserve"> for Abraham</w:t>
      </w:r>
      <w:r w:rsidR="0009445D">
        <w:rPr>
          <w:lang w:val="en-GB"/>
        </w:rPr>
        <w:t>, with new reason for worship (vv. 32b-34).</w:t>
      </w:r>
    </w:p>
    <w:p w14:paraId="3D3E7BF2" w14:textId="77777777" w:rsidR="00462D83" w:rsidRPr="007C3F31" w:rsidRDefault="00462D83" w:rsidP="00462D83">
      <w:pPr>
        <w:pStyle w:val="ListParagraph"/>
        <w:ind w:left="720" w:firstLine="0"/>
        <w:rPr>
          <w:lang w:val="en-GB"/>
        </w:rPr>
      </w:pPr>
    </w:p>
    <w:p w14:paraId="2125BB99" w14:textId="2945E356" w:rsidR="00D95A74" w:rsidRDefault="001550B9" w:rsidP="00536A95">
      <w:pPr>
        <w:rPr>
          <w:lang w:val="en-GB"/>
        </w:rPr>
      </w:pPr>
      <w:r>
        <w:rPr>
          <w:b/>
          <w:lang w:val="en-GB"/>
        </w:rPr>
        <w:t xml:space="preserve">21:22-24. </w:t>
      </w:r>
      <w:r>
        <w:rPr>
          <w:lang w:val="en-GB"/>
        </w:rPr>
        <w:t xml:space="preserve">The </w:t>
      </w:r>
      <w:r w:rsidR="00536A95">
        <w:rPr>
          <w:lang w:val="en-GB"/>
        </w:rPr>
        <w:t>reference to Abimelek</w:t>
      </w:r>
      <w:r w:rsidR="00D020A1">
        <w:rPr>
          <w:lang w:val="en-GB"/>
        </w:rPr>
        <w:t>, who</w:t>
      </w:r>
      <w:r w:rsidR="00D020A1" w:rsidRPr="00D020A1">
        <w:rPr>
          <w:lang w:val="en-GB"/>
        </w:rPr>
        <w:t xml:space="preserve"> begins what he has to say to </w:t>
      </w:r>
      <w:r w:rsidR="00D020A1">
        <w:rPr>
          <w:lang w:val="en-GB"/>
        </w:rPr>
        <w:t>Abraham with a polite greeting,</w:t>
      </w:r>
      <w:r w:rsidR="00536A95">
        <w:rPr>
          <w:lang w:val="en-GB"/>
        </w:rPr>
        <w:t xml:space="preserve"> indicates that the </w:t>
      </w:r>
      <w:r>
        <w:rPr>
          <w:lang w:val="en-GB"/>
        </w:rPr>
        <w:t xml:space="preserve">section picks up from </w:t>
      </w:r>
      <w:r w:rsidR="00536A95">
        <w:rPr>
          <w:lang w:val="en-GB"/>
        </w:rPr>
        <w:t>Gen 20, though “that time” sound</w:t>
      </w:r>
      <w:r w:rsidR="00863764">
        <w:rPr>
          <w:lang w:val="en-GB"/>
        </w:rPr>
        <w:t>s</w:t>
      </w:r>
      <w:r w:rsidR="00536A95">
        <w:rPr>
          <w:lang w:val="en-GB"/>
        </w:rPr>
        <w:t xml:space="preserve"> lik</w:t>
      </w:r>
      <w:r w:rsidR="00D020A1">
        <w:rPr>
          <w:lang w:val="en-GB"/>
        </w:rPr>
        <w:t xml:space="preserve">e a reference to the </w:t>
      </w:r>
      <w:r w:rsidR="00536A95">
        <w:rPr>
          <w:lang w:val="en-GB"/>
        </w:rPr>
        <w:t xml:space="preserve">period covered by Isaac’s birth and </w:t>
      </w:r>
      <w:r w:rsidR="00D020A1">
        <w:rPr>
          <w:lang w:val="en-GB"/>
        </w:rPr>
        <w:t xml:space="preserve">by </w:t>
      </w:r>
      <w:r w:rsidR="00536A95">
        <w:rPr>
          <w:lang w:val="en-GB"/>
        </w:rPr>
        <w:t xml:space="preserve">Hagar and Ishmael’s ejection. </w:t>
      </w:r>
      <w:r w:rsidR="00D020A1">
        <w:rPr>
          <w:lang w:val="en-GB"/>
        </w:rPr>
        <w:t>The involvement of P</w:t>
      </w:r>
      <w:r w:rsidR="00462D83">
        <w:rPr>
          <w:lang w:val="en-GB"/>
        </w:rPr>
        <w:t>h</w:t>
      </w:r>
      <w:r w:rsidR="00D020A1">
        <w:rPr>
          <w:lang w:val="en-GB"/>
        </w:rPr>
        <w:t xml:space="preserve">ikol </w:t>
      </w:r>
      <w:r w:rsidR="00F10F8A">
        <w:rPr>
          <w:lang w:val="en-GB"/>
        </w:rPr>
        <w:t>in the negotiations that are to follow</w:t>
      </w:r>
      <w:r w:rsidR="00D020A1">
        <w:rPr>
          <w:lang w:val="en-GB"/>
        </w:rPr>
        <w:t xml:space="preserve"> suggests that there has been some conflict between Abraham’s people and Abimelek’s people; vv.25-26 will indicate the cause of the conflict</w:t>
      </w:r>
      <w:r w:rsidR="00F10F8A">
        <w:rPr>
          <w:lang w:val="en-GB"/>
        </w:rPr>
        <w:t>.</w:t>
      </w:r>
      <w:r w:rsidR="00C42BD3">
        <w:rPr>
          <w:lang w:val="en-GB"/>
        </w:rPr>
        <w:t xml:space="preserve"> In the Abraham stories we sometimes get the impression of a small group of little significance in numbers and power, sometimes </w:t>
      </w:r>
      <w:r w:rsidR="00C42BD3">
        <w:rPr>
          <w:lang w:val="en-GB"/>
        </w:rPr>
        <w:lastRenderedPageBreak/>
        <w:t xml:space="preserve">the impression of a group that is substantial in size and capacity. Here </w:t>
      </w:r>
      <w:r w:rsidR="006D49E0">
        <w:rPr>
          <w:lang w:val="en-GB"/>
        </w:rPr>
        <w:t>both impr</w:t>
      </w:r>
      <w:r w:rsidR="005D4056">
        <w:rPr>
          <w:lang w:val="en-GB"/>
        </w:rPr>
        <w:t xml:space="preserve">essions are mixed. </w:t>
      </w:r>
      <w:r w:rsidR="006D49E0">
        <w:rPr>
          <w:lang w:val="en-GB"/>
        </w:rPr>
        <w:t>Abraham is someone significant enough for Abimelek to want t</w:t>
      </w:r>
      <w:r w:rsidR="005D4056">
        <w:rPr>
          <w:lang w:val="en-GB"/>
        </w:rPr>
        <w:t>o make a pact with</w:t>
      </w:r>
      <w:r w:rsidR="006D49E0">
        <w:rPr>
          <w:lang w:val="en-GB"/>
        </w:rPr>
        <w:t xml:space="preserve">, </w:t>
      </w:r>
      <w:r w:rsidR="005D4056">
        <w:rPr>
          <w:lang w:val="en-GB"/>
        </w:rPr>
        <w:t xml:space="preserve">but </w:t>
      </w:r>
      <w:r w:rsidR="006D49E0">
        <w:rPr>
          <w:lang w:val="en-GB"/>
        </w:rPr>
        <w:t xml:space="preserve">he is </w:t>
      </w:r>
      <w:r w:rsidR="005D4056">
        <w:rPr>
          <w:lang w:val="en-GB"/>
        </w:rPr>
        <w:t xml:space="preserve">described as </w:t>
      </w:r>
      <w:r w:rsidR="006D49E0">
        <w:rPr>
          <w:lang w:val="en-GB"/>
        </w:rPr>
        <w:t>someone who has been a residen</w:t>
      </w:r>
      <w:r w:rsidR="005D4056">
        <w:rPr>
          <w:lang w:val="en-GB"/>
        </w:rPr>
        <w:t>t alien in Abimelek’s territory</w:t>
      </w:r>
      <w:r w:rsidR="006D49E0">
        <w:rPr>
          <w:lang w:val="en-GB"/>
        </w:rPr>
        <w:t xml:space="preserve"> and is still a resident alien a</w:t>
      </w:r>
      <w:r w:rsidR="005D4056">
        <w:rPr>
          <w:lang w:val="en-GB"/>
        </w:rPr>
        <w:t>t the end of the story</w:t>
      </w:r>
      <w:r w:rsidR="006D49E0">
        <w:rPr>
          <w:lang w:val="en-GB"/>
        </w:rPr>
        <w:t>.</w:t>
      </w:r>
      <w:r w:rsidR="005D4056">
        <w:rPr>
          <w:lang w:val="en-GB"/>
        </w:rPr>
        <w:t xml:space="preserve"> Conversely, if we think of Gerar as the</w:t>
      </w:r>
      <w:r w:rsidR="00716427">
        <w:rPr>
          <w:lang w:val="en-GB"/>
        </w:rPr>
        <w:t xml:space="preserve"> later town near Gaza, it is more impressive than if we assume it is a settlement in the </w:t>
      </w:r>
      <w:r w:rsidR="009542B9">
        <w:rPr>
          <w:lang w:val="en-GB"/>
        </w:rPr>
        <w:t>Negev</w:t>
      </w:r>
      <w:r w:rsidR="00716427">
        <w:rPr>
          <w:lang w:val="en-GB"/>
        </w:rPr>
        <w:t>.</w:t>
      </w:r>
    </w:p>
    <w:p w14:paraId="3F9A9767" w14:textId="6CF8B360" w:rsidR="004E4173" w:rsidRDefault="00D95A74" w:rsidP="00536A95">
      <w:pPr>
        <w:rPr>
          <w:lang w:val="en-GB"/>
        </w:rPr>
      </w:pPr>
      <w:r>
        <w:rPr>
          <w:lang w:val="en-GB"/>
        </w:rPr>
        <w:t>Some</w:t>
      </w:r>
      <w:r w:rsidRPr="00D95A74">
        <w:rPr>
          <w:lang w:val="en-GB"/>
        </w:rPr>
        <w:t xml:space="preserve"> formalizing </w:t>
      </w:r>
      <w:r>
        <w:rPr>
          <w:lang w:val="en-GB"/>
        </w:rPr>
        <w:t>of the relationship between Abimelek</w:t>
      </w:r>
      <w:r w:rsidR="005D4056">
        <w:rPr>
          <w:lang w:val="en-GB"/>
        </w:rPr>
        <w:t xml:space="preserve"> and Abraham (v. 23) might </w:t>
      </w:r>
      <w:r>
        <w:rPr>
          <w:lang w:val="en-GB"/>
        </w:rPr>
        <w:t xml:space="preserve">have </w:t>
      </w:r>
      <w:r w:rsidR="00716427">
        <w:rPr>
          <w:lang w:val="en-GB"/>
        </w:rPr>
        <w:t xml:space="preserve">generally </w:t>
      </w:r>
      <w:r>
        <w:rPr>
          <w:lang w:val="en-GB"/>
        </w:rPr>
        <w:t>seemed a good idea, notwithstanding Abimelek’s generosit</w:t>
      </w:r>
      <w:r w:rsidR="00716427">
        <w:rPr>
          <w:lang w:val="en-GB"/>
        </w:rPr>
        <w:t>y and equability (20:15), but</w:t>
      </w:r>
      <w:r>
        <w:rPr>
          <w:lang w:val="en-GB"/>
        </w:rPr>
        <w:t xml:space="preserve"> we will shortly discover that a specific incident has </w:t>
      </w:r>
      <w:r w:rsidR="004E260D">
        <w:rPr>
          <w:lang w:val="en-GB"/>
        </w:rPr>
        <w:t>exposed the</w:t>
      </w:r>
      <w:r w:rsidR="00F10F8A">
        <w:rPr>
          <w:lang w:val="en-GB"/>
        </w:rPr>
        <w:t xml:space="preserve"> need of such formalizing. </w:t>
      </w:r>
      <w:r w:rsidR="004E260D">
        <w:rPr>
          <w:lang w:val="en-GB"/>
        </w:rPr>
        <w:t>Abimelek is looking for</w:t>
      </w:r>
      <w:r w:rsidR="002E1F67">
        <w:rPr>
          <w:lang w:val="en-GB"/>
        </w:rPr>
        <w:t xml:space="preserve"> Abraham to </w:t>
      </w:r>
      <w:r w:rsidR="00F10F8A">
        <w:rPr>
          <w:lang w:val="en-GB"/>
        </w:rPr>
        <w:t>accepting a</w:t>
      </w:r>
      <w:r w:rsidR="004E260D">
        <w:rPr>
          <w:lang w:val="en-GB"/>
        </w:rPr>
        <w:t>n obligation to</w:t>
      </w:r>
      <w:r w:rsidR="00F10F8A">
        <w:rPr>
          <w:lang w:val="en-GB"/>
        </w:rPr>
        <w:t xml:space="preserve"> reciprocate the commitment that Abimelek has shown to him, which Gen 20 has plent</w:t>
      </w:r>
      <w:r w:rsidR="00D020A1">
        <w:rPr>
          <w:lang w:val="en-GB"/>
        </w:rPr>
        <w:t>ifully illustra</w:t>
      </w:r>
      <w:r w:rsidR="00716427">
        <w:rPr>
          <w:lang w:val="en-GB"/>
        </w:rPr>
        <w:t>ted in the account of his handling of</w:t>
      </w:r>
      <w:r w:rsidR="00F10F8A">
        <w:rPr>
          <w:lang w:val="en-GB"/>
        </w:rPr>
        <w:t xml:space="preserve"> Abraham’s dishonesty and </w:t>
      </w:r>
      <w:r w:rsidR="00716427">
        <w:rPr>
          <w:lang w:val="en-GB"/>
        </w:rPr>
        <w:t>his inviting</w:t>
      </w:r>
      <w:r w:rsidR="00F10F8A">
        <w:rPr>
          <w:lang w:val="en-GB"/>
        </w:rPr>
        <w:t xml:space="preserve"> him to live where he liked in the territory—though Abimelek here speaks of him residing as an alien as op</w:t>
      </w:r>
      <w:r w:rsidR="00716427">
        <w:rPr>
          <w:lang w:val="en-GB"/>
        </w:rPr>
        <w:t>posed to living there. He is as</w:t>
      </w:r>
      <w:r w:rsidR="00F10F8A">
        <w:rPr>
          <w:lang w:val="en-GB"/>
        </w:rPr>
        <w:t>k</w:t>
      </w:r>
      <w:r w:rsidR="00261879">
        <w:rPr>
          <w:lang w:val="en-GB"/>
        </w:rPr>
        <w:t>ing</w:t>
      </w:r>
      <w:r w:rsidR="00716427">
        <w:rPr>
          <w:lang w:val="en-GB"/>
        </w:rPr>
        <w:t xml:space="preserve"> for an oath that Abraham</w:t>
      </w:r>
      <w:r w:rsidR="00F10F8A">
        <w:rPr>
          <w:lang w:val="en-GB"/>
        </w:rPr>
        <w:t xml:space="preserve"> wil</w:t>
      </w:r>
      <w:r w:rsidR="00716427">
        <w:rPr>
          <w:lang w:val="en-GB"/>
        </w:rPr>
        <w:t>l not deal falsely with him</w:t>
      </w:r>
      <w:r w:rsidR="00F10F8A">
        <w:rPr>
          <w:lang w:val="en-GB"/>
        </w:rPr>
        <w:t>—which might be a snide reference t</w:t>
      </w:r>
      <w:r w:rsidR="00716427">
        <w:rPr>
          <w:lang w:val="en-GB"/>
        </w:rPr>
        <w:t xml:space="preserve">o Abraham’s deceptiveness </w:t>
      </w:r>
      <w:r w:rsidR="008648C4">
        <w:rPr>
          <w:lang w:val="en-GB"/>
        </w:rPr>
        <w:t>or might rather be proposing a more general honest and mutually committed relationship</w:t>
      </w:r>
      <w:r w:rsidR="00F10F8A">
        <w:rPr>
          <w:lang w:val="en-GB"/>
        </w:rPr>
        <w:t>.</w:t>
      </w:r>
      <w:r w:rsidR="0033291D">
        <w:rPr>
          <w:lang w:val="en-GB"/>
        </w:rPr>
        <w:t xml:space="preserve"> A traditional way to make an oath wa</w:t>
      </w:r>
      <w:r w:rsidR="00261879">
        <w:rPr>
          <w:lang w:val="en-GB"/>
        </w:rPr>
        <w:t xml:space="preserve">s to say “If I do x, then </w:t>
      </w:r>
      <w:r w:rsidR="00D020A1">
        <w:rPr>
          <w:lang w:val="en-GB"/>
        </w:rPr>
        <w:t xml:space="preserve">may y happen to me,” with the second clause </w:t>
      </w:r>
      <w:r w:rsidR="0033291D">
        <w:rPr>
          <w:lang w:val="en-GB"/>
        </w:rPr>
        <w:t>commonly left to the imagination</w:t>
      </w:r>
      <w:r w:rsidR="002E1F67">
        <w:rPr>
          <w:lang w:val="en-GB"/>
        </w:rPr>
        <w:t xml:space="preserve"> (cf. 14:23)</w:t>
      </w:r>
      <w:r w:rsidR="0033291D">
        <w:rPr>
          <w:lang w:val="en-GB"/>
        </w:rPr>
        <w:t>.</w:t>
      </w:r>
      <w:r w:rsidR="0033291D">
        <w:rPr>
          <w:rStyle w:val="FootnoteReference"/>
          <w:lang w:val="en-GB"/>
        </w:rPr>
        <w:footnoteReference w:id="623"/>
      </w:r>
    </w:p>
    <w:p w14:paraId="28AF1473" w14:textId="77777777" w:rsidR="00F10F8A" w:rsidRDefault="00F27734" w:rsidP="00536A95">
      <w:pPr>
        <w:rPr>
          <w:lang w:val="en-GB"/>
        </w:rPr>
      </w:pPr>
      <w:r>
        <w:rPr>
          <w:lang w:val="en-GB"/>
        </w:rPr>
        <w:t xml:space="preserve">Abraham agrees </w:t>
      </w:r>
      <w:r w:rsidR="00A6377A">
        <w:rPr>
          <w:lang w:val="en-GB"/>
        </w:rPr>
        <w:t xml:space="preserve">to Abimelek’s proposition </w:t>
      </w:r>
      <w:r>
        <w:rPr>
          <w:lang w:val="en-GB"/>
        </w:rPr>
        <w:t>(v. 24).</w:t>
      </w:r>
      <w:r w:rsidR="00FA6C88">
        <w:rPr>
          <w:lang w:val="en-GB"/>
        </w:rPr>
        <w:t xml:space="preserve"> In isolation, h</w:t>
      </w:r>
      <w:r w:rsidR="006F30A5">
        <w:rPr>
          <w:lang w:val="en-GB"/>
        </w:rPr>
        <w:t xml:space="preserve">is response </w:t>
      </w:r>
      <w:r w:rsidR="00716427">
        <w:rPr>
          <w:lang w:val="en-GB"/>
        </w:rPr>
        <w:t xml:space="preserve">may seem </w:t>
      </w:r>
      <w:r w:rsidR="00FA6C88">
        <w:rPr>
          <w:lang w:val="en-GB"/>
        </w:rPr>
        <w:t>terse,</w:t>
      </w:r>
      <w:r w:rsidR="006F30A5">
        <w:rPr>
          <w:rStyle w:val="FootnoteReference"/>
          <w:lang w:val="en-GB"/>
        </w:rPr>
        <w:footnoteReference w:id="624"/>
      </w:r>
      <w:r w:rsidR="00840C74">
        <w:rPr>
          <w:lang w:val="en-GB"/>
        </w:rPr>
        <w:t xml:space="preserve"> though</w:t>
      </w:r>
      <w:r w:rsidR="00FA6C88">
        <w:rPr>
          <w:lang w:val="en-GB"/>
        </w:rPr>
        <w:t xml:space="preserve"> vv. 27-28 will flesh it out.</w:t>
      </w:r>
      <w:r w:rsidR="00840C74">
        <w:rPr>
          <w:lang w:val="en-GB"/>
        </w:rPr>
        <w:t xml:space="preserve"> </w:t>
      </w:r>
    </w:p>
    <w:p w14:paraId="5FB044EF" w14:textId="4C503FFF" w:rsidR="001C2AC6" w:rsidRDefault="00540027" w:rsidP="00536A95">
      <w:pPr>
        <w:rPr>
          <w:lang w:val="en-GB"/>
        </w:rPr>
      </w:pPr>
      <w:r>
        <w:rPr>
          <w:b/>
          <w:lang w:val="en-GB"/>
        </w:rPr>
        <w:t>21:25-26</w:t>
      </w:r>
      <w:r>
        <w:rPr>
          <w:lang w:val="en-GB"/>
        </w:rPr>
        <w:t xml:space="preserve">. </w:t>
      </w:r>
      <w:proofErr w:type="gramStart"/>
      <w:r>
        <w:rPr>
          <w:lang w:val="en-GB"/>
        </w:rPr>
        <w:t>What</w:t>
      </w:r>
      <w:proofErr w:type="gramEnd"/>
      <w:r>
        <w:rPr>
          <w:lang w:val="en-GB"/>
        </w:rPr>
        <w:t xml:space="preserve"> follows</w:t>
      </w:r>
      <w:r w:rsidR="00716427">
        <w:rPr>
          <w:lang w:val="en-GB"/>
        </w:rPr>
        <w:t xml:space="preserve"> provides </w:t>
      </w:r>
      <w:r w:rsidR="00F27734">
        <w:rPr>
          <w:lang w:val="en-GB"/>
        </w:rPr>
        <w:t xml:space="preserve">background to Abimelek’s </w:t>
      </w:r>
      <w:r w:rsidR="00716427">
        <w:rPr>
          <w:lang w:val="en-GB"/>
        </w:rPr>
        <w:t>request</w:t>
      </w:r>
      <w:r w:rsidR="00F27734">
        <w:rPr>
          <w:lang w:val="en-GB"/>
        </w:rPr>
        <w:t>. A p</w:t>
      </w:r>
      <w:r w:rsidR="00716427">
        <w:rPr>
          <w:lang w:val="en-GB"/>
        </w:rPr>
        <w:t xml:space="preserve">articular incident has suggested </w:t>
      </w:r>
      <w:r>
        <w:rPr>
          <w:lang w:val="en-GB"/>
        </w:rPr>
        <w:t>the need to formalize the relationship. Abraham has complained</w:t>
      </w:r>
      <w:r w:rsidR="00F27734">
        <w:rPr>
          <w:lang w:val="en-GB"/>
        </w:rPr>
        <w:t xml:space="preserve"> that Abimelek’s staff have seized a well. It would be a serious matter. Access to water is a key issue for shepherds; </w:t>
      </w:r>
      <w:r w:rsidR="000C6B9E">
        <w:rPr>
          <w:lang w:val="en-GB"/>
        </w:rPr>
        <w:t xml:space="preserve">if there is </w:t>
      </w:r>
      <w:r w:rsidR="00F27734">
        <w:rPr>
          <w:lang w:val="en-GB"/>
        </w:rPr>
        <w:t>n</w:t>
      </w:r>
      <w:r w:rsidR="000C6B9E">
        <w:rPr>
          <w:lang w:val="en-GB"/>
        </w:rPr>
        <w:t>o water, then</w:t>
      </w:r>
      <w:r w:rsidR="00F27734">
        <w:rPr>
          <w:lang w:val="en-GB"/>
        </w:rPr>
        <w:t xml:space="preserve"> sheep d</w:t>
      </w:r>
      <w:r w:rsidR="000C6B9E">
        <w:rPr>
          <w:lang w:val="en-GB"/>
        </w:rPr>
        <w:t>ie—</w:t>
      </w:r>
      <w:r w:rsidR="00F27734">
        <w:rPr>
          <w:lang w:val="en-GB"/>
        </w:rPr>
        <w:t>a</w:t>
      </w:r>
      <w:r w:rsidR="000C6B9E">
        <w:rPr>
          <w:lang w:val="en-GB"/>
        </w:rPr>
        <w:t>s do</w:t>
      </w:r>
      <w:r w:rsidR="00F27734">
        <w:rPr>
          <w:lang w:val="en-GB"/>
        </w:rPr>
        <w:t xml:space="preserve"> human beings</w:t>
      </w:r>
      <w:r w:rsidR="009A4B06">
        <w:rPr>
          <w:lang w:val="en-GB"/>
        </w:rPr>
        <w:t xml:space="preserve">; </w:t>
      </w:r>
      <w:r w:rsidR="0030273F">
        <w:rPr>
          <w:lang w:val="en-GB"/>
        </w:rPr>
        <w:t xml:space="preserve">vv. 15-19 made </w:t>
      </w:r>
      <w:r w:rsidR="009A4B06">
        <w:rPr>
          <w:lang w:val="en-GB"/>
        </w:rPr>
        <w:t>the point clear just now</w:t>
      </w:r>
      <w:r w:rsidR="000C6B9E">
        <w:rPr>
          <w:lang w:val="en-GB"/>
        </w:rPr>
        <w:t>. While t</w:t>
      </w:r>
      <w:r w:rsidR="001C2AC6">
        <w:rPr>
          <w:lang w:val="en-GB"/>
        </w:rPr>
        <w:t>h</w:t>
      </w:r>
      <w:r w:rsidR="000C6B9E">
        <w:rPr>
          <w:lang w:val="en-GB"/>
        </w:rPr>
        <w:t>e allusion to the well makes a link with</w:t>
      </w:r>
      <w:r w:rsidR="001C2AC6">
        <w:rPr>
          <w:lang w:val="en-GB"/>
        </w:rPr>
        <w:t xml:space="preserve"> vv. 15-19</w:t>
      </w:r>
      <w:r w:rsidR="000C6B9E">
        <w:rPr>
          <w:lang w:val="en-GB"/>
        </w:rPr>
        <w:t xml:space="preserve">, the indication of some </w:t>
      </w:r>
      <w:r w:rsidR="001C2AC6">
        <w:rPr>
          <w:lang w:val="en-GB"/>
        </w:rPr>
        <w:t>conflict implied by vv. 25-26 would explain P</w:t>
      </w:r>
      <w:r w:rsidR="00B240D5">
        <w:rPr>
          <w:lang w:val="en-GB"/>
        </w:rPr>
        <w:t>h</w:t>
      </w:r>
      <w:r w:rsidR="001C2AC6">
        <w:rPr>
          <w:lang w:val="en-GB"/>
        </w:rPr>
        <w:t>ik</w:t>
      </w:r>
      <w:r w:rsidR="000C6B9E">
        <w:rPr>
          <w:lang w:val="en-GB"/>
        </w:rPr>
        <w:t>ol’s involvement in these negotiations</w:t>
      </w:r>
      <w:r w:rsidR="001C2AC6">
        <w:rPr>
          <w:lang w:val="en-GB"/>
        </w:rPr>
        <w:t xml:space="preserve">. </w:t>
      </w:r>
      <w:r w:rsidR="003C6DF4">
        <w:rPr>
          <w:lang w:val="en-GB"/>
        </w:rPr>
        <w:t>Further, Abraham’s complaint raises from his side the question whether Abimelek’s commitment</w:t>
      </w:r>
      <w:r w:rsidR="00716427">
        <w:rPr>
          <w:lang w:val="en-GB"/>
        </w:rPr>
        <w:t xml:space="preserve"> is as unequivocal as he implies</w:t>
      </w:r>
      <w:r w:rsidR="003C6DF4">
        <w:rPr>
          <w:lang w:val="en-GB"/>
        </w:rPr>
        <w:t xml:space="preserve"> in v. </w:t>
      </w:r>
      <w:r w:rsidR="00F13B3E">
        <w:rPr>
          <w:lang w:val="en-GB"/>
        </w:rPr>
        <w:t>22.</w:t>
      </w:r>
      <w:r w:rsidR="00F13B3E">
        <w:rPr>
          <w:rStyle w:val="FootnoteReference"/>
          <w:lang w:val="en-GB"/>
        </w:rPr>
        <w:footnoteReference w:id="625"/>
      </w:r>
    </w:p>
    <w:p w14:paraId="085177C5" w14:textId="77777777" w:rsidR="001C2AC6" w:rsidRDefault="00A7224E" w:rsidP="00536A95">
      <w:pPr>
        <w:rPr>
          <w:lang w:val="en-GB"/>
        </w:rPr>
      </w:pPr>
      <w:r>
        <w:rPr>
          <w:b/>
          <w:lang w:val="en-GB"/>
        </w:rPr>
        <w:t>21:27-32</w:t>
      </w:r>
      <w:r w:rsidR="00540027" w:rsidRPr="00540027">
        <w:rPr>
          <w:b/>
          <w:lang w:val="en-GB"/>
        </w:rPr>
        <w:t>.</w:t>
      </w:r>
      <w:r w:rsidR="00540027">
        <w:rPr>
          <w:b/>
          <w:lang w:val="en-GB"/>
        </w:rPr>
        <w:t xml:space="preserve"> </w:t>
      </w:r>
      <w:r w:rsidR="000C6B9E">
        <w:rPr>
          <w:lang w:val="en-GB"/>
        </w:rPr>
        <w:t xml:space="preserve">So it might have </w:t>
      </w:r>
      <w:r w:rsidR="00540027">
        <w:rPr>
          <w:lang w:val="en-GB"/>
        </w:rPr>
        <w:t xml:space="preserve">been Abraham’s complaint that provoked the negotiation, </w:t>
      </w:r>
      <w:r w:rsidR="000C6B9E">
        <w:rPr>
          <w:lang w:val="en-GB"/>
        </w:rPr>
        <w:t xml:space="preserve">but </w:t>
      </w:r>
      <w:r w:rsidR="00540027">
        <w:rPr>
          <w:lang w:val="en-GB"/>
        </w:rPr>
        <w:t xml:space="preserve">the broader consideration of a pact means that Abraham makes </w:t>
      </w:r>
      <w:r w:rsidR="000C6B9E">
        <w:rPr>
          <w:lang w:val="en-GB"/>
        </w:rPr>
        <w:t>an offer to Abimelek, perhaps</w:t>
      </w:r>
      <w:r w:rsidR="00540027">
        <w:rPr>
          <w:lang w:val="en-GB"/>
        </w:rPr>
        <w:t xml:space="preserve"> as the price of </w:t>
      </w:r>
      <w:r w:rsidR="000C6B9E">
        <w:rPr>
          <w:lang w:val="en-GB"/>
        </w:rPr>
        <w:t>an agreement between the two parties t</w:t>
      </w:r>
      <w:r w:rsidR="00540027">
        <w:rPr>
          <w:lang w:val="en-GB"/>
        </w:rPr>
        <w:t>hat Abimelek will withdraw from the area where the well is and thus from the Beer Sheba area.</w:t>
      </w:r>
    </w:p>
    <w:p w14:paraId="386C661B" w14:textId="77777777" w:rsidR="00540027" w:rsidRDefault="003C6DF4" w:rsidP="00536A95">
      <w:pPr>
        <w:rPr>
          <w:lang w:val="en-GB"/>
        </w:rPr>
      </w:pPr>
      <w:r>
        <w:rPr>
          <w:lang w:val="en-GB"/>
        </w:rPr>
        <w:t>In some way the gift of the seven ewes (vv. 28-30) and Abimelek’s acceptance of it confirms Abraham’s ownership of the well. Perhaps its implication is, “I will act as if the well belongs to you and I will buy it from you.”</w:t>
      </w:r>
    </w:p>
    <w:p w14:paraId="3195F3B9" w14:textId="0560463B" w:rsidR="00182164" w:rsidRPr="001D27DE" w:rsidRDefault="00540027" w:rsidP="00182164">
      <w:pPr>
        <w:rPr>
          <w:lang w:val="en-GB"/>
        </w:rPr>
      </w:pPr>
      <w:r>
        <w:rPr>
          <w:lang w:val="en-GB"/>
        </w:rPr>
        <w:t>The</w:t>
      </w:r>
      <w:r w:rsidR="00F93A40">
        <w:rPr>
          <w:lang w:val="en-GB"/>
        </w:rPr>
        <w:t xml:space="preserve"> pa</w:t>
      </w:r>
      <w:r w:rsidR="009A4B06">
        <w:rPr>
          <w:lang w:val="en-GB"/>
        </w:rPr>
        <w:t>ct involving seven ewes gave</w:t>
      </w:r>
      <w:r w:rsidR="00F93A40">
        <w:rPr>
          <w:lang w:val="en-GB"/>
        </w:rPr>
        <w:t xml:space="preserve"> double significance to the name Beer Sheba (v. 31). On one hand, </w:t>
      </w:r>
      <w:proofErr w:type="gramStart"/>
      <w:r w:rsidR="00F93A40">
        <w:rPr>
          <w:i/>
          <w:lang w:val="en-GB"/>
        </w:rPr>
        <w:t>šeba‘</w:t>
      </w:r>
      <w:r w:rsidR="00F93A40">
        <w:rPr>
          <w:lang w:val="en-GB"/>
        </w:rPr>
        <w:t xml:space="preserve"> is</w:t>
      </w:r>
      <w:proofErr w:type="gramEnd"/>
      <w:r w:rsidR="00F93A40">
        <w:rPr>
          <w:lang w:val="en-GB"/>
        </w:rPr>
        <w:t xml:space="preserve"> the number</w:t>
      </w:r>
      <w:r w:rsidR="00716427">
        <w:rPr>
          <w:lang w:val="en-GB"/>
        </w:rPr>
        <w:t xml:space="preserve"> seven;</w:t>
      </w:r>
      <w:r w:rsidR="00727890">
        <w:rPr>
          <w:lang w:val="en-GB"/>
        </w:rPr>
        <w:t xml:space="preserve"> </w:t>
      </w:r>
      <w:r w:rsidR="00716427">
        <w:rPr>
          <w:lang w:val="en-GB"/>
        </w:rPr>
        <w:t xml:space="preserve">on the other, </w:t>
      </w:r>
      <w:r w:rsidR="00F93A40">
        <w:rPr>
          <w:lang w:val="en-GB"/>
        </w:rPr>
        <w:t xml:space="preserve">“swear” is </w:t>
      </w:r>
      <w:r w:rsidR="00F93A40" w:rsidRPr="00F93A40">
        <w:rPr>
          <w:i/>
          <w:lang w:val="en-GB"/>
        </w:rPr>
        <w:t>šāba</w:t>
      </w:r>
      <w:r w:rsidR="00F93A40">
        <w:rPr>
          <w:i/>
          <w:lang w:val="en-GB"/>
        </w:rPr>
        <w:t xml:space="preserve">‘ </w:t>
      </w:r>
      <w:r w:rsidR="00F93A40">
        <w:rPr>
          <w:lang w:val="en-GB"/>
        </w:rPr>
        <w:t>.</w:t>
      </w:r>
      <w:r w:rsidR="00F93A40">
        <w:rPr>
          <w:i/>
          <w:lang w:val="en-GB"/>
        </w:rPr>
        <w:t xml:space="preserve"> </w:t>
      </w:r>
      <w:r w:rsidR="00C01BA6">
        <w:rPr>
          <w:lang w:val="en-GB"/>
        </w:rPr>
        <w:t>Th</w:t>
      </w:r>
      <w:r w:rsidR="00716427">
        <w:rPr>
          <w:lang w:val="en-GB"/>
        </w:rPr>
        <w:t xml:space="preserve">us </w:t>
      </w:r>
      <w:r w:rsidR="00C01BA6">
        <w:rPr>
          <w:lang w:val="en-GB"/>
        </w:rPr>
        <w:t>Beer Sheba</w:t>
      </w:r>
      <w:r w:rsidR="00716427">
        <w:rPr>
          <w:lang w:val="en-GB"/>
        </w:rPr>
        <w:t>’s name</w:t>
      </w:r>
      <w:r w:rsidR="001D27DE">
        <w:rPr>
          <w:lang w:val="en-GB"/>
        </w:rPr>
        <w:t xml:space="preserve"> now becomes doubly</w:t>
      </w:r>
      <w:r w:rsidR="00C01BA6">
        <w:rPr>
          <w:lang w:val="en-GB"/>
        </w:rPr>
        <w:t xml:space="preserve"> </w:t>
      </w:r>
      <w:r w:rsidR="001D27DE">
        <w:rPr>
          <w:lang w:val="en-GB"/>
        </w:rPr>
        <w:t xml:space="preserve">appropriate: the well is </w:t>
      </w:r>
      <w:r w:rsidR="00F93A40">
        <w:rPr>
          <w:lang w:val="en-GB"/>
        </w:rPr>
        <w:t>both the “Seven Well” and the “Oath Well.”</w:t>
      </w:r>
      <w:r w:rsidR="00182164">
        <w:rPr>
          <w:lang w:val="en-GB"/>
        </w:rPr>
        <w:t xml:space="preserve"> </w:t>
      </w:r>
      <w:r w:rsidR="00C01BA6">
        <w:rPr>
          <w:lang w:val="en-GB"/>
        </w:rPr>
        <w:t xml:space="preserve">When Genesis links meaningful names with places, there is commonly no implication that the name comes into being only at this moment; it’s more that an existent name gains new significance (11:9 is a great example). </w:t>
      </w:r>
      <w:r w:rsidR="001D27DE">
        <w:rPr>
          <w:lang w:val="en-GB"/>
        </w:rPr>
        <w:t>S</w:t>
      </w:r>
      <w:r w:rsidR="009A4B06">
        <w:rPr>
          <w:lang w:val="en-GB"/>
        </w:rPr>
        <w:t xml:space="preserve">o the mention of </w:t>
      </w:r>
      <w:r w:rsidR="001D27DE">
        <w:rPr>
          <w:lang w:val="en-GB"/>
        </w:rPr>
        <w:t xml:space="preserve">the Beer Sheba wilderness </w:t>
      </w:r>
      <w:r w:rsidR="009A4B06">
        <w:rPr>
          <w:lang w:val="en-GB"/>
        </w:rPr>
        <w:t xml:space="preserve">in v. 14 </w:t>
      </w:r>
      <w:r w:rsidR="001D27DE">
        <w:rPr>
          <w:lang w:val="en-GB"/>
        </w:rPr>
        <w:t xml:space="preserve">need not imply that this name came into use only later. </w:t>
      </w:r>
      <w:r w:rsidR="00CC6AAA">
        <w:rPr>
          <w:lang w:val="en-GB"/>
        </w:rPr>
        <w:t>While t</w:t>
      </w:r>
      <w:r w:rsidR="00182164" w:rsidRPr="00182164">
        <w:rPr>
          <w:lang w:val="en-GB"/>
        </w:rPr>
        <w:t xml:space="preserve">here is a spectacular well at the archaeological site at </w:t>
      </w:r>
      <w:r w:rsidR="00CC6AAA">
        <w:rPr>
          <w:lang w:val="en-GB"/>
        </w:rPr>
        <w:t>Beer Sheba,</w:t>
      </w:r>
      <w:r w:rsidR="00182164" w:rsidRPr="00182164">
        <w:rPr>
          <w:lang w:val="en-GB"/>
        </w:rPr>
        <w:t xml:space="preserve"> both the site</w:t>
      </w:r>
      <w:r w:rsidR="00182164">
        <w:rPr>
          <w:lang w:val="en-GB"/>
        </w:rPr>
        <w:t xml:space="preserve"> and the well </w:t>
      </w:r>
      <w:r w:rsidR="00182164" w:rsidRPr="00182164">
        <w:rPr>
          <w:lang w:val="en-GB"/>
        </w:rPr>
        <w:t>date from the Israelite period</w:t>
      </w:r>
      <w:r w:rsidR="008B2313">
        <w:rPr>
          <w:lang w:val="en-GB"/>
        </w:rPr>
        <w:t>;</w:t>
      </w:r>
      <w:r w:rsidR="001D27DE">
        <w:rPr>
          <w:lang w:val="en-GB"/>
        </w:rPr>
        <w:t xml:space="preserve"> that</w:t>
      </w:r>
      <w:r w:rsidR="00182164">
        <w:rPr>
          <w:lang w:val="en-GB"/>
        </w:rPr>
        <w:t xml:space="preserve"> well is not the one to which Gen</w:t>
      </w:r>
      <w:r w:rsidR="003A5710">
        <w:rPr>
          <w:lang w:val="en-GB"/>
        </w:rPr>
        <w:t>e</w:t>
      </w:r>
      <w:r w:rsidR="00182164">
        <w:rPr>
          <w:lang w:val="en-GB"/>
        </w:rPr>
        <w:t>sis refers</w:t>
      </w:r>
      <w:r w:rsidR="00182164" w:rsidRPr="00182164">
        <w:rPr>
          <w:lang w:val="en-GB"/>
        </w:rPr>
        <w:t xml:space="preserve">. </w:t>
      </w:r>
      <w:r w:rsidR="00182164">
        <w:rPr>
          <w:lang w:val="en-GB"/>
        </w:rPr>
        <w:t>But t</w:t>
      </w:r>
      <w:r w:rsidR="00182164" w:rsidRPr="00182164">
        <w:rPr>
          <w:lang w:val="en-GB"/>
        </w:rPr>
        <w:t>here are other wells in the area</w:t>
      </w:r>
      <w:r w:rsidR="00FD4C78">
        <w:rPr>
          <w:rStyle w:val="FootnoteReference"/>
          <w:lang w:val="en-GB"/>
        </w:rPr>
        <w:footnoteReference w:id="626"/>
      </w:r>
      <w:r w:rsidR="00182164" w:rsidRPr="00182164">
        <w:rPr>
          <w:lang w:val="en-GB"/>
        </w:rPr>
        <w:t xml:space="preserve"> and presumably this story refers to one of these other wells.</w:t>
      </w:r>
      <w:r w:rsidR="001D27DE">
        <w:rPr>
          <w:lang w:val="en-GB"/>
        </w:rPr>
        <w:t xml:space="preserve"> The solemnizing of a pact at Beer Sheba also makes it something of a sacred place if it was not one already, and thus v. 31 likely refers to it as a worship place, a </w:t>
      </w:r>
      <w:r w:rsidR="009A4B06">
        <w:rPr>
          <w:lang w:val="en-GB"/>
        </w:rPr>
        <w:t>“</w:t>
      </w:r>
      <w:r w:rsidR="001D27DE">
        <w:rPr>
          <w:lang w:val="en-GB"/>
        </w:rPr>
        <w:t>site</w:t>
      </w:r>
      <w:r w:rsidR="009A4B06">
        <w:rPr>
          <w:lang w:val="en-GB"/>
        </w:rPr>
        <w:t>”</w:t>
      </w:r>
      <w:r w:rsidR="001D27DE">
        <w:rPr>
          <w:lang w:val="en-GB"/>
        </w:rPr>
        <w:t xml:space="preserve"> (</w:t>
      </w:r>
      <w:r w:rsidR="001D27DE">
        <w:rPr>
          <w:i/>
          <w:lang w:val="en-GB"/>
        </w:rPr>
        <w:t>māqôm</w:t>
      </w:r>
      <w:r w:rsidR="001D27DE">
        <w:rPr>
          <w:lang w:val="en-GB"/>
        </w:rPr>
        <w:t>) and not merely a “pl</w:t>
      </w:r>
      <w:r w:rsidR="00BD650A">
        <w:rPr>
          <w:lang w:val="en-GB"/>
        </w:rPr>
        <w:t>ace” in the general sense. T</w:t>
      </w:r>
      <w:r w:rsidR="001D27DE">
        <w:rPr>
          <w:lang w:val="en-GB"/>
        </w:rPr>
        <w:t xml:space="preserve">he </w:t>
      </w:r>
      <w:r w:rsidR="001D27DE">
        <w:rPr>
          <w:lang w:val="en-GB"/>
        </w:rPr>
        <w:lastRenderedPageBreak/>
        <w:t>audience might be expected to make that assumption, given that Beer Sheba was later known as a sanctuary (e.g., Amos 5:5).</w:t>
      </w:r>
      <w:r w:rsidR="009A4B06">
        <w:rPr>
          <w:lang w:val="en-GB"/>
        </w:rPr>
        <w:t xml:space="preserve"> </w:t>
      </w:r>
      <w:r w:rsidR="00BD650A">
        <w:rPr>
          <w:lang w:val="en-GB"/>
        </w:rPr>
        <w:t>Abraham’s action in v. 33 will confirm it.</w:t>
      </w:r>
    </w:p>
    <w:p w14:paraId="60B3D8D8" w14:textId="490B0682" w:rsidR="00F93A40" w:rsidRDefault="000C6B9E" w:rsidP="00536A95">
      <w:pPr>
        <w:rPr>
          <w:lang w:val="en-GB"/>
        </w:rPr>
      </w:pPr>
      <w:r>
        <w:rPr>
          <w:lang w:val="en-GB"/>
        </w:rPr>
        <w:t>T</w:t>
      </w:r>
      <w:r w:rsidR="00F93A40">
        <w:rPr>
          <w:lang w:val="en-GB"/>
        </w:rPr>
        <w:t>he condition that Abimelek accepts (v.</w:t>
      </w:r>
      <w:r w:rsidR="009A4B06">
        <w:rPr>
          <w:lang w:val="en-GB"/>
        </w:rPr>
        <w:t xml:space="preserve"> 32) is that his forces and </w:t>
      </w:r>
      <w:r w:rsidR="00F93A40">
        <w:rPr>
          <w:lang w:val="en-GB"/>
        </w:rPr>
        <w:t>staff (and his flo</w:t>
      </w:r>
      <w:r>
        <w:rPr>
          <w:lang w:val="en-GB"/>
        </w:rPr>
        <w:t>ck and herd) withdraw from the B</w:t>
      </w:r>
      <w:r w:rsidR="00F93A40">
        <w:rPr>
          <w:lang w:val="en-GB"/>
        </w:rPr>
        <w:t>eer Sheba area and leave it to Abraham. The agreement is a kind of repeat of the arrangement between Abraham and Lot.</w:t>
      </w:r>
    </w:p>
    <w:p w14:paraId="6E92D219" w14:textId="78092A2C" w:rsidR="00737693" w:rsidRPr="00737693" w:rsidRDefault="00A7224E" w:rsidP="00737693">
      <w:r>
        <w:rPr>
          <w:b/>
          <w:lang w:val="en-GB"/>
        </w:rPr>
        <w:t xml:space="preserve">21:33-34. </w:t>
      </w:r>
      <w:proofErr w:type="gramStart"/>
      <w:r w:rsidR="00B343B9">
        <w:rPr>
          <w:lang w:val="en-GB"/>
        </w:rPr>
        <w:t>The</w:t>
      </w:r>
      <w:proofErr w:type="gramEnd"/>
      <w:r w:rsidR="00B343B9">
        <w:rPr>
          <w:lang w:val="en-GB"/>
        </w:rPr>
        <w:t xml:space="preserve"> story reaches</w:t>
      </w:r>
      <w:r w:rsidR="00995E32">
        <w:rPr>
          <w:lang w:val="en-GB"/>
        </w:rPr>
        <w:t xml:space="preserve"> its highpoint:</w:t>
      </w:r>
      <w:r w:rsidR="00995E32">
        <w:rPr>
          <w:rStyle w:val="FootnoteReference"/>
          <w:lang w:val="en-GB"/>
        </w:rPr>
        <w:footnoteReference w:id="627"/>
      </w:r>
      <w:r w:rsidR="00995E32">
        <w:rPr>
          <w:lang w:val="en-GB"/>
        </w:rPr>
        <w:t xml:space="preserve"> Abraham has secured the future of his company’s flock and secured his position in a non-aggression pact with the king</w:t>
      </w:r>
      <w:r w:rsidR="00B965D1">
        <w:rPr>
          <w:lang w:val="en-GB"/>
        </w:rPr>
        <w:t>.</w:t>
      </w:r>
      <w:r w:rsidR="009A4B06">
        <w:rPr>
          <w:lang w:val="en-GB"/>
        </w:rPr>
        <w:t xml:space="preserve"> The event is </w:t>
      </w:r>
      <w:r w:rsidR="00B965D1">
        <w:rPr>
          <w:lang w:val="en-GB"/>
        </w:rPr>
        <w:t>a further mark of Abraham’s entering into possession of the land of promise, even though he still lives there as a resident alien.</w:t>
      </w:r>
      <w:r w:rsidR="00B965D1">
        <w:rPr>
          <w:rStyle w:val="FootnoteReference"/>
          <w:lang w:val="en-GB"/>
        </w:rPr>
        <w:footnoteReference w:id="628"/>
      </w:r>
      <w:r w:rsidR="00B965D1">
        <w:rPr>
          <w:lang w:val="en-GB"/>
        </w:rPr>
        <w:t xml:space="preserve"> </w:t>
      </w:r>
      <w:r>
        <w:rPr>
          <w:lang w:val="en-GB"/>
        </w:rPr>
        <w:t xml:space="preserve">The tamarisk (which otherwise appears only in 1 Sam 22:6; 31:13) is a tall </w:t>
      </w:r>
      <w:r w:rsidR="00E427A6">
        <w:rPr>
          <w:lang w:val="en-GB"/>
        </w:rPr>
        <w:t xml:space="preserve">evergreen or </w:t>
      </w:r>
      <w:r>
        <w:rPr>
          <w:lang w:val="en-GB"/>
        </w:rPr>
        <w:t>deciduous tree</w:t>
      </w:r>
      <w:r w:rsidR="00E427A6">
        <w:rPr>
          <w:lang w:val="en-GB"/>
        </w:rPr>
        <w:t xml:space="preserve"> that grows </w:t>
      </w:r>
      <w:r w:rsidR="000C6B9E">
        <w:rPr>
          <w:lang w:val="en-GB"/>
        </w:rPr>
        <w:t>in rather dry areas, which would</w:t>
      </w:r>
      <w:r w:rsidR="00E427A6">
        <w:rPr>
          <w:lang w:val="en-GB"/>
        </w:rPr>
        <w:t xml:space="preserve"> explain Abraham’s planting of this species in the Beer Sheba area. Previously he has settled near existent tre</w:t>
      </w:r>
      <w:r w:rsidR="008B2313">
        <w:rPr>
          <w:lang w:val="en-GB"/>
        </w:rPr>
        <w:t>es (12:6; 13:18; 14:13; 18:1); for the first time he</w:t>
      </w:r>
      <w:r w:rsidR="00E427A6">
        <w:rPr>
          <w:lang w:val="en-GB"/>
        </w:rPr>
        <w:t xml:space="preserve"> plants one rather than building an altar (12:7, 8; 13:18)</w:t>
      </w:r>
      <w:r w:rsidR="000C6B9E">
        <w:rPr>
          <w:lang w:val="en-GB"/>
        </w:rPr>
        <w:t>,</w:t>
      </w:r>
      <w:r w:rsidR="00E427A6">
        <w:rPr>
          <w:lang w:val="en-GB"/>
        </w:rPr>
        <w:t xml:space="preserve"> and </w:t>
      </w:r>
      <w:r w:rsidR="000C6B9E">
        <w:rPr>
          <w:lang w:val="en-GB"/>
        </w:rPr>
        <w:t xml:space="preserve">he </w:t>
      </w:r>
      <w:r w:rsidR="00D65833">
        <w:rPr>
          <w:lang w:val="en-GB"/>
        </w:rPr>
        <w:t>calls there</w:t>
      </w:r>
      <w:r w:rsidR="00E427A6">
        <w:rPr>
          <w:lang w:val="en-GB"/>
        </w:rPr>
        <w:t xml:space="preserve"> </w:t>
      </w:r>
      <w:r w:rsidR="008B2313">
        <w:rPr>
          <w:lang w:val="en-GB"/>
        </w:rPr>
        <w:t>with the name Yahweh</w:t>
      </w:r>
      <w:r w:rsidR="00E427A6">
        <w:rPr>
          <w:lang w:val="en-GB"/>
        </w:rPr>
        <w:t xml:space="preserve"> (cf. 12:8, 13:4).</w:t>
      </w:r>
      <w:r w:rsidR="00D65833" w:rsidRPr="00D65833">
        <w:rPr>
          <w:vertAlign w:val="superscript"/>
        </w:rPr>
        <w:footnoteReference w:id="629"/>
      </w:r>
      <w:r w:rsidR="00E427A6">
        <w:rPr>
          <w:lang w:val="en-GB"/>
        </w:rPr>
        <w:t xml:space="preserve"> But h</w:t>
      </w:r>
      <w:r w:rsidR="00182164">
        <w:rPr>
          <w:lang w:val="en-GB"/>
        </w:rPr>
        <w:t>e</w:t>
      </w:r>
      <w:r w:rsidR="008B2313">
        <w:rPr>
          <w:lang w:val="en-GB"/>
        </w:rPr>
        <w:t xml:space="preserve"> has a new name for Yahweh (the</w:t>
      </w:r>
      <w:r w:rsidR="00E427A6">
        <w:rPr>
          <w:lang w:val="en-GB"/>
        </w:rPr>
        <w:t xml:space="preserve"> name he would not actually know)</w:t>
      </w:r>
      <w:r w:rsidR="00182164">
        <w:rPr>
          <w:lang w:val="en-GB"/>
        </w:rPr>
        <w:t xml:space="preserve">. </w:t>
      </w:r>
      <w:r w:rsidR="00182164" w:rsidRPr="00182164">
        <w:rPr>
          <w:lang w:val="en-GB"/>
        </w:rPr>
        <w:t>H</w:t>
      </w:r>
      <w:r w:rsidR="00182164">
        <w:rPr>
          <w:lang w:val="en-GB"/>
        </w:rPr>
        <w:t xml:space="preserve">e </w:t>
      </w:r>
      <w:r w:rsidR="00182164" w:rsidRPr="00182164">
        <w:rPr>
          <w:lang w:val="en-GB"/>
        </w:rPr>
        <w:t>prais</w:t>
      </w:r>
      <w:r w:rsidR="008B2313">
        <w:rPr>
          <w:lang w:val="en-GB"/>
        </w:rPr>
        <w:t>es</w:t>
      </w:r>
      <w:r w:rsidR="00182164">
        <w:rPr>
          <w:lang w:val="en-GB"/>
        </w:rPr>
        <w:t xml:space="preserve"> the one who is “</w:t>
      </w:r>
      <w:r w:rsidR="00FE3007">
        <w:rPr>
          <w:lang w:val="en-GB"/>
        </w:rPr>
        <w:t>Age-lo</w:t>
      </w:r>
      <w:r w:rsidR="009A4B06">
        <w:rPr>
          <w:lang w:val="en-GB"/>
        </w:rPr>
        <w:t>n</w:t>
      </w:r>
      <w:r w:rsidR="00FE3007">
        <w:rPr>
          <w:lang w:val="en-GB"/>
        </w:rPr>
        <w:t xml:space="preserve">g God,” God Forever. </w:t>
      </w:r>
      <w:r w:rsidR="00290765">
        <w:rPr>
          <w:lang w:val="en-GB"/>
        </w:rPr>
        <w:t xml:space="preserve">The title </w:t>
      </w:r>
      <w:r w:rsidR="00FE3007" w:rsidRPr="00995E32">
        <w:rPr>
          <w:i/>
        </w:rPr>
        <w:t>’ēl</w:t>
      </w:r>
      <w:r w:rsidR="00FE3007">
        <w:rPr>
          <w:i/>
          <w:lang w:val="en-GB"/>
        </w:rPr>
        <w:t xml:space="preserve"> ‘ôlām</w:t>
      </w:r>
      <w:r w:rsidR="00FE3007">
        <w:rPr>
          <w:lang w:val="en-GB"/>
        </w:rPr>
        <w:t xml:space="preserve"> </w:t>
      </w:r>
      <w:r w:rsidR="00290765">
        <w:rPr>
          <w:lang w:val="en-GB"/>
        </w:rPr>
        <w:t xml:space="preserve">compares with </w:t>
      </w:r>
      <w:r w:rsidR="00290765" w:rsidRPr="00290765">
        <w:rPr>
          <w:i/>
          <w:lang w:val="en-GB"/>
        </w:rPr>
        <w:t>’ēl</w:t>
      </w:r>
      <w:r w:rsidR="00290765">
        <w:rPr>
          <w:i/>
          <w:lang w:val="en-GB"/>
        </w:rPr>
        <w:t xml:space="preserve"> </w:t>
      </w:r>
      <w:r w:rsidR="00290765" w:rsidRPr="00290765">
        <w:rPr>
          <w:i/>
        </w:rPr>
        <w:t>’elyôn</w:t>
      </w:r>
      <w:r w:rsidR="00290765">
        <w:t xml:space="preserve">, </w:t>
      </w:r>
      <w:r w:rsidR="00290765" w:rsidRPr="00290765">
        <w:rPr>
          <w:i/>
        </w:rPr>
        <w:t>’ēl rŏ’î</w:t>
      </w:r>
      <w:r w:rsidR="00290765">
        <w:t xml:space="preserve">, and </w:t>
      </w:r>
      <w:r w:rsidR="00290765" w:rsidRPr="00290765">
        <w:rPr>
          <w:i/>
        </w:rPr>
        <w:t>’ēl š</w:t>
      </w:r>
      <w:r w:rsidR="00290765" w:rsidRPr="00290765">
        <w:rPr>
          <w:i/>
          <w:lang w:val="en-GB"/>
        </w:rPr>
        <w:t>adday</w:t>
      </w:r>
      <w:r w:rsidR="00290765">
        <w:rPr>
          <w:i/>
        </w:rPr>
        <w:t xml:space="preserve"> </w:t>
      </w:r>
      <w:r w:rsidR="00290765">
        <w:t>(14:</w:t>
      </w:r>
      <w:r w:rsidR="00F269A4">
        <w:t>18; 16:13; 17:1), names that follow the pattern of Canaani</w:t>
      </w:r>
      <w:r w:rsidR="008B2313">
        <w:t>te names for the top god—</w:t>
      </w:r>
      <w:r w:rsidR="00F269A4">
        <w:t>for Abraham, the only God.</w:t>
      </w:r>
      <w:r w:rsidR="00737693">
        <w:t xml:space="preserve"> </w:t>
      </w:r>
      <w:r w:rsidR="009A4B06">
        <w:rPr>
          <w:lang w:val="en-GB"/>
        </w:rPr>
        <w:t>LXX and Vg have “eternal God.” T</w:t>
      </w:r>
      <w:r w:rsidR="00737693" w:rsidRPr="00737693">
        <w:rPr>
          <w:lang w:val="en-GB"/>
        </w:rPr>
        <w:t>he phrase could imply a recog</w:t>
      </w:r>
      <w:r w:rsidR="008B2313">
        <w:rPr>
          <w:lang w:val="en-GB"/>
        </w:rPr>
        <w:t xml:space="preserve">nition that this God has </w:t>
      </w:r>
      <w:r w:rsidR="00737693" w:rsidRPr="00737693">
        <w:rPr>
          <w:lang w:val="en-GB"/>
        </w:rPr>
        <w:t xml:space="preserve">been God </w:t>
      </w:r>
      <w:r w:rsidR="008B2313">
        <w:rPr>
          <w:lang w:val="en-GB"/>
        </w:rPr>
        <w:t xml:space="preserve">from of old </w:t>
      </w:r>
      <w:r w:rsidR="00737693" w:rsidRPr="00737693">
        <w:rPr>
          <w:lang w:val="en-GB"/>
        </w:rPr>
        <w:t xml:space="preserve">(cf. </w:t>
      </w:r>
      <w:r w:rsidR="00737693" w:rsidRPr="00737693">
        <w:rPr>
          <w:i/>
          <w:lang w:val="en-GB"/>
        </w:rPr>
        <w:t>mē‘ôlām</w:t>
      </w:r>
      <w:r w:rsidR="00737693" w:rsidRPr="00737693">
        <w:rPr>
          <w:lang w:val="en-GB"/>
        </w:rPr>
        <w:t xml:space="preserve"> in 6:4 and the description of the one who has</w:t>
      </w:r>
      <w:r w:rsidR="009A4B06">
        <w:rPr>
          <w:lang w:val="en-GB"/>
        </w:rPr>
        <w:t xml:space="preserve"> been alive so long in Dan 7:9),</w:t>
      </w:r>
      <w:r w:rsidR="00737693" w:rsidRPr="00737693">
        <w:rPr>
          <w:vertAlign w:val="superscript"/>
          <w:lang w:val="en-GB"/>
        </w:rPr>
        <w:footnoteReference w:id="630"/>
      </w:r>
      <w:r w:rsidR="008B2313">
        <w:rPr>
          <w:lang w:val="en-GB"/>
        </w:rPr>
        <w:t xml:space="preserve"> But</w:t>
      </w:r>
      <w:r w:rsidR="00737693" w:rsidRPr="00737693">
        <w:rPr>
          <w:lang w:val="en-GB"/>
        </w:rPr>
        <w:t xml:space="preserve"> </w:t>
      </w:r>
      <w:r w:rsidR="00737693" w:rsidRPr="00737693">
        <w:rPr>
          <w:i/>
          <w:lang w:val="en-GB"/>
        </w:rPr>
        <w:t>‘ôlām</w:t>
      </w:r>
      <w:r w:rsidR="00737693" w:rsidRPr="00737693">
        <w:rPr>
          <w:lang w:val="en-GB"/>
        </w:rPr>
        <w:t xml:space="preserve"> characteristically focuses on the future (e.g., 3:22; 6:3; 9:12</w:t>
      </w:r>
      <w:r w:rsidR="009A4B06">
        <w:rPr>
          <w:lang w:val="en-GB"/>
        </w:rPr>
        <w:t>, 16; 13:18; 17:7, 8, 13, 19); t</w:t>
      </w:r>
      <w:r w:rsidR="00737693" w:rsidRPr="00737693">
        <w:rPr>
          <w:lang w:val="en-GB"/>
        </w:rPr>
        <w:t>he title designates God as one who will always be God.</w:t>
      </w:r>
      <w:r w:rsidR="00840C74">
        <w:rPr>
          <w:lang w:val="en-GB"/>
        </w:rPr>
        <w:t xml:space="preserve"> </w:t>
      </w:r>
      <w:r w:rsidR="00737693" w:rsidRPr="00520990">
        <w:rPr>
          <w:lang w:val="en-GB"/>
        </w:rPr>
        <w:t>A prayer for</w:t>
      </w:r>
      <w:r w:rsidR="00737693">
        <w:rPr>
          <w:lang w:val="en-GB"/>
        </w:rPr>
        <w:t xml:space="preserve"> the beginning of the day, ultimately going</w:t>
      </w:r>
      <w:r w:rsidR="00737693" w:rsidRPr="00520990">
        <w:rPr>
          <w:lang w:val="en-GB"/>
        </w:rPr>
        <w:t xml:space="preserve"> back at least to a prayer book compiled in Paris in the eighth century (the “</w:t>
      </w:r>
      <w:r w:rsidR="00737693" w:rsidRPr="0030273F">
        <w:t>Gelasian</w:t>
      </w:r>
      <w:r w:rsidR="00737693" w:rsidRPr="00520990">
        <w:rPr>
          <w:lang w:val="en-GB"/>
        </w:rPr>
        <w:t xml:space="preserve"> Sacramentary”)</w:t>
      </w:r>
      <w:r w:rsidR="00737693">
        <w:rPr>
          <w:lang w:val="en-GB"/>
        </w:rPr>
        <w:t>,</w:t>
      </w:r>
      <w:r w:rsidR="00737693" w:rsidRPr="00520990">
        <w:rPr>
          <w:lang w:val="en-GB"/>
        </w:rPr>
        <w:t xml:space="preserve"> asks “the all-powerful Father, the eternal God” to preserve us by his mighty power so that we may not fall into sin nor be overcome by adversity and that in all we do God may direct us to the fulfilling of his purpose. </w:t>
      </w:r>
      <w:r w:rsidR="00737693">
        <w:rPr>
          <w:lang w:val="en-GB"/>
        </w:rPr>
        <w:t>Particular</w:t>
      </w:r>
      <w:r w:rsidR="00737693" w:rsidRPr="00520990">
        <w:rPr>
          <w:lang w:val="en-GB"/>
        </w:rPr>
        <w:t xml:space="preserve"> experiences of God making things work out</w:t>
      </w:r>
      <w:r w:rsidR="00737693">
        <w:rPr>
          <w:lang w:val="en-GB"/>
        </w:rPr>
        <w:t xml:space="preserve"> buttress our conviction that the one who is eternal in the sense of being God forever will continue to fulfi</w:t>
      </w:r>
      <w:r w:rsidR="0030273F">
        <w:rPr>
          <w:lang w:val="en-GB"/>
        </w:rPr>
        <w:t xml:space="preserve">l </w:t>
      </w:r>
      <w:r w:rsidR="00737693">
        <w:rPr>
          <w:lang w:val="en-GB"/>
        </w:rPr>
        <w:t>his purpose.</w:t>
      </w:r>
    </w:p>
    <w:p w14:paraId="1192FE0C" w14:textId="77777777" w:rsidR="00182164" w:rsidRPr="00182164" w:rsidRDefault="00182164" w:rsidP="00182164">
      <w:pPr>
        <w:rPr>
          <w:lang w:val="en-GB"/>
        </w:rPr>
      </w:pPr>
      <w:r w:rsidRPr="00182164">
        <w:rPr>
          <w:lang w:val="en-GB"/>
        </w:rPr>
        <w:t>The concluding note (v. 34) closes off Gen 20—21 rather than relating to 21:22-33 in particular.</w:t>
      </w:r>
      <w:r w:rsidRPr="00182164">
        <w:rPr>
          <w:vertAlign w:val="superscript"/>
          <w:lang w:val="en-GB"/>
        </w:rPr>
        <w:footnoteReference w:id="631"/>
      </w:r>
      <w:r>
        <w:rPr>
          <w:lang w:val="en-GB"/>
        </w:rPr>
        <w:t xml:space="preserve"> In a broad sense, the entire </w:t>
      </w:r>
      <w:r w:rsidR="009542B9">
        <w:rPr>
          <w:lang w:val="en-GB"/>
        </w:rPr>
        <w:t>Negev</w:t>
      </w:r>
      <w:r>
        <w:rPr>
          <w:lang w:val="en-GB"/>
        </w:rPr>
        <w:t xml:space="preserve"> area is the territory of the “Philistines”—that is, the Canaanite groups</w:t>
      </w:r>
      <w:r w:rsidR="00A9559F">
        <w:rPr>
          <w:lang w:val="en-GB"/>
        </w:rPr>
        <w:t xml:space="preserve"> who lived in that region</w:t>
      </w:r>
      <w:r>
        <w:rPr>
          <w:lang w:val="en-GB"/>
        </w:rPr>
        <w:t xml:space="preserve">. But it looks as if Abraham has a secure position in the Beer Sheba region. </w:t>
      </w:r>
    </w:p>
    <w:p w14:paraId="4F28DAAA" w14:textId="77777777" w:rsidR="003A5710" w:rsidRDefault="003A5710">
      <w:pPr>
        <w:spacing w:after="200" w:line="276" w:lineRule="auto"/>
        <w:ind w:firstLine="0"/>
        <w:rPr>
          <w:rFonts w:ascii="Calibri" w:eastAsia="Times New Roman" w:hAnsi="Calibri" w:cs="Times New Roman"/>
          <w:szCs w:val="20"/>
          <w:lang w:val="en-GB"/>
        </w:rPr>
      </w:pPr>
      <w:r>
        <w:rPr>
          <w:lang w:val="en-GB"/>
        </w:rPr>
        <w:br w:type="page"/>
      </w:r>
    </w:p>
    <w:p w14:paraId="6D599076" w14:textId="77777777" w:rsidR="003A5710" w:rsidRDefault="003A5710" w:rsidP="003A5710">
      <w:pPr>
        <w:pStyle w:val="Heading1"/>
        <w:rPr>
          <w:lang w:bidi="he-IL"/>
        </w:rPr>
      </w:pPr>
      <w:r>
        <w:rPr>
          <w:lang w:bidi="he-IL"/>
        </w:rPr>
        <w:lastRenderedPageBreak/>
        <w:t>Genesi</w:t>
      </w:r>
      <w:r w:rsidR="000C5FE9">
        <w:rPr>
          <w:lang w:bidi="he-IL"/>
        </w:rPr>
        <w:t>s 22:1-19</w:t>
      </w:r>
      <w:r w:rsidR="00520990">
        <w:rPr>
          <w:lang w:bidi="he-IL"/>
        </w:rPr>
        <w:t>—Abraham and His Son (2</w:t>
      </w:r>
      <w:r>
        <w:rPr>
          <w:lang w:bidi="he-IL"/>
        </w:rPr>
        <w:t>)</w:t>
      </w:r>
    </w:p>
    <w:p w14:paraId="2007DD81" w14:textId="77777777" w:rsidR="003A5710" w:rsidRDefault="003A5710" w:rsidP="003A5710">
      <w:pPr>
        <w:rPr>
          <w:lang w:bidi="he-IL"/>
        </w:rPr>
      </w:pPr>
    </w:p>
    <w:p w14:paraId="68C96139" w14:textId="77777777" w:rsidR="00141055" w:rsidRPr="00DA695A" w:rsidRDefault="00141055" w:rsidP="00141055">
      <w:pPr>
        <w:pStyle w:val="Heading2"/>
        <w:rPr>
          <w:lang w:bidi="he-IL"/>
        </w:rPr>
      </w:pPr>
      <w:r>
        <w:rPr>
          <w:lang w:bidi="he-IL"/>
        </w:rPr>
        <w:t>Overview</w:t>
      </w:r>
    </w:p>
    <w:p w14:paraId="10A3ACDD" w14:textId="77777777" w:rsidR="00A551D3" w:rsidRPr="00275AD6" w:rsidRDefault="00F9756D" w:rsidP="008B2313">
      <w:pPr>
        <w:rPr>
          <w:rFonts w:ascii="TimesNewRomanPS-BoldMT" w:eastAsiaTheme="minorHAnsi" w:hAnsi="TimesNewRomanPS-BoldMT" w:cs="TimesNewRomanPS-BoldMT"/>
          <w:bCs/>
          <w:sz w:val="19"/>
          <w:szCs w:val="19"/>
        </w:rPr>
      </w:pPr>
      <w:r w:rsidRPr="00275AD6">
        <w:rPr>
          <w:lang w:val="en-GB" w:bidi="he-IL"/>
        </w:rPr>
        <w:t>The Abraham story is work</w:t>
      </w:r>
      <w:r w:rsidR="00A551D3" w:rsidRPr="00275AD6">
        <w:rPr>
          <w:lang w:val="en-GB" w:bidi="he-IL"/>
        </w:rPr>
        <w:t>ing towards its end. O</w:t>
      </w:r>
      <w:r w:rsidRPr="00275AD6">
        <w:rPr>
          <w:lang w:val="en-GB" w:bidi="he-IL"/>
        </w:rPr>
        <w:t>nly Sarah’s death</w:t>
      </w:r>
      <w:r w:rsidR="00A551D3" w:rsidRPr="00275AD6">
        <w:rPr>
          <w:lang w:val="en-GB" w:bidi="he-IL"/>
        </w:rPr>
        <w:t>,</w:t>
      </w:r>
      <w:r w:rsidRPr="00275AD6">
        <w:rPr>
          <w:lang w:val="en-GB" w:bidi="he-IL"/>
        </w:rPr>
        <w:t xml:space="preserve"> and the finding of wife for Isaac before Abraham dies</w:t>
      </w:r>
      <w:r w:rsidR="00A551D3" w:rsidRPr="00275AD6">
        <w:rPr>
          <w:lang w:val="en-GB" w:bidi="he-IL"/>
        </w:rPr>
        <w:t>, are to follow</w:t>
      </w:r>
      <w:r w:rsidRPr="00275AD6">
        <w:rPr>
          <w:lang w:val="en-GB" w:bidi="he-IL"/>
        </w:rPr>
        <w:t>.</w:t>
      </w:r>
      <w:r w:rsidR="00275AD6" w:rsidRPr="00275AD6">
        <w:rPr>
          <w:lang w:val="en-GB" w:bidi="he-IL"/>
        </w:rPr>
        <w:t xml:space="preserve"> But </w:t>
      </w:r>
      <w:r w:rsidR="00275AD6">
        <w:rPr>
          <w:lang w:val="en-GB" w:bidi="he-IL"/>
        </w:rPr>
        <w:t>“</w:t>
      </w:r>
      <w:r w:rsidR="00275AD6" w:rsidRPr="00275AD6">
        <w:rPr>
          <w:rFonts w:eastAsiaTheme="minorHAnsi" w:cs="TimesNewRomanPS-BoldMT"/>
          <w:bCs/>
        </w:rPr>
        <w:t>nothing prepares the audience for this dramatic turn of events in Genesis 22.</w:t>
      </w:r>
      <w:r w:rsidR="00275AD6">
        <w:rPr>
          <w:rFonts w:eastAsiaTheme="minorHAnsi" w:cs="TimesNewRomanPS-BoldMT"/>
          <w:bCs/>
        </w:rPr>
        <w:t>”</w:t>
      </w:r>
      <w:r w:rsidR="00275AD6">
        <w:rPr>
          <w:rStyle w:val="FootnoteReference"/>
          <w:rFonts w:eastAsiaTheme="minorHAnsi" w:cs="TimesNewRomanPS-BoldMT"/>
          <w:bCs/>
        </w:rPr>
        <w:footnoteReference w:id="632"/>
      </w:r>
      <w:r w:rsidRPr="00275AD6">
        <w:rPr>
          <w:lang w:val="en-GB" w:bidi="he-IL"/>
        </w:rPr>
        <w:t xml:space="preserve"> </w:t>
      </w:r>
      <w:r w:rsidR="00A551D3" w:rsidRPr="00275AD6">
        <w:rPr>
          <w:lang w:val="en-GB" w:bidi="he-IL"/>
        </w:rPr>
        <w:t xml:space="preserve">Whereas </w:t>
      </w:r>
      <w:r w:rsidR="00520A6B" w:rsidRPr="00275AD6">
        <w:rPr>
          <w:lang w:bidi="he-IL"/>
        </w:rPr>
        <w:t xml:space="preserve">God </w:t>
      </w:r>
      <w:r w:rsidR="008D6CD9" w:rsidRPr="00275AD6">
        <w:rPr>
          <w:lang w:bidi="he-IL"/>
        </w:rPr>
        <w:t xml:space="preserve">had in effect </w:t>
      </w:r>
      <w:r w:rsidR="00520A6B" w:rsidRPr="00275AD6">
        <w:rPr>
          <w:lang w:bidi="he-IL"/>
        </w:rPr>
        <w:t>tested Abraham by requiring him to yield to Sarah’s need to remove Ishmael from the picture of thei</w:t>
      </w:r>
      <w:r w:rsidR="00A551D3" w:rsidRPr="00275AD6">
        <w:rPr>
          <w:lang w:bidi="he-IL"/>
        </w:rPr>
        <w:t>r life and future as a family, n</w:t>
      </w:r>
      <w:r w:rsidR="00520A6B" w:rsidRPr="00275AD6">
        <w:rPr>
          <w:lang w:bidi="he-IL"/>
        </w:rPr>
        <w:t xml:space="preserve">ow God explicitly tests Abraham by </w:t>
      </w:r>
      <w:r w:rsidR="00520A6B">
        <w:rPr>
          <w:lang w:bidi="he-IL"/>
        </w:rPr>
        <w:t>requiring him to remove Isaac from the picture. A</w:t>
      </w:r>
      <w:r w:rsidR="008D6CD9">
        <w:rPr>
          <w:lang w:bidi="he-IL"/>
        </w:rPr>
        <w:t xml:space="preserve">s happened with Ishmael, when Abraham has proved himself God </w:t>
      </w:r>
      <w:r>
        <w:rPr>
          <w:lang w:bidi="he-IL"/>
        </w:rPr>
        <w:t>relents of requir</w:t>
      </w:r>
      <w:r w:rsidR="00520A6B">
        <w:rPr>
          <w:lang w:bidi="he-IL"/>
        </w:rPr>
        <w:t xml:space="preserve">ing Abraham </w:t>
      </w:r>
      <w:r w:rsidR="00A551D3">
        <w:rPr>
          <w:lang w:bidi="he-IL"/>
        </w:rPr>
        <w:t xml:space="preserve">to </w:t>
      </w:r>
      <w:r w:rsidR="00520A6B">
        <w:rPr>
          <w:lang w:bidi="he-IL"/>
        </w:rPr>
        <w:t>make the ultimate sacrifice of his son.</w:t>
      </w:r>
      <w:r w:rsidR="00752A7D">
        <w:rPr>
          <w:lang w:bidi="he-IL"/>
        </w:rPr>
        <w:t xml:space="preserve"> </w:t>
      </w:r>
    </w:p>
    <w:p w14:paraId="722B5600" w14:textId="77777777" w:rsidR="00752A7D" w:rsidRPr="00752A7D" w:rsidRDefault="00752A7D" w:rsidP="00752A7D">
      <w:pPr>
        <w:rPr>
          <w:lang w:val="en-GB" w:bidi="he-IL"/>
        </w:rPr>
      </w:pPr>
      <w:r>
        <w:rPr>
          <w:lang w:bidi="he-IL"/>
        </w:rPr>
        <w:t xml:space="preserve">I follow MT which </w:t>
      </w:r>
      <w:r w:rsidRPr="00752A7D">
        <w:rPr>
          <w:lang w:val="en-GB" w:bidi="he-IL"/>
        </w:rPr>
        <w:t xml:space="preserve">makes </w:t>
      </w:r>
      <w:r w:rsidR="008602D6">
        <w:rPr>
          <w:lang w:val="en-GB" w:bidi="he-IL"/>
        </w:rPr>
        <w:t>22:1-19 a unit</w:t>
      </w:r>
      <w:r>
        <w:rPr>
          <w:lang w:val="en-GB" w:bidi="he-IL"/>
        </w:rPr>
        <w:t xml:space="preserve"> and </w:t>
      </w:r>
      <w:r w:rsidRPr="00752A7D">
        <w:rPr>
          <w:lang w:val="en-GB" w:bidi="he-IL"/>
        </w:rPr>
        <w:t>links 22:20-24 with the story of Sarah’s death and the finding of</w:t>
      </w:r>
      <w:r>
        <w:rPr>
          <w:lang w:val="en-GB" w:bidi="he-IL"/>
        </w:rPr>
        <w:t xml:space="preserve"> a wife for Isaac, which follow</w:t>
      </w:r>
      <w:r w:rsidRPr="00752A7D">
        <w:rPr>
          <w:lang w:val="en-GB" w:bidi="he-IL"/>
        </w:rPr>
        <w:t>.</w:t>
      </w:r>
    </w:p>
    <w:p w14:paraId="038F354A" w14:textId="77777777" w:rsidR="003A5710" w:rsidRDefault="003A5710" w:rsidP="003A5710">
      <w:pPr>
        <w:pStyle w:val="Heading2"/>
        <w:tabs>
          <w:tab w:val="left" w:pos="6690"/>
        </w:tabs>
      </w:pPr>
      <w:r w:rsidRPr="00DA695A">
        <w:rPr>
          <w:lang w:bidi="he-IL"/>
        </w:rPr>
        <w:t>Translation</w:t>
      </w:r>
    </w:p>
    <w:p w14:paraId="27FC11F4" w14:textId="79AC6B21" w:rsidR="003A5710" w:rsidRPr="003A5710" w:rsidRDefault="00520A6B" w:rsidP="003A5710">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w:t>
      </w:r>
      <w:r>
        <w:rPr>
          <w:rFonts w:ascii="Calibri" w:eastAsia="Times New Roman" w:hAnsi="Calibri" w:cs="Times New Roman"/>
          <w:szCs w:val="18"/>
          <w:lang w:val="en-GB" w:bidi="he-IL"/>
        </w:rPr>
        <w:t>Su</w:t>
      </w:r>
      <w:r w:rsidR="003A5710" w:rsidRPr="003A5710">
        <w:rPr>
          <w:rFonts w:ascii="Calibri" w:eastAsia="Times New Roman" w:hAnsi="Calibri" w:cs="Times New Roman"/>
          <w:szCs w:val="18"/>
          <w:lang w:val="en-GB" w:bidi="he-IL"/>
        </w:rPr>
        <w:t>bsequently,</w:t>
      </w:r>
      <w:r w:rsidR="005230F8">
        <w:rPr>
          <w:rStyle w:val="FootnoteReference"/>
          <w:rFonts w:ascii="Calibri" w:eastAsia="Times New Roman" w:hAnsi="Calibri" w:cs="Times New Roman"/>
          <w:szCs w:val="18"/>
          <w:lang w:val="en-GB" w:bidi="he-IL"/>
        </w:rPr>
        <w:footnoteReference w:id="633"/>
      </w:r>
      <w:r w:rsidR="003A5710" w:rsidRPr="003A5710">
        <w:rPr>
          <w:rFonts w:ascii="Calibri" w:eastAsia="Times New Roman" w:hAnsi="Calibri" w:cs="Times New Roman"/>
          <w:szCs w:val="18"/>
          <w:lang w:val="en-GB" w:bidi="he-IL"/>
        </w:rPr>
        <w:t xml:space="preserve"> God t</w:t>
      </w:r>
      <w:r w:rsidR="006E12EB">
        <w:rPr>
          <w:rFonts w:ascii="Calibri" w:eastAsia="Times New Roman" w:hAnsi="Calibri" w:cs="Times New Roman"/>
          <w:szCs w:val="18"/>
          <w:lang w:val="en-GB" w:bidi="he-IL"/>
        </w:rPr>
        <w:t>ested Abraham.</w:t>
      </w:r>
      <w:r w:rsidR="003D2F68">
        <w:rPr>
          <w:rStyle w:val="FootnoteReference"/>
          <w:rFonts w:ascii="Calibri" w:eastAsia="Times New Roman" w:hAnsi="Calibri" w:cs="Times New Roman"/>
          <w:szCs w:val="18"/>
          <w:lang w:val="en-GB" w:bidi="he-IL"/>
        </w:rPr>
        <w:footnoteReference w:id="634"/>
      </w:r>
      <w:r w:rsidR="006E12EB">
        <w:rPr>
          <w:rFonts w:ascii="Calibri" w:eastAsia="Times New Roman" w:hAnsi="Calibri" w:cs="Times New Roman"/>
          <w:szCs w:val="18"/>
          <w:lang w:val="en-GB" w:bidi="he-IL"/>
        </w:rPr>
        <w:t xml:space="preserve"> H</w:t>
      </w:r>
      <w:r w:rsidR="003D2F68">
        <w:rPr>
          <w:rFonts w:ascii="Calibri" w:eastAsia="Times New Roman" w:hAnsi="Calibri" w:cs="Times New Roman"/>
          <w:szCs w:val="18"/>
          <w:lang w:val="en-GB" w:bidi="he-IL"/>
        </w:rPr>
        <w:t>e</w:t>
      </w:r>
      <w:r>
        <w:rPr>
          <w:rFonts w:ascii="Calibri" w:eastAsia="Times New Roman" w:hAnsi="Calibri" w:cs="Times New Roman"/>
          <w:szCs w:val="18"/>
          <w:lang w:val="en-GB" w:bidi="he-IL"/>
        </w:rPr>
        <w:t xml:space="preserve"> said to him, “Abraham!” He said, “I’m here</w:t>
      </w:r>
      <w:r w:rsidR="003A5710" w:rsidRPr="003A5710">
        <w:rPr>
          <w:rFonts w:ascii="Calibri" w:eastAsia="Times New Roman" w:hAnsi="Calibri" w:cs="Times New Roman"/>
          <w:szCs w:val="18"/>
          <w:lang w:val="en-GB" w:bidi="he-IL"/>
        </w:rPr>
        <w:t>.</w:t>
      </w:r>
      <w:r>
        <w:rPr>
          <w:rFonts w:ascii="Calibri" w:eastAsia="Times New Roman" w:hAnsi="Calibri" w:cs="Times New Roman"/>
          <w:szCs w:val="18"/>
          <w:lang w:val="en-GB" w:bidi="he-IL"/>
        </w:rPr>
        <w:t>”</w:t>
      </w:r>
      <w:r w:rsidR="001D54D0">
        <w:rPr>
          <w:rStyle w:val="FootnoteReference"/>
          <w:rFonts w:ascii="Calibri" w:eastAsia="Times New Roman" w:hAnsi="Calibri" w:cs="Times New Roman"/>
          <w:szCs w:val="18"/>
          <w:lang w:val="en-GB" w:bidi="he-IL"/>
        </w:rPr>
        <w:footnoteReference w:id="635"/>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2</w:t>
      </w:r>
      <w:r w:rsidR="003A5710" w:rsidRPr="003A5710">
        <w:rPr>
          <w:rFonts w:ascii="Calibri" w:eastAsia="Times New Roman" w:hAnsi="Calibri" w:cs="Times New Roman"/>
          <w:szCs w:val="18"/>
          <w:lang w:val="en-GB" w:bidi="he-IL"/>
        </w:rPr>
        <w:t>He said,</w:t>
      </w:r>
      <w:r>
        <w:rPr>
          <w:rFonts w:ascii="Calibri" w:eastAsia="Times New Roman" w:hAnsi="Calibri" w:cs="Times New Roman"/>
          <w:szCs w:val="18"/>
          <w:lang w:val="en-GB" w:bidi="he-IL"/>
        </w:rPr>
        <w:t xml:space="preserve"> “</w:t>
      </w:r>
      <w:r w:rsidR="00727890">
        <w:rPr>
          <w:rFonts w:ascii="Calibri" w:eastAsia="Times New Roman" w:hAnsi="Calibri" w:cs="Times New Roman"/>
          <w:szCs w:val="18"/>
          <w:lang w:val="en-GB" w:bidi="he-IL"/>
        </w:rPr>
        <w:t>Please get</w:t>
      </w:r>
      <w:r w:rsidR="003A5710" w:rsidRPr="003A5710">
        <w:rPr>
          <w:rFonts w:ascii="Calibri" w:eastAsia="Times New Roman" w:hAnsi="Calibri" w:cs="Times New Roman"/>
          <w:szCs w:val="18"/>
          <w:lang w:val="en-GB" w:bidi="he-IL"/>
        </w:rPr>
        <w:t xml:space="preserve"> your son, your only one,</w:t>
      </w:r>
      <w:r w:rsidR="000B79EA">
        <w:rPr>
          <w:rStyle w:val="FootnoteReference"/>
          <w:rFonts w:ascii="Calibri" w:eastAsia="Times New Roman" w:hAnsi="Calibri" w:cs="Times New Roman"/>
          <w:szCs w:val="18"/>
          <w:lang w:val="en-GB" w:bidi="he-IL"/>
        </w:rPr>
        <w:footnoteReference w:id="636"/>
      </w:r>
      <w:r w:rsidR="003A5710" w:rsidRPr="003A5710">
        <w:rPr>
          <w:rFonts w:ascii="Calibri" w:eastAsia="Times New Roman" w:hAnsi="Calibri" w:cs="Times New Roman"/>
          <w:szCs w:val="18"/>
          <w:lang w:val="en-GB" w:bidi="he-IL"/>
        </w:rPr>
        <w:t xml:space="preserve"> the one yo</w:t>
      </w:r>
      <w:r w:rsidR="00EA58A4">
        <w:rPr>
          <w:rFonts w:ascii="Calibri" w:eastAsia="Times New Roman" w:hAnsi="Calibri" w:cs="Times New Roman"/>
          <w:szCs w:val="18"/>
          <w:lang w:val="en-GB" w:bidi="he-IL"/>
        </w:rPr>
        <w:t xml:space="preserve">u love, </w:t>
      </w:r>
      <w:r w:rsidR="00EA58A4" w:rsidRPr="00EA58A4">
        <w:rPr>
          <w:rFonts w:ascii="Calibri" w:eastAsia="Times New Roman" w:hAnsi="Calibri" w:cs="Times New Roman"/>
          <w:szCs w:val="18"/>
          <w:lang w:val="en-GB" w:bidi="he-IL"/>
        </w:rPr>
        <w:t>Yiṣḥaq</w:t>
      </w:r>
      <w:r w:rsidR="00A14EC3">
        <w:rPr>
          <w:rFonts w:ascii="Calibri" w:eastAsia="Times New Roman" w:hAnsi="Calibri" w:cs="Times New Roman"/>
          <w:szCs w:val="18"/>
          <w:lang w:val="en-GB" w:bidi="he-IL"/>
        </w:rPr>
        <w:t>, take</w:t>
      </w:r>
      <w:r w:rsidR="00866199">
        <w:rPr>
          <w:rFonts w:ascii="Calibri" w:eastAsia="Times New Roman" w:hAnsi="Calibri" w:cs="Times New Roman"/>
          <w:szCs w:val="18"/>
          <w:lang w:val="en-GB" w:bidi="he-IL"/>
        </w:rPr>
        <w:t xml:space="preserve"> yourself </w:t>
      </w:r>
      <w:r w:rsidR="008D6CD9">
        <w:rPr>
          <w:rFonts w:ascii="Calibri" w:eastAsia="Times New Roman" w:hAnsi="Calibri" w:cs="Times New Roman"/>
          <w:szCs w:val="18"/>
          <w:lang w:val="en-GB" w:bidi="he-IL"/>
        </w:rPr>
        <w:t>to the Epiphany r</w:t>
      </w:r>
      <w:r w:rsidR="003A5710" w:rsidRPr="003A5710">
        <w:rPr>
          <w:rFonts w:ascii="Calibri" w:eastAsia="Times New Roman" w:hAnsi="Calibri" w:cs="Times New Roman"/>
          <w:szCs w:val="18"/>
          <w:lang w:val="en-GB" w:bidi="he-IL"/>
        </w:rPr>
        <w:t>egion,</w:t>
      </w:r>
      <w:r w:rsidR="00D936A1">
        <w:rPr>
          <w:rStyle w:val="FootnoteReference"/>
          <w:rFonts w:ascii="Calibri" w:eastAsia="Times New Roman" w:hAnsi="Calibri" w:cs="Times New Roman"/>
          <w:szCs w:val="18"/>
          <w:lang w:val="en-GB" w:bidi="he-IL"/>
        </w:rPr>
        <w:footnoteReference w:id="637"/>
      </w:r>
      <w:r w:rsidR="003A5710" w:rsidRPr="003A5710">
        <w:rPr>
          <w:rFonts w:ascii="Calibri" w:eastAsia="Times New Roman" w:hAnsi="Calibri" w:cs="Times New Roman"/>
          <w:szCs w:val="18"/>
          <w:lang w:val="en-GB" w:bidi="he-IL"/>
        </w:rPr>
        <w:t xml:space="preserve"> and offer him up as a burnt offering there, on one of the mo</w:t>
      </w:r>
      <w:r w:rsidR="00D859B2">
        <w:rPr>
          <w:rFonts w:ascii="Calibri" w:eastAsia="Times New Roman" w:hAnsi="Calibri" w:cs="Times New Roman"/>
          <w:szCs w:val="18"/>
          <w:lang w:val="en-GB" w:bidi="he-IL"/>
        </w:rPr>
        <w:t>untains that I wi</w:t>
      </w:r>
      <w:r>
        <w:rPr>
          <w:rFonts w:ascii="Calibri" w:eastAsia="Times New Roman" w:hAnsi="Calibri" w:cs="Times New Roman"/>
          <w:szCs w:val="18"/>
          <w:lang w:val="en-GB" w:bidi="he-IL"/>
        </w:rPr>
        <w:t>ll say to you</w:t>
      </w:r>
      <w:r w:rsidR="003A5710" w:rsidRPr="003A5710">
        <w:rPr>
          <w:rFonts w:ascii="Calibri" w:eastAsia="Times New Roman" w:hAnsi="Calibri" w:cs="Times New Roman"/>
          <w:szCs w:val="18"/>
          <w:lang w:val="en-GB" w:bidi="he-IL"/>
        </w:rPr>
        <w:t>.</w:t>
      </w:r>
      <w:r>
        <w:rPr>
          <w:rFonts w:ascii="Calibri" w:eastAsia="Times New Roman" w:hAnsi="Calibri" w:cs="Times New Roman"/>
          <w:szCs w:val="18"/>
          <w:lang w:val="en-GB" w:bidi="he-IL"/>
        </w:rPr>
        <w:t>”</w:t>
      </w:r>
      <w:r w:rsidR="003A5710" w:rsidRPr="003A5710">
        <w:rPr>
          <w:rFonts w:ascii="Calibri" w:eastAsia="Times New Roman" w:hAnsi="Calibri" w:cs="Times New Roman"/>
          <w:szCs w:val="18"/>
          <w:lang w:val="en-GB" w:bidi="he-IL"/>
        </w:rPr>
        <w:t xml:space="preserve"> </w:t>
      </w:r>
    </w:p>
    <w:p w14:paraId="0C498EB7" w14:textId="5885D219" w:rsidR="00D65943" w:rsidRDefault="00520A6B" w:rsidP="003A5710">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3</w:t>
      </w:r>
      <w:r w:rsidR="00A14EC3">
        <w:rPr>
          <w:rFonts w:ascii="Calibri" w:eastAsia="Times New Roman" w:hAnsi="Calibri" w:cs="Times New Roman"/>
          <w:szCs w:val="18"/>
          <w:lang w:val="en-GB" w:bidi="he-IL"/>
        </w:rPr>
        <w:t>So A</w:t>
      </w:r>
      <w:r w:rsidR="003A5710" w:rsidRPr="003A5710">
        <w:rPr>
          <w:rFonts w:ascii="Calibri" w:eastAsia="Times New Roman" w:hAnsi="Calibri" w:cs="Times New Roman"/>
          <w:szCs w:val="18"/>
          <w:lang w:val="en-GB" w:bidi="he-IL"/>
        </w:rPr>
        <w:t>braham started early in the morning, saddled his donkey</w:t>
      </w:r>
      <w:r w:rsidR="00C01BA6">
        <w:rPr>
          <w:rFonts w:ascii="Calibri" w:eastAsia="Times New Roman" w:hAnsi="Calibri" w:cs="Times New Roman"/>
          <w:szCs w:val="18"/>
          <w:lang w:val="en-GB" w:bidi="he-IL"/>
        </w:rPr>
        <w:t>,</w:t>
      </w:r>
      <w:r w:rsidR="00727890">
        <w:rPr>
          <w:rFonts w:ascii="Calibri" w:eastAsia="Times New Roman" w:hAnsi="Calibri" w:cs="Times New Roman"/>
          <w:szCs w:val="18"/>
          <w:lang w:val="en-GB" w:bidi="he-IL"/>
        </w:rPr>
        <w:t xml:space="preserve"> and got</w:t>
      </w:r>
      <w:r w:rsidR="003A5710" w:rsidRPr="003A5710">
        <w:rPr>
          <w:rFonts w:ascii="Calibri" w:eastAsia="Times New Roman" w:hAnsi="Calibri" w:cs="Times New Roman"/>
          <w:szCs w:val="18"/>
          <w:lang w:val="en-GB" w:bidi="he-IL"/>
        </w:rPr>
        <w:t xml:space="preserve"> two</w:t>
      </w:r>
      <w:r w:rsidR="00F9756D">
        <w:rPr>
          <w:rFonts w:ascii="Calibri" w:eastAsia="Times New Roman" w:hAnsi="Calibri" w:cs="Times New Roman"/>
          <w:szCs w:val="18"/>
          <w:lang w:val="en-GB" w:bidi="he-IL"/>
        </w:rPr>
        <w:t xml:space="preserve"> of his boys with him, and </w:t>
      </w:r>
      <w:r w:rsidR="00F9756D" w:rsidRPr="00F9756D">
        <w:rPr>
          <w:rFonts w:ascii="Calibri" w:eastAsia="Times New Roman" w:hAnsi="Calibri" w:cs="Times New Roman"/>
          <w:szCs w:val="18"/>
          <w:lang w:val="en-GB" w:bidi="he-IL"/>
        </w:rPr>
        <w:t>Yiṣḥaq</w:t>
      </w:r>
      <w:r w:rsidR="003A5710" w:rsidRPr="003A5710">
        <w:rPr>
          <w:rFonts w:ascii="Calibri" w:eastAsia="Times New Roman" w:hAnsi="Calibri" w:cs="Times New Roman"/>
          <w:szCs w:val="18"/>
          <w:lang w:val="en-GB" w:bidi="he-IL"/>
        </w:rPr>
        <w:t xml:space="preserve"> his son. He cut the wood for the burnt offering, set off, and went to th</w:t>
      </w:r>
      <w:r w:rsidR="00C01BA6">
        <w:rPr>
          <w:rFonts w:ascii="Calibri" w:eastAsia="Times New Roman" w:hAnsi="Calibri" w:cs="Times New Roman"/>
          <w:szCs w:val="18"/>
          <w:lang w:val="en-GB" w:bidi="he-IL"/>
        </w:rPr>
        <w:t>e sit</w:t>
      </w:r>
      <w:r>
        <w:rPr>
          <w:rFonts w:ascii="Calibri" w:eastAsia="Times New Roman" w:hAnsi="Calibri" w:cs="Times New Roman"/>
          <w:szCs w:val="18"/>
          <w:lang w:val="en-GB" w:bidi="he-IL"/>
        </w:rPr>
        <w:t xml:space="preserve">e that God said to him. </w:t>
      </w:r>
      <w:r>
        <w:rPr>
          <w:rFonts w:ascii="Calibri" w:eastAsia="Times New Roman" w:hAnsi="Calibri" w:cs="Times New Roman"/>
          <w:szCs w:val="18"/>
          <w:vertAlign w:val="superscript"/>
          <w:lang w:val="en-GB" w:bidi="he-IL"/>
        </w:rPr>
        <w:t>4</w:t>
      </w:r>
      <w:r w:rsidR="003A5710" w:rsidRPr="003A5710">
        <w:rPr>
          <w:rFonts w:ascii="Calibri" w:eastAsia="Times New Roman" w:hAnsi="Calibri" w:cs="Times New Roman"/>
          <w:szCs w:val="18"/>
          <w:lang w:val="en-GB" w:bidi="he-IL"/>
        </w:rPr>
        <w:t>On the third day, Abraham lifted his eyes and s</w:t>
      </w:r>
      <w:r w:rsidR="00C01BA6">
        <w:rPr>
          <w:rFonts w:ascii="Calibri" w:eastAsia="Times New Roman" w:hAnsi="Calibri" w:cs="Times New Roman"/>
          <w:szCs w:val="18"/>
          <w:lang w:val="en-GB" w:bidi="he-IL"/>
        </w:rPr>
        <w:t>aw the sit</w:t>
      </w:r>
      <w:r>
        <w:rPr>
          <w:rFonts w:ascii="Calibri" w:eastAsia="Times New Roman" w:hAnsi="Calibri" w:cs="Times New Roman"/>
          <w:szCs w:val="18"/>
          <w:lang w:val="en-GB" w:bidi="he-IL"/>
        </w:rPr>
        <w:t xml:space="preserve">e from a distance. </w:t>
      </w:r>
      <w:r>
        <w:rPr>
          <w:rFonts w:ascii="Calibri" w:eastAsia="Times New Roman" w:hAnsi="Calibri" w:cs="Times New Roman"/>
          <w:szCs w:val="18"/>
          <w:vertAlign w:val="superscript"/>
          <w:lang w:val="en-GB" w:bidi="he-IL"/>
        </w:rPr>
        <w:t>5</w:t>
      </w:r>
      <w:r w:rsidR="00EC2AB7">
        <w:rPr>
          <w:rFonts w:ascii="Calibri" w:eastAsia="Times New Roman" w:hAnsi="Calibri" w:cs="Times New Roman"/>
          <w:szCs w:val="18"/>
          <w:lang w:val="en-GB" w:bidi="he-IL"/>
        </w:rPr>
        <w:t xml:space="preserve">Abraham said to his </w:t>
      </w:r>
      <w:r w:rsidR="00EC2AB7">
        <w:rPr>
          <w:rFonts w:ascii="Calibri" w:eastAsia="Times New Roman" w:hAnsi="Calibri" w:cs="Times New Roman"/>
          <w:szCs w:val="18"/>
          <w:lang w:val="en-GB" w:bidi="he-IL"/>
        </w:rPr>
        <w:lastRenderedPageBreak/>
        <w:t>boys, “</w:t>
      </w:r>
      <w:r w:rsidR="006841BF">
        <w:rPr>
          <w:rFonts w:ascii="Calibri" w:eastAsia="Times New Roman" w:hAnsi="Calibri" w:cs="Times New Roman"/>
          <w:szCs w:val="18"/>
          <w:lang w:val="en-GB" w:bidi="he-IL"/>
        </w:rPr>
        <w:t xml:space="preserve">You stay here with the donkey, while </w:t>
      </w:r>
      <w:r w:rsidR="00A14EC3">
        <w:rPr>
          <w:rFonts w:ascii="Calibri" w:eastAsia="Times New Roman" w:hAnsi="Calibri" w:cs="Times New Roman"/>
          <w:szCs w:val="18"/>
          <w:lang w:val="en-GB" w:bidi="he-IL"/>
        </w:rPr>
        <w:t xml:space="preserve">I and </w:t>
      </w:r>
      <w:r w:rsidR="006841BF">
        <w:rPr>
          <w:rFonts w:ascii="Calibri" w:eastAsia="Times New Roman" w:hAnsi="Calibri" w:cs="Times New Roman"/>
          <w:szCs w:val="18"/>
          <w:lang w:val="en-GB" w:bidi="he-IL"/>
        </w:rPr>
        <w:t>t</w:t>
      </w:r>
      <w:r w:rsidR="00A14EC3">
        <w:rPr>
          <w:rFonts w:ascii="Calibri" w:eastAsia="Times New Roman" w:hAnsi="Calibri" w:cs="Times New Roman"/>
          <w:szCs w:val="18"/>
          <w:lang w:val="en-GB" w:bidi="he-IL"/>
        </w:rPr>
        <w:t xml:space="preserve">he boy </w:t>
      </w:r>
      <w:r w:rsidR="003A5710" w:rsidRPr="003A5710">
        <w:rPr>
          <w:rFonts w:ascii="Calibri" w:eastAsia="Times New Roman" w:hAnsi="Calibri" w:cs="Times New Roman"/>
          <w:szCs w:val="18"/>
          <w:lang w:val="en-GB" w:bidi="he-IL"/>
        </w:rPr>
        <w:t>will go over there and bo</w:t>
      </w:r>
      <w:r>
        <w:rPr>
          <w:rFonts w:ascii="Calibri" w:eastAsia="Times New Roman" w:hAnsi="Calibri" w:cs="Times New Roman"/>
          <w:szCs w:val="18"/>
          <w:lang w:val="en-GB" w:bidi="he-IL"/>
        </w:rPr>
        <w:t>w low,</w:t>
      </w:r>
      <w:r w:rsidR="00BD650A">
        <w:rPr>
          <w:rStyle w:val="FootnoteReference"/>
          <w:rFonts w:ascii="Calibri" w:eastAsia="Times New Roman" w:hAnsi="Calibri" w:cs="Times New Roman"/>
          <w:szCs w:val="18"/>
          <w:lang w:val="en-GB" w:bidi="he-IL"/>
        </w:rPr>
        <w:footnoteReference w:id="638"/>
      </w:r>
      <w:r w:rsidR="00EC2AB7">
        <w:rPr>
          <w:rFonts w:ascii="Calibri" w:eastAsia="Times New Roman" w:hAnsi="Calibri" w:cs="Times New Roman"/>
          <w:szCs w:val="18"/>
          <w:lang w:val="en-GB" w:bidi="he-IL"/>
        </w:rPr>
        <w:t xml:space="preserve"> and come back to you.”</w:t>
      </w:r>
      <w:r>
        <w:rPr>
          <w:rFonts w:ascii="Calibri" w:eastAsia="Times New Roman" w:hAnsi="Calibri" w:cs="Times New Roman"/>
          <w:szCs w:val="18"/>
          <w:lang w:val="en-GB" w:bidi="he-IL"/>
        </w:rPr>
        <w:t xml:space="preserve"> </w:t>
      </w:r>
    </w:p>
    <w:p w14:paraId="7CF4CA7C" w14:textId="62701636" w:rsidR="003A5710" w:rsidRPr="003A5710" w:rsidRDefault="00520A6B" w:rsidP="003A5710">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6</w:t>
      </w:r>
      <w:r w:rsidR="003A5710" w:rsidRPr="003A5710">
        <w:rPr>
          <w:rFonts w:ascii="Calibri" w:eastAsia="Times New Roman" w:hAnsi="Calibri" w:cs="Times New Roman"/>
          <w:szCs w:val="18"/>
          <w:lang w:val="en-GB" w:bidi="he-IL"/>
        </w:rPr>
        <w:t xml:space="preserve">Abraham </w:t>
      </w:r>
      <w:r w:rsidR="004002A3">
        <w:rPr>
          <w:rFonts w:ascii="Calibri" w:eastAsia="Times New Roman" w:hAnsi="Calibri" w:cs="Times New Roman"/>
          <w:szCs w:val="18"/>
          <w:lang w:val="en-GB" w:bidi="he-IL"/>
        </w:rPr>
        <w:t>got</w:t>
      </w:r>
      <w:r w:rsidR="003A5710" w:rsidRPr="003A5710">
        <w:rPr>
          <w:rFonts w:ascii="Calibri" w:eastAsia="Times New Roman" w:hAnsi="Calibri" w:cs="Times New Roman"/>
          <w:szCs w:val="18"/>
          <w:lang w:val="en-GB" w:bidi="he-IL"/>
        </w:rPr>
        <w:t xml:space="preserve"> the wood for the burnt offering and put it on </w:t>
      </w:r>
      <w:r w:rsidR="00F9756D" w:rsidRPr="00F9756D">
        <w:rPr>
          <w:rFonts w:ascii="Calibri" w:eastAsia="Times New Roman" w:hAnsi="Calibri" w:cs="Times New Roman"/>
          <w:szCs w:val="18"/>
          <w:lang w:val="en-GB" w:bidi="he-IL"/>
        </w:rPr>
        <w:t>Yiṣḥaq</w:t>
      </w:r>
      <w:r w:rsidR="006841BF">
        <w:rPr>
          <w:rFonts w:ascii="Calibri" w:eastAsia="Times New Roman" w:hAnsi="Calibri" w:cs="Times New Roman"/>
          <w:szCs w:val="18"/>
          <w:lang w:val="en-GB" w:bidi="he-IL"/>
        </w:rPr>
        <w:t xml:space="preserve"> his son</w:t>
      </w:r>
      <w:r w:rsidR="003A5710" w:rsidRPr="003A5710">
        <w:rPr>
          <w:rFonts w:ascii="Calibri" w:eastAsia="Times New Roman" w:hAnsi="Calibri" w:cs="Times New Roman"/>
          <w:szCs w:val="18"/>
          <w:lang w:val="en-GB" w:bidi="he-IL"/>
        </w:rPr>
        <w:t xml:space="preserve">, and </w:t>
      </w:r>
      <w:r w:rsidR="004002A3">
        <w:rPr>
          <w:rFonts w:ascii="Calibri" w:eastAsia="Times New Roman" w:hAnsi="Calibri" w:cs="Times New Roman"/>
          <w:szCs w:val="18"/>
          <w:lang w:val="en-GB" w:bidi="he-IL"/>
        </w:rPr>
        <w:t>got</w:t>
      </w:r>
      <w:r w:rsidR="003A5710" w:rsidRPr="003A5710">
        <w:rPr>
          <w:rFonts w:ascii="Calibri" w:eastAsia="Times New Roman" w:hAnsi="Calibri" w:cs="Times New Roman"/>
          <w:szCs w:val="18"/>
          <w:lang w:val="en-GB" w:bidi="he-IL"/>
        </w:rPr>
        <w:t xml:space="preserve"> in his own hand the fire and the </w:t>
      </w:r>
      <w:r w:rsidR="005171DC">
        <w:rPr>
          <w:rFonts w:ascii="Calibri" w:eastAsia="Times New Roman" w:hAnsi="Calibri" w:cs="Times New Roman"/>
          <w:szCs w:val="18"/>
          <w:lang w:val="en-GB" w:bidi="he-IL"/>
        </w:rPr>
        <w:t>cleaver</w:t>
      </w:r>
      <w:r w:rsidR="003A5710" w:rsidRPr="003A5710">
        <w:rPr>
          <w:rFonts w:ascii="Calibri" w:eastAsia="Times New Roman" w:hAnsi="Calibri" w:cs="Times New Roman"/>
          <w:szCs w:val="18"/>
          <w:lang w:val="en-GB" w:bidi="he-IL"/>
        </w:rPr>
        <w:t>,</w:t>
      </w:r>
      <w:r w:rsidR="005171DC">
        <w:rPr>
          <w:rStyle w:val="FootnoteReference"/>
          <w:rFonts w:ascii="Calibri" w:eastAsia="Times New Roman" w:hAnsi="Calibri" w:cs="Times New Roman"/>
          <w:szCs w:val="18"/>
          <w:lang w:val="en-GB" w:bidi="he-IL"/>
        </w:rPr>
        <w:footnoteReference w:id="639"/>
      </w:r>
      <w:r w:rsidR="003A5710" w:rsidRPr="003A5710">
        <w:rPr>
          <w:rFonts w:ascii="Calibri" w:eastAsia="Times New Roman" w:hAnsi="Calibri" w:cs="Times New Roman"/>
          <w:szCs w:val="18"/>
          <w:lang w:val="en-GB" w:bidi="he-IL"/>
        </w:rPr>
        <w:t xml:space="preserve"> and the two of them walked together. </w:t>
      </w:r>
      <w:r>
        <w:rPr>
          <w:rFonts w:ascii="Calibri" w:eastAsia="Times New Roman" w:hAnsi="Calibri" w:cs="Times New Roman"/>
          <w:szCs w:val="18"/>
          <w:vertAlign w:val="superscript"/>
          <w:lang w:val="en-GB" w:bidi="he-IL"/>
        </w:rPr>
        <w:t>7</w:t>
      </w:r>
      <w:r w:rsidR="00F9756D" w:rsidRPr="00F9756D">
        <w:rPr>
          <w:rFonts w:ascii="Calibri" w:eastAsia="Times New Roman" w:hAnsi="Calibri" w:cs="Times New Roman"/>
          <w:szCs w:val="18"/>
          <w:lang w:val="en-GB" w:bidi="he-IL"/>
        </w:rPr>
        <w:t xml:space="preserve">Yiṣḥaq </w:t>
      </w:r>
      <w:r w:rsidR="00F9756D">
        <w:rPr>
          <w:rFonts w:ascii="Calibri" w:eastAsia="Times New Roman" w:hAnsi="Calibri" w:cs="Times New Roman"/>
          <w:szCs w:val="18"/>
          <w:lang w:val="en-GB" w:bidi="he-IL"/>
        </w:rPr>
        <w:t>s</w:t>
      </w:r>
      <w:r>
        <w:rPr>
          <w:rFonts w:ascii="Calibri" w:eastAsia="Times New Roman" w:hAnsi="Calibri" w:cs="Times New Roman"/>
          <w:szCs w:val="18"/>
          <w:lang w:val="en-GB" w:bidi="he-IL"/>
        </w:rPr>
        <w:t>aid to Abraham his father, “Father!” He said, “I’m here, son</w:t>
      </w:r>
      <w:r w:rsidR="003A5710" w:rsidRPr="003A5710">
        <w:rPr>
          <w:rFonts w:ascii="Calibri" w:eastAsia="Times New Roman" w:hAnsi="Calibri" w:cs="Times New Roman"/>
          <w:szCs w:val="18"/>
          <w:lang w:val="en-GB" w:bidi="he-IL"/>
        </w:rPr>
        <w:t>.</w:t>
      </w:r>
      <w:r>
        <w:rPr>
          <w:rFonts w:ascii="Calibri" w:eastAsia="Times New Roman" w:hAnsi="Calibri" w:cs="Times New Roman"/>
          <w:szCs w:val="18"/>
          <w:lang w:val="en-GB" w:bidi="he-IL"/>
        </w:rPr>
        <w:t>” He said, “</w:t>
      </w:r>
      <w:r w:rsidR="003A5710" w:rsidRPr="003A5710">
        <w:rPr>
          <w:rFonts w:ascii="Calibri" w:eastAsia="Times New Roman" w:hAnsi="Calibri" w:cs="Times New Roman"/>
          <w:szCs w:val="18"/>
          <w:lang w:val="en-GB" w:bidi="he-IL"/>
        </w:rPr>
        <w:t>Here are t</w:t>
      </w:r>
      <w:r w:rsidR="00AF1239">
        <w:rPr>
          <w:rFonts w:ascii="Calibri" w:eastAsia="Times New Roman" w:hAnsi="Calibri" w:cs="Times New Roman"/>
          <w:szCs w:val="18"/>
          <w:lang w:val="en-GB" w:bidi="he-IL"/>
        </w:rPr>
        <w:t>h</w:t>
      </w:r>
      <w:r w:rsidR="00A14EC3">
        <w:rPr>
          <w:rFonts w:ascii="Calibri" w:eastAsia="Times New Roman" w:hAnsi="Calibri" w:cs="Times New Roman"/>
          <w:szCs w:val="18"/>
          <w:lang w:val="en-GB" w:bidi="he-IL"/>
        </w:rPr>
        <w:t xml:space="preserve">e fire and the wood, but </w:t>
      </w:r>
      <w:proofErr w:type="gramStart"/>
      <w:r w:rsidR="00A14EC3">
        <w:rPr>
          <w:rFonts w:ascii="Calibri" w:eastAsia="Times New Roman" w:hAnsi="Calibri" w:cs="Times New Roman"/>
          <w:szCs w:val="18"/>
          <w:lang w:val="en-GB" w:bidi="he-IL"/>
        </w:rPr>
        <w:t>where’</w:t>
      </w:r>
      <w:r w:rsidR="003A5710" w:rsidRPr="003A5710">
        <w:rPr>
          <w:rFonts w:ascii="Calibri" w:eastAsia="Times New Roman" w:hAnsi="Calibri" w:cs="Times New Roman"/>
          <w:szCs w:val="18"/>
          <w:lang w:val="en-GB" w:bidi="he-IL"/>
        </w:rPr>
        <w:t>s th</w:t>
      </w:r>
      <w:r>
        <w:rPr>
          <w:rFonts w:ascii="Calibri" w:eastAsia="Times New Roman" w:hAnsi="Calibri" w:cs="Times New Roman"/>
          <w:szCs w:val="18"/>
          <w:lang w:val="en-GB" w:bidi="he-IL"/>
        </w:rPr>
        <w:t>e sheep for the burnt offering</w:t>
      </w:r>
      <w:proofErr w:type="gramEnd"/>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8</w:t>
      </w:r>
      <w:r>
        <w:rPr>
          <w:rFonts w:ascii="Calibri" w:eastAsia="Times New Roman" w:hAnsi="Calibri" w:cs="Times New Roman"/>
          <w:szCs w:val="18"/>
          <w:lang w:val="en-GB" w:bidi="he-IL"/>
        </w:rPr>
        <w:t>Abraham said, “</w:t>
      </w:r>
      <w:r w:rsidR="003A5710" w:rsidRPr="003A5710">
        <w:rPr>
          <w:rFonts w:ascii="Calibri" w:eastAsia="Times New Roman" w:hAnsi="Calibri" w:cs="Times New Roman"/>
          <w:szCs w:val="18"/>
          <w:lang w:val="en-GB" w:bidi="he-IL"/>
        </w:rPr>
        <w:t xml:space="preserve">God </w:t>
      </w:r>
      <w:r w:rsidR="00AE72F4">
        <w:rPr>
          <w:rFonts w:ascii="Calibri" w:eastAsia="Times New Roman" w:hAnsi="Calibri" w:cs="Times New Roman"/>
          <w:szCs w:val="18"/>
          <w:lang w:val="en-GB" w:bidi="he-IL"/>
        </w:rPr>
        <w:t xml:space="preserve">is the one who </w:t>
      </w:r>
      <w:r w:rsidR="003A5710" w:rsidRPr="003A5710">
        <w:rPr>
          <w:rFonts w:ascii="Calibri" w:eastAsia="Times New Roman" w:hAnsi="Calibri" w:cs="Times New Roman"/>
          <w:szCs w:val="18"/>
          <w:lang w:val="en-GB" w:bidi="he-IL"/>
        </w:rPr>
        <w:t>will see for himself to the sh</w:t>
      </w:r>
      <w:r>
        <w:rPr>
          <w:rFonts w:ascii="Calibri" w:eastAsia="Times New Roman" w:hAnsi="Calibri" w:cs="Times New Roman"/>
          <w:szCs w:val="18"/>
          <w:lang w:val="en-GB" w:bidi="he-IL"/>
        </w:rPr>
        <w:t>eep for the burnt offering, son</w:t>
      </w:r>
      <w:r w:rsidR="003A5710" w:rsidRPr="003A5710">
        <w:rPr>
          <w:rFonts w:ascii="Calibri" w:eastAsia="Times New Roman" w:hAnsi="Calibri" w:cs="Times New Roman"/>
          <w:szCs w:val="18"/>
          <w:lang w:val="en-GB" w:bidi="he-IL"/>
        </w:rPr>
        <w:t>.</w:t>
      </w:r>
      <w:r>
        <w:rPr>
          <w:rFonts w:ascii="Calibri" w:eastAsia="Times New Roman" w:hAnsi="Calibri" w:cs="Times New Roman"/>
          <w:szCs w:val="18"/>
          <w:lang w:val="en-GB" w:bidi="he-IL"/>
        </w:rPr>
        <w:t>”</w:t>
      </w:r>
      <w:r w:rsidR="003A5710" w:rsidRPr="003A5710">
        <w:rPr>
          <w:rFonts w:ascii="Calibri" w:eastAsia="Times New Roman" w:hAnsi="Calibri" w:cs="Times New Roman"/>
          <w:szCs w:val="18"/>
          <w:lang w:val="en-GB" w:bidi="he-IL"/>
        </w:rPr>
        <w:t xml:space="preserve"> Th</w:t>
      </w:r>
      <w:r>
        <w:rPr>
          <w:rFonts w:ascii="Calibri" w:eastAsia="Times New Roman" w:hAnsi="Calibri" w:cs="Times New Roman"/>
          <w:szCs w:val="18"/>
          <w:lang w:val="en-GB" w:bidi="he-IL"/>
        </w:rPr>
        <w:t xml:space="preserve">e two of them walked together </w:t>
      </w:r>
      <w:r>
        <w:rPr>
          <w:rFonts w:ascii="Calibri" w:eastAsia="Times New Roman" w:hAnsi="Calibri" w:cs="Times New Roman"/>
          <w:szCs w:val="18"/>
          <w:vertAlign w:val="superscript"/>
          <w:lang w:val="en-GB" w:bidi="he-IL"/>
        </w:rPr>
        <w:t>9</w:t>
      </w:r>
      <w:r w:rsidR="007C5BC3">
        <w:rPr>
          <w:rFonts w:ascii="Calibri" w:eastAsia="Times New Roman" w:hAnsi="Calibri" w:cs="Times New Roman"/>
          <w:szCs w:val="18"/>
          <w:lang w:val="en-GB" w:bidi="he-IL"/>
        </w:rPr>
        <w:t>and came to the sit</w:t>
      </w:r>
      <w:r w:rsidR="003A5710" w:rsidRPr="003A5710">
        <w:rPr>
          <w:rFonts w:ascii="Calibri" w:eastAsia="Times New Roman" w:hAnsi="Calibri" w:cs="Times New Roman"/>
          <w:szCs w:val="18"/>
          <w:lang w:val="en-GB" w:bidi="he-IL"/>
        </w:rPr>
        <w:t xml:space="preserve">e that God had said to him. There Abraham built the altar, laid out the wood, </w:t>
      </w:r>
      <w:r w:rsidR="006841BF">
        <w:rPr>
          <w:rFonts w:ascii="Calibri" w:eastAsia="Times New Roman" w:hAnsi="Calibri" w:cs="Times New Roman"/>
          <w:szCs w:val="18"/>
          <w:lang w:val="en-GB" w:bidi="he-IL"/>
        </w:rPr>
        <w:t xml:space="preserve">bound </w:t>
      </w:r>
      <w:r w:rsidR="00F9756D" w:rsidRPr="00F9756D">
        <w:rPr>
          <w:rFonts w:ascii="Calibri" w:eastAsia="Times New Roman" w:hAnsi="Calibri" w:cs="Times New Roman"/>
          <w:szCs w:val="18"/>
          <w:lang w:val="en-GB" w:bidi="he-IL"/>
        </w:rPr>
        <w:t>Yiṣḥaq</w:t>
      </w:r>
      <w:r w:rsidR="006841BF">
        <w:rPr>
          <w:rFonts w:ascii="Calibri" w:eastAsia="Times New Roman" w:hAnsi="Calibri" w:cs="Times New Roman"/>
          <w:szCs w:val="18"/>
          <w:lang w:val="en-GB" w:bidi="he-IL"/>
        </w:rPr>
        <w:t xml:space="preserve"> his son</w:t>
      </w:r>
      <w:r w:rsidR="003A5710" w:rsidRPr="003A5710">
        <w:rPr>
          <w:rFonts w:ascii="Calibri" w:eastAsia="Times New Roman" w:hAnsi="Calibri" w:cs="Times New Roman"/>
          <w:szCs w:val="18"/>
          <w:lang w:val="en-GB" w:bidi="he-IL"/>
        </w:rPr>
        <w:t>, and placed him on t</w:t>
      </w:r>
      <w:r>
        <w:rPr>
          <w:rFonts w:ascii="Calibri" w:eastAsia="Times New Roman" w:hAnsi="Calibri" w:cs="Times New Roman"/>
          <w:szCs w:val="18"/>
          <w:lang w:val="en-GB" w:bidi="he-IL"/>
        </w:rPr>
        <w:t xml:space="preserve">he altar on top of the wood. </w:t>
      </w:r>
      <w:r>
        <w:rPr>
          <w:rFonts w:ascii="Calibri" w:eastAsia="Times New Roman" w:hAnsi="Calibri" w:cs="Times New Roman"/>
          <w:szCs w:val="18"/>
          <w:vertAlign w:val="superscript"/>
          <w:lang w:val="en-GB" w:bidi="he-IL"/>
        </w:rPr>
        <w:t>10</w:t>
      </w:r>
      <w:r w:rsidR="003A5710" w:rsidRPr="003A5710">
        <w:rPr>
          <w:rFonts w:ascii="Calibri" w:eastAsia="Times New Roman" w:hAnsi="Calibri" w:cs="Times New Roman"/>
          <w:szCs w:val="18"/>
          <w:lang w:val="en-GB" w:bidi="he-IL"/>
        </w:rPr>
        <w:t xml:space="preserve">Abraham put out his hand and got the </w:t>
      </w:r>
      <w:r w:rsidR="00F9756D">
        <w:rPr>
          <w:rFonts w:ascii="Calibri" w:eastAsia="Times New Roman" w:hAnsi="Calibri" w:cs="Times New Roman"/>
          <w:szCs w:val="18"/>
          <w:lang w:val="en-GB" w:bidi="he-IL"/>
        </w:rPr>
        <w:t>cleaver</w:t>
      </w:r>
      <w:r w:rsidR="003A5710" w:rsidRPr="003A5710">
        <w:rPr>
          <w:rFonts w:ascii="Calibri" w:eastAsia="Times New Roman" w:hAnsi="Calibri" w:cs="Times New Roman"/>
          <w:szCs w:val="18"/>
          <w:lang w:val="en-GB" w:bidi="he-IL"/>
        </w:rPr>
        <w:t xml:space="preserve"> to slaughter his son. </w:t>
      </w:r>
    </w:p>
    <w:p w14:paraId="5608E63D" w14:textId="46E997DA" w:rsidR="003A5710" w:rsidRPr="003A5710" w:rsidRDefault="00520A6B" w:rsidP="003A5710">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11</w:t>
      </w:r>
      <w:r w:rsidR="003A5710" w:rsidRPr="003A5710">
        <w:rPr>
          <w:rFonts w:ascii="Calibri" w:eastAsia="Times New Roman" w:hAnsi="Calibri" w:cs="Times New Roman"/>
          <w:szCs w:val="18"/>
          <w:lang w:val="en-GB" w:bidi="he-IL"/>
        </w:rPr>
        <w:t xml:space="preserve">But Yahweh’s envoy called to </w:t>
      </w:r>
      <w:r>
        <w:rPr>
          <w:rFonts w:ascii="Calibri" w:eastAsia="Times New Roman" w:hAnsi="Calibri" w:cs="Times New Roman"/>
          <w:szCs w:val="18"/>
          <w:lang w:val="en-GB" w:bidi="he-IL"/>
        </w:rPr>
        <w:t>him from the heavens and said, “Abraham, Abraham!” He said, “I’m here</w:t>
      </w:r>
      <w:r w:rsidR="003A5710" w:rsidRPr="003A5710">
        <w:rPr>
          <w:rFonts w:ascii="Calibri" w:eastAsia="Times New Roman" w:hAnsi="Calibri" w:cs="Times New Roman"/>
          <w:szCs w:val="18"/>
          <w:lang w:val="en-GB" w:bidi="he-IL"/>
        </w:rPr>
        <w:t>.</w:t>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12</w:t>
      </w:r>
      <w:r>
        <w:rPr>
          <w:rFonts w:ascii="Calibri" w:eastAsia="Times New Roman" w:hAnsi="Calibri" w:cs="Times New Roman"/>
          <w:szCs w:val="18"/>
          <w:lang w:val="en-GB" w:bidi="he-IL"/>
        </w:rPr>
        <w:t>He said, “</w:t>
      </w:r>
      <w:r w:rsidR="003A5710" w:rsidRPr="003A5710">
        <w:rPr>
          <w:rFonts w:ascii="Calibri" w:eastAsia="Times New Roman" w:hAnsi="Calibri" w:cs="Times New Roman"/>
          <w:szCs w:val="18"/>
          <w:lang w:val="en-GB" w:bidi="he-IL"/>
        </w:rPr>
        <w:t>Don’t put out your hand to the boy, don’t do anything to him, because now I acknowled</w:t>
      </w:r>
      <w:r w:rsidR="00AE72F4">
        <w:rPr>
          <w:rFonts w:ascii="Calibri" w:eastAsia="Times New Roman" w:hAnsi="Calibri" w:cs="Times New Roman"/>
          <w:szCs w:val="18"/>
          <w:lang w:val="en-GB" w:bidi="he-IL"/>
        </w:rPr>
        <w:t>ge that you live in awe of God,</w:t>
      </w:r>
      <w:r w:rsidR="000032F8">
        <w:rPr>
          <w:rStyle w:val="FootnoteReference"/>
          <w:rFonts w:ascii="Calibri" w:eastAsia="Times New Roman" w:hAnsi="Calibri" w:cs="Times New Roman"/>
          <w:szCs w:val="18"/>
          <w:lang w:val="en-GB" w:bidi="he-IL"/>
        </w:rPr>
        <w:footnoteReference w:id="640"/>
      </w:r>
      <w:r w:rsidR="002F000F">
        <w:rPr>
          <w:rFonts w:ascii="Calibri" w:eastAsia="Times New Roman" w:hAnsi="Calibri" w:cs="Times New Roman"/>
          <w:szCs w:val="18"/>
          <w:lang w:val="en-GB" w:bidi="he-IL"/>
        </w:rPr>
        <w:t xml:space="preserve"> and</w:t>
      </w:r>
      <w:r w:rsidR="00AE72F4">
        <w:rPr>
          <w:rFonts w:ascii="Calibri" w:eastAsia="Times New Roman" w:hAnsi="Calibri" w:cs="Times New Roman"/>
          <w:szCs w:val="18"/>
          <w:lang w:val="en-GB" w:bidi="he-IL"/>
        </w:rPr>
        <w:t xml:space="preserve"> </w:t>
      </w:r>
      <w:r w:rsidR="003A5710" w:rsidRPr="003A5710">
        <w:rPr>
          <w:rFonts w:ascii="Calibri" w:eastAsia="Times New Roman" w:hAnsi="Calibri" w:cs="Times New Roman"/>
          <w:szCs w:val="18"/>
          <w:lang w:val="en-GB" w:bidi="he-IL"/>
        </w:rPr>
        <w:t>you haven’t held back y</w:t>
      </w:r>
      <w:r>
        <w:rPr>
          <w:rFonts w:ascii="Calibri" w:eastAsia="Times New Roman" w:hAnsi="Calibri" w:cs="Times New Roman"/>
          <w:szCs w:val="18"/>
          <w:lang w:val="en-GB" w:bidi="he-IL"/>
        </w:rPr>
        <w:t>our son, your only son, from me</w:t>
      </w:r>
      <w:r w:rsidR="003A5710" w:rsidRPr="003A5710">
        <w:rPr>
          <w:rFonts w:ascii="Calibri" w:eastAsia="Times New Roman" w:hAnsi="Calibri" w:cs="Times New Roman"/>
          <w:szCs w:val="18"/>
          <w:lang w:val="en-GB" w:bidi="he-IL"/>
        </w:rPr>
        <w:t>.</w:t>
      </w:r>
      <w:r>
        <w:rPr>
          <w:rFonts w:ascii="Calibri" w:eastAsia="Times New Roman" w:hAnsi="Calibri" w:cs="Times New Roman"/>
          <w:szCs w:val="18"/>
          <w:lang w:val="en-GB" w:bidi="he-IL"/>
        </w:rPr>
        <w:t>”</w:t>
      </w:r>
      <w:r w:rsidR="003A5710" w:rsidRPr="003A5710">
        <w:rPr>
          <w:rFonts w:ascii="Calibri" w:eastAsia="Times New Roman" w:hAnsi="Calibri" w:cs="Times New Roman"/>
          <w:szCs w:val="18"/>
          <w:lang w:val="en-GB" w:bidi="he-IL"/>
        </w:rPr>
        <w:t xml:space="preserve"> </w:t>
      </w:r>
    </w:p>
    <w:p w14:paraId="2E75A148" w14:textId="77777777" w:rsidR="003A5710" w:rsidRPr="003A5710" w:rsidRDefault="00520A6B" w:rsidP="003A5710">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13</w:t>
      </w:r>
      <w:r w:rsidR="003A5710" w:rsidRPr="003A5710">
        <w:rPr>
          <w:rFonts w:ascii="Calibri" w:eastAsia="Times New Roman" w:hAnsi="Calibri" w:cs="Times New Roman"/>
          <w:szCs w:val="18"/>
          <w:lang w:val="en-GB" w:bidi="he-IL"/>
        </w:rPr>
        <w:t xml:space="preserve">Abraham lifted his eyes and looked: there, </w:t>
      </w:r>
      <w:r w:rsidR="00033639">
        <w:rPr>
          <w:rFonts w:ascii="Calibri" w:eastAsia="Times New Roman" w:hAnsi="Calibri" w:cs="Times New Roman"/>
          <w:szCs w:val="18"/>
          <w:lang w:val="en-GB" w:bidi="he-IL"/>
        </w:rPr>
        <w:t>behind,</w:t>
      </w:r>
      <w:r w:rsidR="00033639">
        <w:rPr>
          <w:rStyle w:val="FootnoteReference"/>
          <w:rFonts w:ascii="Calibri" w:eastAsia="Times New Roman" w:hAnsi="Calibri" w:cs="Times New Roman"/>
          <w:szCs w:val="18"/>
          <w:lang w:val="en-GB" w:bidi="he-IL"/>
        </w:rPr>
        <w:footnoteReference w:id="641"/>
      </w:r>
      <w:r w:rsidR="00033639">
        <w:rPr>
          <w:rFonts w:ascii="Calibri" w:eastAsia="Times New Roman" w:hAnsi="Calibri" w:cs="Times New Roman"/>
          <w:szCs w:val="18"/>
          <w:lang w:val="en-GB" w:bidi="he-IL"/>
        </w:rPr>
        <w:t xml:space="preserve"> </w:t>
      </w:r>
      <w:r w:rsidR="003A5710" w:rsidRPr="003A5710">
        <w:rPr>
          <w:rFonts w:ascii="Calibri" w:eastAsia="Times New Roman" w:hAnsi="Calibri" w:cs="Times New Roman"/>
          <w:szCs w:val="18"/>
          <w:lang w:val="en-GB" w:bidi="he-IL"/>
        </w:rPr>
        <w:t xml:space="preserve">a ram </w:t>
      </w:r>
      <w:r w:rsidR="002D4777">
        <w:rPr>
          <w:rFonts w:ascii="Calibri" w:eastAsia="Times New Roman" w:hAnsi="Calibri" w:cs="Times New Roman"/>
          <w:szCs w:val="18"/>
          <w:lang w:val="en-GB" w:bidi="he-IL"/>
        </w:rPr>
        <w:t xml:space="preserve">had </w:t>
      </w:r>
      <w:r w:rsidR="003A5710" w:rsidRPr="003A5710">
        <w:rPr>
          <w:rFonts w:ascii="Calibri" w:eastAsia="Times New Roman" w:hAnsi="Calibri" w:cs="Times New Roman"/>
          <w:szCs w:val="18"/>
          <w:lang w:val="en-GB" w:bidi="he-IL"/>
        </w:rPr>
        <w:t xml:space="preserve">caught </w:t>
      </w:r>
      <w:r w:rsidR="002D4777">
        <w:rPr>
          <w:rFonts w:ascii="Calibri" w:eastAsia="Times New Roman" w:hAnsi="Calibri" w:cs="Times New Roman"/>
          <w:szCs w:val="18"/>
          <w:lang w:val="en-GB" w:bidi="he-IL"/>
        </w:rPr>
        <w:t>itself</w:t>
      </w:r>
      <w:r w:rsidR="00627812">
        <w:rPr>
          <w:rStyle w:val="FootnoteReference"/>
          <w:rFonts w:ascii="Calibri" w:eastAsia="Times New Roman" w:hAnsi="Calibri" w:cs="Times New Roman"/>
          <w:szCs w:val="18"/>
          <w:lang w:val="en-GB" w:bidi="he-IL"/>
        </w:rPr>
        <w:footnoteReference w:id="642"/>
      </w:r>
      <w:r w:rsidR="002D4777">
        <w:rPr>
          <w:rFonts w:ascii="Calibri" w:eastAsia="Times New Roman" w:hAnsi="Calibri" w:cs="Times New Roman"/>
          <w:szCs w:val="18"/>
          <w:lang w:val="en-GB" w:bidi="he-IL"/>
        </w:rPr>
        <w:t xml:space="preserve"> </w:t>
      </w:r>
      <w:r w:rsidR="003A5710" w:rsidRPr="003A5710">
        <w:rPr>
          <w:rFonts w:ascii="Calibri" w:eastAsia="Times New Roman" w:hAnsi="Calibri" w:cs="Times New Roman"/>
          <w:szCs w:val="18"/>
          <w:lang w:val="en-GB" w:bidi="he-IL"/>
        </w:rPr>
        <w:t>in a thicket by its horns. Abraham went and got the ram and offered it up as a burnt o</w:t>
      </w:r>
      <w:r>
        <w:rPr>
          <w:rFonts w:ascii="Calibri" w:eastAsia="Times New Roman" w:hAnsi="Calibri" w:cs="Times New Roman"/>
          <w:szCs w:val="18"/>
          <w:lang w:val="en-GB" w:bidi="he-IL"/>
        </w:rPr>
        <w:t xml:space="preserve">ffering in place of his son. </w:t>
      </w:r>
      <w:r>
        <w:rPr>
          <w:rFonts w:ascii="Calibri" w:eastAsia="Times New Roman" w:hAnsi="Calibri" w:cs="Times New Roman"/>
          <w:szCs w:val="18"/>
          <w:vertAlign w:val="superscript"/>
          <w:lang w:val="en-GB" w:bidi="he-IL"/>
        </w:rPr>
        <w:t>14</w:t>
      </w:r>
      <w:r w:rsidR="007C5BC3">
        <w:rPr>
          <w:rFonts w:ascii="Calibri" w:eastAsia="Times New Roman" w:hAnsi="Calibri" w:cs="Times New Roman"/>
          <w:szCs w:val="18"/>
          <w:lang w:val="en-GB" w:bidi="he-IL"/>
        </w:rPr>
        <w:t>Abraham named that sit</w:t>
      </w:r>
      <w:r>
        <w:rPr>
          <w:rFonts w:ascii="Calibri" w:eastAsia="Times New Roman" w:hAnsi="Calibri" w:cs="Times New Roman"/>
          <w:szCs w:val="18"/>
          <w:lang w:val="en-GB" w:bidi="he-IL"/>
        </w:rPr>
        <w:t>e “Yahweh Yir’eh</w:t>
      </w:r>
      <w:r w:rsidR="003A5710" w:rsidRPr="003A5710">
        <w:rPr>
          <w:rFonts w:ascii="Calibri" w:eastAsia="Times New Roman" w:hAnsi="Calibri" w:cs="Times New Roman"/>
          <w:szCs w:val="18"/>
          <w:lang w:val="en-GB" w:bidi="he-IL"/>
        </w:rPr>
        <w:t>,</w:t>
      </w:r>
      <w:r>
        <w:rPr>
          <w:rFonts w:ascii="Calibri" w:eastAsia="Times New Roman" w:hAnsi="Calibri" w:cs="Times New Roman"/>
          <w:szCs w:val="18"/>
          <w:lang w:val="en-GB" w:bidi="he-IL"/>
        </w:rPr>
        <w:t>” so it’s said today, “On Yahweh’s mountain it’s seen</w:t>
      </w:r>
      <w:r w:rsidR="00211AF2">
        <w:rPr>
          <w:rFonts w:ascii="Calibri" w:eastAsia="Times New Roman" w:hAnsi="Calibri" w:cs="Times New Roman"/>
          <w:szCs w:val="18"/>
          <w:lang w:val="en-GB" w:bidi="he-IL"/>
        </w:rPr>
        <w:t xml:space="preserve"> to</w:t>
      </w:r>
      <w:r w:rsidR="003A5710" w:rsidRPr="003A5710">
        <w:rPr>
          <w:rFonts w:ascii="Calibri" w:eastAsia="Times New Roman" w:hAnsi="Calibri" w:cs="Times New Roman"/>
          <w:szCs w:val="18"/>
          <w:lang w:val="en-GB" w:bidi="he-IL"/>
        </w:rPr>
        <w:t>.</w:t>
      </w:r>
      <w:r>
        <w:rPr>
          <w:rFonts w:ascii="Calibri" w:eastAsia="Times New Roman" w:hAnsi="Calibri" w:cs="Times New Roman"/>
          <w:szCs w:val="18"/>
          <w:lang w:val="en-GB" w:bidi="he-IL"/>
        </w:rPr>
        <w:t>”</w:t>
      </w:r>
      <w:r w:rsidR="00CF7F19">
        <w:rPr>
          <w:rStyle w:val="FootnoteReference"/>
          <w:rFonts w:ascii="Calibri" w:eastAsia="Times New Roman" w:hAnsi="Calibri" w:cs="Times New Roman"/>
          <w:szCs w:val="18"/>
          <w:lang w:val="en-GB" w:bidi="he-IL"/>
        </w:rPr>
        <w:footnoteReference w:id="643"/>
      </w:r>
      <w:r w:rsidR="003A5710" w:rsidRPr="003A5710">
        <w:rPr>
          <w:rFonts w:ascii="Calibri" w:eastAsia="Times New Roman" w:hAnsi="Calibri" w:cs="Times New Roman"/>
          <w:szCs w:val="18"/>
          <w:lang w:val="en-GB" w:bidi="he-IL"/>
        </w:rPr>
        <w:t xml:space="preserve"> </w:t>
      </w:r>
    </w:p>
    <w:p w14:paraId="71B908F1" w14:textId="43D65114" w:rsidR="003A5710" w:rsidRPr="003A5710" w:rsidRDefault="00520A6B" w:rsidP="003A5710">
      <w:pPr>
        <w:rPr>
          <w:rFonts w:ascii="Calibri" w:eastAsia="Times New Roman" w:hAnsi="Calibri" w:cs="Times New Roman"/>
          <w:lang w:val="en-GB" w:bidi="he-IL"/>
        </w:rPr>
      </w:pPr>
      <w:r>
        <w:rPr>
          <w:rFonts w:ascii="Calibri" w:eastAsia="Times New Roman" w:hAnsi="Calibri" w:cs="Times New Roman"/>
          <w:vertAlign w:val="superscript"/>
          <w:lang w:val="en-GB" w:bidi="he-IL"/>
        </w:rPr>
        <w:t>15</w:t>
      </w:r>
      <w:r w:rsidR="003A5710" w:rsidRPr="003A5710">
        <w:rPr>
          <w:rFonts w:ascii="Calibri" w:eastAsia="Times New Roman" w:hAnsi="Calibri" w:cs="Times New Roman"/>
          <w:lang w:val="en-GB" w:bidi="he-IL"/>
        </w:rPr>
        <w:t xml:space="preserve">Yahweh’s envoy called to Abraham a </w:t>
      </w:r>
      <w:r>
        <w:rPr>
          <w:rFonts w:ascii="Calibri" w:eastAsia="Times New Roman" w:hAnsi="Calibri" w:cs="Times New Roman"/>
          <w:lang w:val="en-GB" w:bidi="he-IL"/>
        </w:rPr>
        <w:t xml:space="preserve">second time from the heavens </w:t>
      </w:r>
      <w:r>
        <w:rPr>
          <w:rFonts w:ascii="Calibri" w:eastAsia="Times New Roman" w:hAnsi="Calibri" w:cs="Times New Roman"/>
          <w:vertAlign w:val="superscript"/>
          <w:lang w:val="en-GB" w:bidi="he-IL"/>
        </w:rPr>
        <w:t>16</w:t>
      </w:r>
      <w:r>
        <w:rPr>
          <w:rFonts w:ascii="Calibri" w:eastAsia="Times New Roman" w:hAnsi="Calibri" w:cs="Times New Roman"/>
          <w:lang w:val="en-GB" w:bidi="he-IL"/>
        </w:rPr>
        <w:t>and said, “</w:t>
      </w:r>
      <w:r w:rsidR="003A5710" w:rsidRPr="003A5710">
        <w:rPr>
          <w:rFonts w:ascii="Calibri" w:eastAsia="Times New Roman" w:hAnsi="Calibri" w:cs="Times New Roman"/>
          <w:lang w:val="en-GB" w:bidi="he-IL"/>
        </w:rPr>
        <w:t xml:space="preserve">By myself I </w:t>
      </w:r>
      <w:r w:rsidR="00E92840">
        <w:rPr>
          <w:rFonts w:ascii="Calibri" w:eastAsia="Times New Roman" w:hAnsi="Calibri" w:cs="Times New Roman"/>
          <w:lang w:val="en-GB" w:bidi="he-IL"/>
        </w:rPr>
        <w:t xml:space="preserve">am </w:t>
      </w:r>
      <w:r w:rsidR="003A5710" w:rsidRPr="003A5710">
        <w:rPr>
          <w:rFonts w:ascii="Calibri" w:eastAsia="Times New Roman" w:hAnsi="Calibri" w:cs="Times New Roman"/>
          <w:lang w:val="en-GB" w:bidi="he-IL"/>
        </w:rPr>
        <w:t>swear</w:t>
      </w:r>
      <w:r w:rsidR="00E92840">
        <w:rPr>
          <w:rFonts w:ascii="Calibri" w:eastAsia="Times New Roman" w:hAnsi="Calibri" w:cs="Times New Roman"/>
          <w:lang w:val="en-GB" w:bidi="he-IL"/>
        </w:rPr>
        <w:t>ing</w:t>
      </w:r>
      <w:r w:rsidR="00225CD3">
        <w:rPr>
          <w:rStyle w:val="FootnoteReference"/>
          <w:rFonts w:ascii="Calibri" w:eastAsia="Times New Roman" w:hAnsi="Calibri" w:cs="Times New Roman"/>
          <w:lang w:val="en-GB" w:bidi="he-IL"/>
        </w:rPr>
        <w:footnoteReference w:id="644"/>
      </w:r>
      <w:r w:rsidR="003A5710" w:rsidRPr="003A5710">
        <w:rPr>
          <w:rFonts w:ascii="Calibri" w:eastAsia="Times New Roman" w:hAnsi="Calibri" w:cs="Times New Roman"/>
          <w:lang w:val="en-GB" w:bidi="he-IL"/>
        </w:rPr>
        <w:t xml:space="preserve"> (Yahweh’s declaration) that since you’ve done this thing and not held back y</w:t>
      </w:r>
      <w:r>
        <w:rPr>
          <w:rFonts w:ascii="Calibri" w:eastAsia="Times New Roman" w:hAnsi="Calibri" w:cs="Times New Roman"/>
          <w:lang w:val="en-GB" w:bidi="he-IL"/>
        </w:rPr>
        <w:t xml:space="preserve">our son, your only one, </w:t>
      </w:r>
      <w:r>
        <w:rPr>
          <w:rFonts w:ascii="Calibri" w:eastAsia="Times New Roman" w:hAnsi="Calibri" w:cs="Times New Roman"/>
          <w:vertAlign w:val="superscript"/>
          <w:lang w:val="en-GB" w:bidi="he-IL"/>
        </w:rPr>
        <w:t>17</w:t>
      </w:r>
      <w:r w:rsidR="0025165F">
        <w:rPr>
          <w:rFonts w:ascii="Calibri" w:eastAsia="Times New Roman" w:hAnsi="Calibri" w:cs="Times New Roman"/>
          <w:lang w:val="en-GB" w:bidi="he-IL"/>
        </w:rPr>
        <w:t>I wi</w:t>
      </w:r>
      <w:r w:rsidR="003A5710" w:rsidRPr="003A5710">
        <w:rPr>
          <w:rFonts w:ascii="Calibri" w:eastAsia="Times New Roman" w:hAnsi="Calibri" w:cs="Times New Roman"/>
          <w:lang w:val="en-GB" w:bidi="he-IL"/>
        </w:rPr>
        <w:t xml:space="preserve">ll </w:t>
      </w:r>
      <w:r w:rsidR="0025165F">
        <w:rPr>
          <w:rFonts w:ascii="Calibri" w:eastAsia="Times New Roman" w:hAnsi="Calibri" w:cs="Times New Roman"/>
          <w:lang w:val="en-GB" w:bidi="he-IL"/>
        </w:rPr>
        <w:t xml:space="preserve">really bless you </w:t>
      </w:r>
      <w:r w:rsidR="007C2106">
        <w:rPr>
          <w:rFonts w:ascii="Calibri" w:eastAsia="Times New Roman" w:hAnsi="Calibri" w:cs="Times New Roman"/>
          <w:lang w:val="en-GB" w:bidi="he-IL"/>
        </w:rPr>
        <w:t>and make your offspring reall</w:t>
      </w:r>
      <w:r w:rsidR="003A5710" w:rsidRPr="003A5710">
        <w:rPr>
          <w:rFonts w:ascii="Calibri" w:eastAsia="Times New Roman" w:hAnsi="Calibri" w:cs="Times New Roman"/>
          <w:lang w:val="en-GB" w:bidi="he-IL"/>
        </w:rPr>
        <w:t>y numerous,</w:t>
      </w:r>
      <w:r w:rsidR="00D178B7">
        <w:rPr>
          <w:rStyle w:val="FootnoteReference"/>
          <w:rFonts w:ascii="Calibri" w:eastAsia="Times New Roman" w:hAnsi="Calibri" w:cs="Times New Roman"/>
          <w:lang w:val="en-GB" w:bidi="he-IL"/>
        </w:rPr>
        <w:footnoteReference w:id="645"/>
      </w:r>
      <w:r w:rsidR="003A5710" w:rsidRPr="003A5710">
        <w:rPr>
          <w:rFonts w:ascii="Calibri" w:eastAsia="Times New Roman" w:hAnsi="Calibri" w:cs="Times New Roman"/>
          <w:lang w:val="en-GB" w:bidi="he-IL"/>
        </w:rPr>
        <w:t xml:space="preserve"> like the stars in the heavens and like the sand that’s on the seashore; your offspring will take possessio</w:t>
      </w:r>
      <w:r w:rsidR="00D32B64">
        <w:rPr>
          <w:rFonts w:ascii="Calibri" w:eastAsia="Times New Roman" w:hAnsi="Calibri" w:cs="Times New Roman"/>
          <w:lang w:val="en-GB" w:bidi="he-IL"/>
        </w:rPr>
        <w:t>n of their opponents</w:t>
      </w:r>
      <w:r>
        <w:rPr>
          <w:rFonts w:ascii="Calibri" w:eastAsia="Times New Roman" w:hAnsi="Calibri" w:cs="Times New Roman"/>
          <w:lang w:val="en-GB" w:bidi="he-IL"/>
        </w:rPr>
        <w:t xml:space="preserve">’ gateway. </w:t>
      </w:r>
      <w:r>
        <w:rPr>
          <w:rFonts w:ascii="Calibri" w:eastAsia="Times New Roman" w:hAnsi="Calibri" w:cs="Times New Roman"/>
          <w:vertAlign w:val="superscript"/>
          <w:lang w:val="en-GB" w:bidi="he-IL"/>
        </w:rPr>
        <w:t>18</w:t>
      </w:r>
      <w:r w:rsidR="003A5710" w:rsidRPr="003A5710">
        <w:rPr>
          <w:rFonts w:ascii="Calibri" w:eastAsia="Times New Roman" w:hAnsi="Calibri" w:cs="Times New Roman"/>
          <w:lang w:val="en-GB" w:bidi="he-IL"/>
        </w:rPr>
        <w:t xml:space="preserve">All the nations on the earth will </w:t>
      </w:r>
      <w:r w:rsidR="005D06CE">
        <w:rPr>
          <w:rFonts w:ascii="Calibri" w:eastAsia="Times New Roman" w:hAnsi="Calibri" w:cs="Times New Roman"/>
          <w:lang w:val="en-GB" w:bidi="he-IL"/>
        </w:rPr>
        <w:t>bless</w:t>
      </w:r>
      <w:r w:rsidR="00326405">
        <w:rPr>
          <w:rFonts w:ascii="Calibri" w:eastAsia="Times New Roman" w:hAnsi="Calibri" w:cs="Times New Roman"/>
          <w:lang w:val="en-GB" w:bidi="he-IL"/>
        </w:rPr>
        <w:t xml:space="preserve"> themselves</w:t>
      </w:r>
      <w:r w:rsidR="000C5FE9">
        <w:rPr>
          <w:rStyle w:val="FootnoteReference"/>
          <w:rFonts w:ascii="Calibri" w:eastAsia="Times New Roman" w:hAnsi="Calibri" w:cs="Times New Roman"/>
          <w:lang w:val="en-GB" w:bidi="he-IL"/>
        </w:rPr>
        <w:footnoteReference w:id="646"/>
      </w:r>
      <w:r w:rsidR="005D06CE">
        <w:rPr>
          <w:rFonts w:ascii="Calibri" w:eastAsia="Times New Roman" w:hAnsi="Calibri" w:cs="Times New Roman"/>
          <w:lang w:val="en-GB" w:bidi="he-IL"/>
        </w:rPr>
        <w:t xml:space="preserve"> </w:t>
      </w:r>
      <w:r w:rsidR="003A5710" w:rsidRPr="003A5710">
        <w:rPr>
          <w:rFonts w:ascii="Calibri" w:eastAsia="Times New Roman" w:hAnsi="Calibri" w:cs="Times New Roman"/>
          <w:lang w:val="en-GB" w:bidi="he-IL"/>
        </w:rPr>
        <w:t>by your offspring, on account of the fac</w:t>
      </w:r>
      <w:r>
        <w:rPr>
          <w:rFonts w:ascii="Calibri" w:eastAsia="Times New Roman" w:hAnsi="Calibri" w:cs="Times New Roman"/>
          <w:lang w:val="en-GB" w:bidi="he-IL"/>
        </w:rPr>
        <w:t>t that you listened to my voice</w:t>
      </w:r>
      <w:r w:rsidR="003A5710" w:rsidRPr="003A5710">
        <w:rPr>
          <w:rFonts w:ascii="Calibri" w:eastAsia="Times New Roman" w:hAnsi="Calibri" w:cs="Times New Roman"/>
          <w:lang w:val="en-GB" w:bidi="he-IL"/>
        </w:rPr>
        <w:t>.</w:t>
      </w:r>
      <w:r>
        <w:rPr>
          <w:rFonts w:ascii="Calibri" w:eastAsia="Times New Roman" w:hAnsi="Calibri" w:cs="Times New Roman"/>
          <w:lang w:val="en-GB" w:bidi="he-IL"/>
        </w:rPr>
        <w:t>”</w:t>
      </w:r>
      <w:r w:rsidR="003A5710" w:rsidRPr="003A5710">
        <w:rPr>
          <w:rFonts w:ascii="Calibri" w:eastAsia="Times New Roman" w:hAnsi="Calibri" w:cs="Times New Roman"/>
          <w:lang w:val="en-GB" w:bidi="he-IL"/>
        </w:rPr>
        <w:t xml:space="preserve"> </w:t>
      </w:r>
    </w:p>
    <w:p w14:paraId="6298F1D2" w14:textId="3F30155B" w:rsidR="003A5710" w:rsidRPr="003A5710" w:rsidRDefault="00520A6B" w:rsidP="003A5710">
      <w:pPr>
        <w:rPr>
          <w:rFonts w:ascii="Calibri" w:eastAsia="Times New Roman" w:hAnsi="Calibri" w:cs="Times New Roman"/>
          <w:lang w:val="en-GB" w:bidi="he-IL"/>
        </w:rPr>
      </w:pPr>
      <w:r>
        <w:rPr>
          <w:rFonts w:ascii="Calibri" w:eastAsia="Times New Roman" w:hAnsi="Calibri" w:cs="Times New Roman"/>
          <w:vertAlign w:val="superscript"/>
          <w:lang w:val="en-GB" w:bidi="he-IL"/>
        </w:rPr>
        <w:t>19</w:t>
      </w:r>
      <w:r w:rsidR="003A5710" w:rsidRPr="003A5710">
        <w:rPr>
          <w:rFonts w:ascii="Calibri" w:eastAsia="Times New Roman" w:hAnsi="Calibri" w:cs="Times New Roman"/>
          <w:lang w:val="en-GB" w:bidi="he-IL"/>
        </w:rPr>
        <w:t>Abraham went back to his boys and they set o</w:t>
      </w:r>
      <w:r w:rsidR="000438B1">
        <w:rPr>
          <w:rFonts w:ascii="Calibri" w:eastAsia="Times New Roman" w:hAnsi="Calibri" w:cs="Times New Roman"/>
          <w:lang w:val="en-GB" w:bidi="he-IL"/>
        </w:rPr>
        <w:t xml:space="preserve">ff and went together to Be’er </w:t>
      </w:r>
      <w:r w:rsidR="000438B1">
        <w:rPr>
          <w:rFonts w:ascii="Calibri" w:eastAsia="Times New Roman" w:hAnsi="Calibri" w:cs="Calibri"/>
          <w:lang w:val="en-GB" w:bidi="he-IL"/>
        </w:rPr>
        <w:t>Š</w:t>
      </w:r>
      <w:r w:rsidR="003A5710" w:rsidRPr="003A5710">
        <w:rPr>
          <w:rFonts w:ascii="Calibri" w:eastAsia="Times New Roman" w:hAnsi="Calibri" w:cs="Times New Roman"/>
          <w:lang w:val="en-GB" w:bidi="he-IL"/>
        </w:rPr>
        <w:t>eba. Abraham lived at Be’er</w:t>
      </w:r>
      <w:r w:rsidR="000438B1">
        <w:rPr>
          <w:rFonts w:ascii="Calibri" w:eastAsia="Times New Roman" w:hAnsi="Calibri" w:cs="Times New Roman"/>
          <w:lang w:val="en-GB" w:bidi="he-IL"/>
        </w:rPr>
        <w:t xml:space="preserve"> </w:t>
      </w:r>
      <w:r w:rsidR="000438B1">
        <w:rPr>
          <w:rFonts w:ascii="Calibri" w:eastAsia="Times New Roman" w:hAnsi="Calibri" w:cs="Calibri"/>
          <w:lang w:val="en-GB" w:bidi="he-IL"/>
        </w:rPr>
        <w:t>Š</w:t>
      </w:r>
      <w:r w:rsidR="003A5710" w:rsidRPr="003A5710">
        <w:rPr>
          <w:rFonts w:ascii="Calibri" w:eastAsia="Times New Roman" w:hAnsi="Calibri" w:cs="Times New Roman"/>
          <w:lang w:val="en-GB" w:bidi="he-IL"/>
        </w:rPr>
        <w:t xml:space="preserve">eba. </w:t>
      </w:r>
    </w:p>
    <w:p w14:paraId="2081F143" w14:textId="77777777" w:rsidR="003A5710" w:rsidRDefault="00141055" w:rsidP="003A5710">
      <w:pPr>
        <w:pStyle w:val="Heading2"/>
        <w:rPr>
          <w:lang w:bidi="he-IL"/>
        </w:rPr>
      </w:pPr>
      <w:r>
        <w:rPr>
          <w:lang w:bidi="he-IL"/>
        </w:rPr>
        <w:t>Interpretation</w:t>
      </w:r>
    </w:p>
    <w:p w14:paraId="3411675D" w14:textId="77777777" w:rsidR="009962D7" w:rsidRDefault="003139AB" w:rsidP="008720DE">
      <w:pPr>
        <w:rPr>
          <w:lang w:val="en-GB"/>
        </w:rPr>
      </w:pPr>
      <w:r>
        <w:rPr>
          <w:lang w:val="en-GB"/>
        </w:rPr>
        <w:t>The broad outline of this</w:t>
      </w:r>
      <w:r w:rsidR="006B285A">
        <w:rPr>
          <w:lang w:val="en-GB"/>
        </w:rPr>
        <w:t xml:space="preserve"> story corresponds to that of Gen 21</w:t>
      </w:r>
      <w:r>
        <w:rPr>
          <w:lang w:val="en-GB"/>
        </w:rPr>
        <w:t xml:space="preserve">:1-21 (it also </w:t>
      </w:r>
      <w:r w:rsidR="006B285A">
        <w:rPr>
          <w:lang w:val="en-GB"/>
        </w:rPr>
        <w:t>overlaps with the other Hagar-Ishma</w:t>
      </w:r>
      <w:r>
        <w:rPr>
          <w:lang w:val="en-GB"/>
        </w:rPr>
        <w:t xml:space="preserve">el story in Gen 16). </w:t>
      </w:r>
      <w:r w:rsidR="006B285A">
        <w:rPr>
          <w:lang w:val="en-GB"/>
        </w:rPr>
        <w:t xml:space="preserve">God </w:t>
      </w:r>
      <w:r>
        <w:rPr>
          <w:lang w:val="en-GB"/>
        </w:rPr>
        <w:t xml:space="preserve">again </w:t>
      </w:r>
      <w:r w:rsidR="006B285A">
        <w:rPr>
          <w:lang w:val="en-GB"/>
        </w:rPr>
        <w:t>gives Abraham instructions regarding his son, instructions that im</w:t>
      </w:r>
      <w:r>
        <w:rPr>
          <w:lang w:val="en-GB"/>
        </w:rPr>
        <w:t xml:space="preserve">ply the son’s death. </w:t>
      </w:r>
      <w:r w:rsidR="006B285A">
        <w:rPr>
          <w:lang w:val="en-GB"/>
        </w:rPr>
        <w:t xml:space="preserve">Abraham </w:t>
      </w:r>
      <w:r>
        <w:rPr>
          <w:lang w:val="en-GB"/>
        </w:rPr>
        <w:t xml:space="preserve">again </w:t>
      </w:r>
      <w:r w:rsidR="006B285A">
        <w:rPr>
          <w:lang w:val="en-GB"/>
        </w:rPr>
        <w:t>gets up early to set</w:t>
      </w:r>
      <w:r>
        <w:rPr>
          <w:lang w:val="en-GB"/>
        </w:rPr>
        <w:t xml:space="preserve"> the process going. A</w:t>
      </w:r>
      <w:r w:rsidR="006B285A">
        <w:rPr>
          <w:lang w:val="en-GB"/>
        </w:rPr>
        <w:t xml:space="preserve"> </w:t>
      </w:r>
      <w:r w:rsidR="006B285A">
        <w:rPr>
          <w:lang w:val="en-GB"/>
        </w:rPr>
        <w:lastRenderedPageBreak/>
        <w:t xml:space="preserve">supernatural envoy </w:t>
      </w:r>
      <w:r>
        <w:rPr>
          <w:lang w:val="en-GB"/>
        </w:rPr>
        <w:t xml:space="preserve">again </w:t>
      </w:r>
      <w:r w:rsidR="006B285A">
        <w:rPr>
          <w:lang w:val="en-GB"/>
        </w:rPr>
        <w:t xml:space="preserve">calls from the heavens at the last minute to </w:t>
      </w:r>
      <w:r>
        <w:rPr>
          <w:lang w:val="en-GB"/>
        </w:rPr>
        <w:t>stop the boy dying. T</w:t>
      </w:r>
      <w:r w:rsidR="006B285A">
        <w:rPr>
          <w:lang w:val="en-GB"/>
        </w:rPr>
        <w:t xml:space="preserve">he boy’s parent </w:t>
      </w:r>
      <w:r>
        <w:rPr>
          <w:lang w:val="en-GB"/>
        </w:rPr>
        <w:t xml:space="preserve">again </w:t>
      </w:r>
      <w:r w:rsidR="006B285A">
        <w:rPr>
          <w:lang w:val="en-GB"/>
        </w:rPr>
        <w:t>sees some</w:t>
      </w:r>
      <w:r w:rsidR="00F9756D">
        <w:rPr>
          <w:lang w:val="en-GB"/>
        </w:rPr>
        <w:t>thing they had not seen before.</w:t>
      </w:r>
      <w:r w:rsidR="00F55A2E">
        <w:rPr>
          <w:rStyle w:val="FootnoteReference"/>
          <w:lang w:val="en-GB"/>
        </w:rPr>
        <w:footnoteReference w:id="647"/>
      </w:r>
      <w:r w:rsidR="00F9756D">
        <w:rPr>
          <w:lang w:val="en-GB"/>
        </w:rPr>
        <w:t xml:space="preserve"> </w:t>
      </w:r>
    </w:p>
    <w:p w14:paraId="1AB73454" w14:textId="2B452E80" w:rsidR="008720DE" w:rsidRPr="00F9756D" w:rsidRDefault="00F9756D" w:rsidP="008720DE">
      <w:pPr>
        <w:rPr>
          <w:lang w:val="en-GB"/>
        </w:rPr>
      </w:pPr>
      <w:r>
        <w:rPr>
          <w:lang w:val="en-GB"/>
        </w:rPr>
        <w:t>V. 1</w:t>
      </w:r>
      <w:r w:rsidR="008E3A75">
        <w:rPr>
          <w:lang w:val="en-GB"/>
        </w:rPr>
        <w:t>a</w:t>
      </w:r>
      <w:r>
        <w:rPr>
          <w:lang w:val="en-GB"/>
        </w:rPr>
        <w:t xml:space="preserve"> sets up the question which the story will deal with (what was the test, how did Abraham do, what w</w:t>
      </w:r>
      <w:r w:rsidR="003139AB">
        <w:rPr>
          <w:lang w:val="en-GB"/>
        </w:rPr>
        <w:t>as the result?),</w:t>
      </w:r>
      <w:r w:rsidR="008E3A75">
        <w:rPr>
          <w:lang w:val="en-GB"/>
        </w:rPr>
        <w:t xml:space="preserve"> vv. 1b-14 </w:t>
      </w:r>
      <w:r>
        <w:rPr>
          <w:lang w:val="en-GB"/>
        </w:rPr>
        <w:t>provides the answer</w:t>
      </w:r>
      <w:r w:rsidR="008E3A75">
        <w:rPr>
          <w:lang w:val="en-GB"/>
        </w:rPr>
        <w:t>, and vv. 15-19 form a coda and conclusion</w:t>
      </w:r>
      <w:r w:rsidR="00D178B7">
        <w:rPr>
          <w:lang w:val="en-GB"/>
        </w:rPr>
        <w:t>. An</w:t>
      </w:r>
      <w:r>
        <w:rPr>
          <w:lang w:val="en-GB"/>
        </w:rPr>
        <w:t>alysing</w:t>
      </w:r>
      <w:r w:rsidR="008E3A75">
        <w:rPr>
          <w:lang w:val="en-GB"/>
        </w:rPr>
        <w:t xml:space="preserve"> the main story </w:t>
      </w:r>
      <w:r w:rsidR="00D178B7">
        <w:rPr>
          <w:lang w:val="en-GB"/>
        </w:rPr>
        <w:t>can</w:t>
      </w:r>
      <w:r>
        <w:rPr>
          <w:lang w:val="en-GB"/>
        </w:rPr>
        <w:t xml:space="preserve"> begin from the three occasions when </w:t>
      </w:r>
      <w:r w:rsidR="008E3A75">
        <w:rPr>
          <w:lang w:val="en-GB"/>
        </w:rPr>
        <w:t>Abraham is addressed and answers</w:t>
      </w:r>
      <w:r>
        <w:rPr>
          <w:lang w:val="en-GB"/>
        </w:rPr>
        <w:t xml:space="preserve"> </w:t>
      </w:r>
      <w:r>
        <w:rPr>
          <w:i/>
          <w:lang w:val="en-GB"/>
        </w:rPr>
        <w:t>hinnēnî</w:t>
      </w:r>
      <w:r>
        <w:rPr>
          <w:lang w:val="en-GB"/>
        </w:rPr>
        <w:t>, “I’m here!”</w:t>
      </w:r>
      <w:r w:rsidR="005D481C">
        <w:rPr>
          <w:lang w:val="en-GB"/>
        </w:rPr>
        <w:t xml:space="preserve"> </w:t>
      </w:r>
      <w:r w:rsidR="006F082D">
        <w:rPr>
          <w:lang w:val="en-GB"/>
        </w:rPr>
        <w:t>E</w:t>
      </w:r>
      <w:r w:rsidR="006F082D" w:rsidRPr="006F082D">
        <w:rPr>
          <w:lang w:val="en-GB"/>
        </w:rPr>
        <w:t>ach exchange signals a tense ne</w:t>
      </w:r>
      <w:r w:rsidR="003139AB">
        <w:rPr>
          <w:lang w:val="en-GB"/>
        </w:rPr>
        <w:t>w development in the narrative;</w:t>
      </w:r>
      <w:r w:rsidR="006F082D" w:rsidRPr="006F082D">
        <w:rPr>
          <w:vertAlign w:val="superscript"/>
          <w:lang w:val="en-GB"/>
        </w:rPr>
        <w:footnoteReference w:id="648"/>
      </w:r>
      <w:r w:rsidR="00727890">
        <w:rPr>
          <w:lang w:val="en-GB"/>
        </w:rPr>
        <w:t xml:space="preserve"> </w:t>
      </w:r>
      <w:r w:rsidR="003139AB">
        <w:rPr>
          <w:lang w:val="en-GB"/>
        </w:rPr>
        <w:t>each response</w:t>
      </w:r>
      <w:r w:rsidR="005D481C">
        <w:rPr>
          <w:lang w:val="en-GB"/>
        </w:rPr>
        <w:t xml:space="preserve"> </w:t>
      </w:r>
      <w:r w:rsidR="005D481C" w:rsidRPr="005D481C">
        <w:rPr>
          <w:lang w:val="en-GB"/>
        </w:rPr>
        <w:t>includes a key statement by Abraham.</w:t>
      </w:r>
    </w:p>
    <w:p w14:paraId="015F3051" w14:textId="77777777" w:rsidR="00C16DAB" w:rsidRDefault="00C16DAB" w:rsidP="008720DE">
      <w:pPr>
        <w:rPr>
          <w:lang w:val="en-GB"/>
        </w:rPr>
      </w:pPr>
    </w:p>
    <w:p w14:paraId="3BCD56F0" w14:textId="77777777" w:rsidR="00C16DAB" w:rsidRPr="00C16DAB" w:rsidRDefault="00C16DAB" w:rsidP="00C16DAB">
      <w:pPr>
        <w:pStyle w:val="PlainText"/>
        <w:rPr>
          <w:lang w:val="en-GB"/>
        </w:rPr>
      </w:pPr>
      <w:r w:rsidRPr="00C16DAB">
        <w:rPr>
          <w:lang w:val="en-GB"/>
        </w:rPr>
        <w:t>1</w:t>
      </w:r>
      <w:r w:rsidR="008E3A75">
        <w:rPr>
          <w:lang w:val="en-GB"/>
        </w:rPr>
        <w:t>b</w:t>
      </w:r>
      <w:r w:rsidRPr="00C16DAB">
        <w:rPr>
          <w:lang w:val="en-GB"/>
        </w:rPr>
        <w:t xml:space="preserve"> invocation</w:t>
      </w:r>
      <w:r>
        <w:rPr>
          <w:lang w:val="en-GB"/>
        </w:rPr>
        <w:tab/>
      </w:r>
      <w:r>
        <w:rPr>
          <w:lang w:val="en-GB"/>
        </w:rPr>
        <w:tab/>
      </w:r>
      <w:r>
        <w:rPr>
          <w:lang w:val="en-GB"/>
        </w:rPr>
        <w:tab/>
        <w:t>7</w:t>
      </w:r>
      <w:r w:rsidR="008E3A75">
        <w:rPr>
          <w:lang w:val="en-GB"/>
        </w:rPr>
        <w:t>a</w:t>
      </w:r>
      <w:r w:rsidRPr="00C16DAB">
        <w:rPr>
          <w:lang w:val="en-GB"/>
        </w:rPr>
        <w:t xml:space="preserve"> invocation</w:t>
      </w:r>
      <w:r>
        <w:rPr>
          <w:lang w:val="en-GB"/>
        </w:rPr>
        <w:tab/>
      </w:r>
      <w:r>
        <w:rPr>
          <w:lang w:val="en-GB"/>
        </w:rPr>
        <w:tab/>
      </w:r>
      <w:r>
        <w:rPr>
          <w:lang w:val="en-GB"/>
        </w:rPr>
        <w:tab/>
      </w:r>
      <w:r w:rsidRPr="00C16DAB">
        <w:rPr>
          <w:lang w:val="en-GB"/>
        </w:rPr>
        <w:t>1</w:t>
      </w:r>
      <w:r>
        <w:rPr>
          <w:lang w:val="en-GB"/>
        </w:rPr>
        <w:t>1</w:t>
      </w:r>
      <w:r w:rsidR="008E3A75">
        <w:rPr>
          <w:lang w:val="en-GB"/>
        </w:rPr>
        <w:t>a</w:t>
      </w:r>
      <w:r w:rsidRPr="00C16DAB">
        <w:rPr>
          <w:lang w:val="en-GB"/>
        </w:rPr>
        <w:t xml:space="preserve"> invocation</w:t>
      </w:r>
    </w:p>
    <w:p w14:paraId="4F8D01EA" w14:textId="77777777" w:rsidR="00C16DAB" w:rsidRPr="00C16DAB" w:rsidRDefault="00C16DAB" w:rsidP="00C16DAB">
      <w:pPr>
        <w:pStyle w:val="PlainText"/>
        <w:rPr>
          <w:lang w:val="en-GB"/>
        </w:rPr>
      </w:pPr>
      <w:r w:rsidRPr="00C16DAB">
        <w:rPr>
          <w:lang w:val="en-GB"/>
        </w:rPr>
        <w:t>1</w:t>
      </w:r>
      <w:r w:rsidR="008E3A75">
        <w:rPr>
          <w:lang w:val="en-GB"/>
        </w:rPr>
        <w:t>b answer</w:t>
      </w:r>
      <w:r>
        <w:rPr>
          <w:lang w:val="en-GB"/>
        </w:rPr>
        <w:tab/>
      </w:r>
      <w:r>
        <w:rPr>
          <w:lang w:val="en-GB"/>
        </w:rPr>
        <w:tab/>
      </w:r>
      <w:r>
        <w:rPr>
          <w:lang w:val="en-GB"/>
        </w:rPr>
        <w:tab/>
        <w:t>7</w:t>
      </w:r>
      <w:r w:rsidR="008E3A75">
        <w:rPr>
          <w:lang w:val="en-GB"/>
        </w:rPr>
        <w:t>a answer</w:t>
      </w:r>
      <w:r>
        <w:rPr>
          <w:lang w:val="en-GB"/>
        </w:rPr>
        <w:tab/>
      </w:r>
      <w:r>
        <w:rPr>
          <w:lang w:val="en-GB"/>
        </w:rPr>
        <w:tab/>
      </w:r>
      <w:r>
        <w:rPr>
          <w:lang w:val="en-GB"/>
        </w:rPr>
        <w:tab/>
      </w:r>
      <w:r w:rsidRPr="00C16DAB">
        <w:rPr>
          <w:lang w:val="en-GB"/>
        </w:rPr>
        <w:t>1</w:t>
      </w:r>
      <w:r>
        <w:rPr>
          <w:lang w:val="en-GB"/>
        </w:rPr>
        <w:t>1</w:t>
      </w:r>
      <w:r w:rsidR="008E3A75">
        <w:rPr>
          <w:lang w:val="en-GB"/>
        </w:rPr>
        <w:t>b answer</w:t>
      </w:r>
    </w:p>
    <w:p w14:paraId="6F8F534F" w14:textId="77777777" w:rsidR="00C16DAB" w:rsidRPr="00C16DAB" w:rsidRDefault="008E3A75" w:rsidP="00C16DAB">
      <w:pPr>
        <w:pStyle w:val="PlainText"/>
        <w:rPr>
          <w:lang w:val="en-GB"/>
        </w:rPr>
      </w:pPr>
      <w:r>
        <w:rPr>
          <w:lang w:val="en-GB"/>
        </w:rPr>
        <w:t>2 speech</w:t>
      </w:r>
      <w:r w:rsidR="00C16DAB">
        <w:rPr>
          <w:lang w:val="en-GB"/>
        </w:rPr>
        <w:tab/>
      </w:r>
      <w:r w:rsidR="00C16DAB">
        <w:rPr>
          <w:lang w:val="en-GB"/>
        </w:rPr>
        <w:tab/>
      </w:r>
      <w:r w:rsidR="00C16DAB">
        <w:rPr>
          <w:lang w:val="en-GB"/>
        </w:rPr>
        <w:tab/>
        <w:t>7b</w:t>
      </w:r>
      <w:r>
        <w:rPr>
          <w:lang w:val="en-GB"/>
        </w:rPr>
        <w:t xml:space="preserve"> speech</w:t>
      </w:r>
      <w:r w:rsidR="00C16DAB">
        <w:rPr>
          <w:lang w:val="en-GB"/>
        </w:rPr>
        <w:tab/>
      </w:r>
      <w:r w:rsidR="00C16DAB">
        <w:rPr>
          <w:lang w:val="en-GB"/>
        </w:rPr>
        <w:tab/>
      </w:r>
      <w:r w:rsidR="00C16DAB">
        <w:rPr>
          <w:lang w:val="en-GB"/>
        </w:rPr>
        <w:tab/>
        <w:t>12</w:t>
      </w:r>
      <w:r>
        <w:rPr>
          <w:lang w:val="en-GB"/>
        </w:rPr>
        <w:t xml:space="preserve"> speech</w:t>
      </w:r>
      <w:r w:rsidR="00C16DAB">
        <w:rPr>
          <w:lang w:val="en-GB"/>
        </w:rPr>
        <w:tab/>
      </w:r>
    </w:p>
    <w:p w14:paraId="687BEDB7" w14:textId="77777777" w:rsidR="00C16DAB" w:rsidRDefault="008E3A75" w:rsidP="00C16DAB">
      <w:pPr>
        <w:pStyle w:val="PlainText"/>
        <w:rPr>
          <w:lang w:val="en-GB"/>
        </w:rPr>
      </w:pPr>
      <w:r>
        <w:rPr>
          <w:lang w:val="en-GB"/>
        </w:rPr>
        <w:t>3-6 response/</w:t>
      </w:r>
      <w:r w:rsidR="00C16DAB" w:rsidRPr="00C16DAB">
        <w:rPr>
          <w:lang w:val="en-GB"/>
        </w:rPr>
        <w:t>action</w:t>
      </w:r>
      <w:r>
        <w:rPr>
          <w:lang w:val="en-GB"/>
        </w:rPr>
        <w:tab/>
      </w:r>
      <w:r>
        <w:rPr>
          <w:lang w:val="en-GB"/>
        </w:rPr>
        <w:tab/>
        <w:t>8-10 response/</w:t>
      </w:r>
      <w:r w:rsidR="00C16DAB" w:rsidRPr="00C16DAB">
        <w:rPr>
          <w:lang w:val="en-GB"/>
        </w:rPr>
        <w:t>action</w:t>
      </w:r>
      <w:r w:rsidR="00C16DAB">
        <w:rPr>
          <w:lang w:val="en-GB"/>
        </w:rPr>
        <w:tab/>
      </w:r>
      <w:r>
        <w:rPr>
          <w:lang w:val="en-GB"/>
        </w:rPr>
        <w:tab/>
      </w:r>
      <w:r w:rsidR="00C16DAB">
        <w:rPr>
          <w:lang w:val="en-GB"/>
        </w:rPr>
        <w:t>1</w:t>
      </w:r>
      <w:r w:rsidR="00C16DAB" w:rsidRPr="00C16DAB">
        <w:rPr>
          <w:lang w:val="en-GB"/>
        </w:rPr>
        <w:t>3</w:t>
      </w:r>
      <w:r w:rsidR="00C16DAB">
        <w:rPr>
          <w:lang w:val="en-GB"/>
        </w:rPr>
        <w:t>-14</w:t>
      </w:r>
      <w:r w:rsidR="003139AB">
        <w:rPr>
          <w:lang w:val="en-GB"/>
        </w:rPr>
        <w:t xml:space="preserve"> response/</w:t>
      </w:r>
      <w:r w:rsidR="00C16DAB" w:rsidRPr="00C16DAB">
        <w:rPr>
          <w:lang w:val="en-GB"/>
        </w:rPr>
        <w:t>action</w:t>
      </w:r>
    </w:p>
    <w:p w14:paraId="755B7499" w14:textId="77777777" w:rsidR="00DC7C4E" w:rsidRDefault="00DC7C4E" w:rsidP="00C16DAB">
      <w:pPr>
        <w:pStyle w:val="PlainText"/>
        <w:rPr>
          <w:lang w:val="en-GB"/>
        </w:rPr>
      </w:pPr>
    </w:p>
    <w:p w14:paraId="5094F9BB" w14:textId="163D5B46" w:rsidR="00752A7D" w:rsidRPr="00C16DAB" w:rsidRDefault="008E3A75" w:rsidP="00C16DAB">
      <w:pPr>
        <w:pStyle w:val="PlainText"/>
        <w:rPr>
          <w:lang w:val="en-GB"/>
        </w:rPr>
      </w:pPr>
      <w:r>
        <w:rPr>
          <w:lang w:val="en-GB"/>
        </w:rPr>
        <w:t>Another way</w:t>
      </w:r>
      <w:r w:rsidR="00D178B7">
        <w:rPr>
          <w:lang w:val="en-GB"/>
        </w:rPr>
        <w:t xml:space="preserve"> of analysing the section </w:t>
      </w:r>
      <w:r>
        <w:rPr>
          <w:lang w:val="en-GB"/>
        </w:rPr>
        <w:t>begin</w:t>
      </w:r>
      <w:r w:rsidR="00D178B7">
        <w:rPr>
          <w:lang w:val="en-GB"/>
        </w:rPr>
        <w:t>s</w:t>
      </w:r>
      <w:r>
        <w:rPr>
          <w:lang w:val="en-GB"/>
        </w:rPr>
        <w:t xml:space="preserve"> from the three key references to Isaac as “y</w:t>
      </w:r>
      <w:r w:rsidR="00AF3551">
        <w:rPr>
          <w:lang w:val="en-GB"/>
        </w:rPr>
        <w:t>our son, your only one</w:t>
      </w:r>
      <w:r>
        <w:rPr>
          <w:lang w:val="en-GB"/>
        </w:rPr>
        <w:t>,” in</w:t>
      </w:r>
      <w:r w:rsidR="00AF3551">
        <w:rPr>
          <w:lang w:val="en-GB"/>
        </w:rPr>
        <w:t xml:space="preserve"> </w:t>
      </w:r>
      <w:r>
        <w:rPr>
          <w:lang w:val="en-GB"/>
        </w:rPr>
        <w:t xml:space="preserve">vv. </w:t>
      </w:r>
      <w:r w:rsidR="00AF3551">
        <w:rPr>
          <w:lang w:val="en-GB"/>
        </w:rPr>
        <w:t xml:space="preserve">1, 12, </w:t>
      </w:r>
      <w:r>
        <w:rPr>
          <w:lang w:val="en-GB"/>
        </w:rPr>
        <w:t xml:space="preserve">and </w:t>
      </w:r>
      <w:r w:rsidR="00AF3551">
        <w:rPr>
          <w:lang w:val="en-GB"/>
        </w:rPr>
        <w:t>16</w:t>
      </w:r>
      <w:r w:rsidR="00752A7D">
        <w:rPr>
          <w:lang w:val="en-GB"/>
        </w:rPr>
        <w:t xml:space="preserve">. The first commissions the offering; </w:t>
      </w:r>
      <w:r w:rsidR="005D481C">
        <w:rPr>
          <w:lang w:val="en-GB"/>
        </w:rPr>
        <w:t>the second stops the</w:t>
      </w:r>
      <w:r w:rsidR="00752A7D">
        <w:rPr>
          <w:lang w:val="en-GB"/>
        </w:rPr>
        <w:t xml:space="preserve"> offering</w:t>
      </w:r>
      <w:r w:rsidR="005D481C">
        <w:rPr>
          <w:lang w:val="en-GB"/>
        </w:rPr>
        <w:t xml:space="preserve"> becoming a literal sacrifice</w:t>
      </w:r>
      <w:r w:rsidR="00752A7D">
        <w:rPr>
          <w:lang w:val="en-GB"/>
        </w:rPr>
        <w:t>; the third rewards the offering.</w:t>
      </w:r>
    </w:p>
    <w:p w14:paraId="7E3D675A" w14:textId="77777777" w:rsidR="003A5710" w:rsidRDefault="0029287E" w:rsidP="001425E6">
      <w:pPr>
        <w:rPr>
          <w:lang w:val="en-GB"/>
        </w:rPr>
      </w:pPr>
      <w:r>
        <w:rPr>
          <w:lang w:val="en-GB"/>
        </w:rPr>
        <w:t>On the basis of the dominant reference to “God” as o</w:t>
      </w:r>
      <w:r w:rsidR="00752A7D">
        <w:rPr>
          <w:lang w:val="en-GB"/>
        </w:rPr>
        <w:t>ppose to “Yahweh,” tradit</w:t>
      </w:r>
      <w:r>
        <w:rPr>
          <w:lang w:val="en-GB"/>
        </w:rPr>
        <w:t xml:space="preserve">ional source criticism sees the story as part of </w:t>
      </w:r>
      <w:r w:rsidR="001425E6">
        <w:rPr>
          <w:lang w:val="en-GB"/>
        </w:rPr>
        <w:t>the Elohistic Abraham n</w:t>
      </w:r>
      <w:r w:rsidR="005D481C">
        <w:rPr>
          <w:lang w:val="en-GB"/>
        </w:rPr>
        <w:t>arrative</w:t>
      </w:r>
      <w:r w:rsidR="001425E6">
        <w:rPr>
          <w:lang w:val="en-GB"/>
        </w:rPr>
        <w:t xml:space="preserve"> </w:t>
      </w:r>
      <w:r w:rsidR="005D481C">
        <w:rPr>
          <w:lang w:val="en-GB"/>
        </w:rPr>
        <w:t>(</w:t>
      </w:r>
      <w:r w:rsidR="001425E6">
        <w:rPr>
          <w:lang w:val="en-GB"/>
        </w:rPr>
        <w:t>indeed as “the literary masterpi</w:t>
      </w:r>
      <w:r w:rsidR="005D481C">
        <w:rPr>
          <w:lang w:val="en-GB"/>
        </w:rPr>
        <w:t>ece of the Elohistic collection</w:t>
      </w:r>
      <w:r w:rsidR="001425E6">
        <w:rPr>
          <w:lang w:val="en-GB"/>
        </w:rPr>
        <w:t>”</w:t>
      </w:r>
      <w:r w:rsidR="005D481C">
        <w:rPr>
          <w:lang w:val="en-GB"/>
        </w:rPr>
        <w:t>),</w:t>
      </w:r>
      <w:r w:rsidR="001425E6">
        <w:rPr>
          <w:rStyle w:val="FootnoteReference"/>
          <w:lang w:val="en-GB"/>
        </w:rPr>
        <w:footnoteReference w:id="649"/>
      </w:r>
      <w:r w:rsidR="00752A7D">
        <w:rPr>
          <w:lang w:val="en-GB"/>
        </w:rPr>
        <w:t xml:space="preserve"> and sees vv. 15-19 as a later addition to the story. </w:t>
      </w:r>
    </w:p>
    <w:p w14:paraId="14B2E188" w14:textId="10573947" w:rsidR="005B0CE7" w:rsidRDefault="007C2355" w:rsidP="005B0CE7">
      <w:pPr>
        <w:rPr>
          <w:lang w:bidi="he-IL"/>
        </w:rPr>
      </w:pPr>
      <w:r>
        <w:rPr>
          <w:b/>
          <w:lang w:bidi="he-IL"/>
        </w:rPr>
        <w:t>22:1</w:t>
      </w:r>
      <w:r w:rsidR="003D2F68">
        <w:rPr>
          <w:b/>
          <w:lang w:bidi="he-IL"/>
        </w:rPr>
        <w:t>.</w:t>
      </w:r>
      <w:r w:rsidR="003D2F68">
        <w:rPr>
          <w:lang w:bidi="he-IL"/>
        </w:rPr>
        <w:t xml:space="preserve"> </w:t>
      </w:r>
      <w:proofErr w:type="gramStart"/>
      <w:r w:rsidR="003D2F68">
        <w:rPr>
          <w:lang w:bidi="he-IL"/>
        </w:rPr>
        <w:t>The</w:t>
      </w:r>
      <w:proofErr w:type="gramEnd"/>
      <w:r w:rsidR="003D2F68">
        <w:rPr>
          <w:lang w:bidi="he-IL"/>
        </w:rPr>
        <w:t xml:space="preserve"> </w:t>
      </w:r>
      <w:r w:rsidR="008E5190">
        <w:rPr>
          <w:lang w:bidi="he-IL"/>
        </w:rPr>
        <w:t>time reference is vague</w:t>
      </w:r>
      <w:r w:rsidR="00BA519D">
        <w:rPr>
          <w:lang w:bidi="he-IL"/>
        </w:rPr>
        <w:t xml:space="preserve">, </w:t>
      </w:r>
      <w:r w:rsidR="005230F8">
        <w:rPr>
          <w:lang w:bidi="he-IL"/>
        </w:rPr>
        <w:t>b</w:t>
      </w:r>
      <w:r w:rsidR="002117E7">
        <w:rPr>
          <w:lang w:bidi="he-IL"/>
        </w:rPr>
        <w:t xml:space="preserve">ut </w:t>
      </w:r>
      <w:r w:rsidR="00C51E42">
        <w:rPr>
          <w:lang w:bidi="he-IL"/>
        </w:rPr>
        <w:t xml:space="preserve">Isaac is </w:t>
      </w:r>
      <w:r w:rsidR="002117E7">
        <w:rPr>
          <w:lang w:bidi="he-IL"/>
        </w:rPr>
        <w:t xml:space="preserve">now </w:t>
      </w:r>
      <w:r w:rsidR="00C51E42">
        <w:rPr>
          <w:lang w:bidi="he-IL"/>
        </w:rPr>
        <w:t xml:space="preserve">big enough to have a load of </w:t>
      </w:r>
      <w:r w:rsidR="007524A7">
        <w:rPr>
          <w:lang w:bidi="he-IL"/>
        </w:rPr>
        <w:t xml:space="preserve">wood </w:t>
      </w:r>
      <w:r w:rsidR="00C51E42">
        <w:rPr>
          <w:lang w:bidi="he-IL"/>
        </w:rPr>
        <w:t xml:space="preserve">on his back </w:t>
      </w:r>
      <w:r w:rsidR="00EC2AB7">
        <w:rPr>
          <w:lang w:bidi="he-IL"/>
        </w:rPr>
        <w:t xml:space="preserve">so </w:t>
      </w:r>
      <w:r w:rsidR="007524A7">
        <w:rPr>
          <w:lang w:bidi="he-IL"/>
        </w:rPr>
        <w:t xml:space="preserve">we should imagine him as </w:t>
      </w:r>
      <w:r w:rsidR="00EC2AB7">
        <w:rPr>
          <w:lang w:bidi="he-IL"/>
        </w:rPr>
        <w:t xml:space="preserve">at least </w:t>
      </w:r>
      <w:r w:rsidR="007524A7">
        <w:rPr>
          <w:lang w:bidi="he-IL"/>
        </w:rPr>
        <w:t>a teenager</w:t>
      </w:r>
      <w:r w:rsidR="00C51E42">
        <w:rPr>
          <w:lang w:bidi="he-IL"/>
        </w:rPr>
        <w:t xml:space="preserve"> like Ishmael </w:t>
      </w:r>
      <w:r w:rsidR="005D481C">
        <w:rPr>
          <w:lang w:bidi="he-IL"/>
        </w:rPr>
        <w:t>in the previous chapter</w:t>
      </w:r>
      <w:r w:rsidR="000721E0">
        <w:rPr>
          <w:lang w:bidi="he-IL"/>
        </w:rPr>
        <w:t>.</w:t>
      </w:r>
      <w:r w:rsidR="00117F5A">
        <w:rPr>
          <w:lang w:bidi="he-IL"/>
        </w:rPr>
        <w:t xml:space="preserve"> </w:t>
      </w:r>
      <w:r w:rsidR="004F617A">
        <w:rPr>
          <w:lang w:bidi="he-IL"/>
        </w:rPr>
        <w:t xml:space="preserve">He is called both a </w:t>
      </w:r>
      <w:r w:rsidR="004F617A">
        <w:rPr>
          <w:i/>
          <w:lang w:bidi="he-IL"/>
        </w:rPr>
        <w:t xml:space="preserve">yeled </w:t>
      </w:r>
      <w:r w:rsidR="004F617A">
        <w:rPr>
          <w:lang w:bidi="he-IL"/>
        </w:rPr>
        <w:t xml:space="preserve">and a </w:t>
      </w:r>
      <w:proofErr w:type="gramStart"/>
      <w:r w:rsidR="004F617A" w:rsidRPr="004F617A">
        <w:rPr>
          <w:i/>
          <w:lang w:bidi="he-IL"/>
        </w:rPr>
        <w:t>na‘ar</w:t>
      </w:r>
      <w:proofErr w:type="gramEnd"/>
      <w:r w:rsidR="003139AB">
        <w:rPr>
          <w:lang w:bidi="he-IL"/>
        </w:rPr>
        <w:t xml:space="preserve">, </w:t>
      </w:r>
      <w:r w:rsidR="00294909">
        <w:rPr>
          <w:lang w:bidi="he-IL"/>
        </w:rPr>
        <w:t>words that we</w:t>
      </w:r>
      <w:r w:rsidR="005D481C">
        <w:rPr>
          <w:lang w:bidi="he-IL"/>
        </w:rPr>
        <w:t xml:space="preserve">re used of Ishmael </w:t>
      </w:r>
      <w:r w:rsidR="003139AB">
        <w:rPr>
          <w:lang w:bidi="he-IL"/>
        </w:rPr>
        <w:t>there</w:t>
      </w:r>
      <w:r w:rsidR="005D481C">
        <w:rPr>
          <w:lang w:bidi="he-IL"/>
        </w:rPr>
        <w:t xml:space="preserve"> (and see the comment on 21:9)</w:t>
      </w:r>
      <w:r w:rsidR="00294909">
        <w:rPr>
          <w:lang w:bidi="he-IL"/>
        </w:rPr>
        <w:t>;</w:t>
      </w:r>
      <w:r w:rsidR="003F14B7">
        <w:rPr>
          <w:lang w:bidi="he-IL"/>
        </w:rPr>
        <w:t xml:space="preserve"> </w:t>
      </w:r>
      <w:r w:rsidR="003F14B7" w:rsidRPr="003F14B7">
        <w:rPr>
          <w:i/>
          <w:lang w:bidi="he-IL"/>
        </w:rPr>
        <w:t>na‘ar</w:t>
      </w:r>
      <w:r w:rsidR="00727890">
        <w:rPr>
          <w:lang w:bidi="he-IL"/>
        </w:rPr>
        <w:t xml:space="preserve"> </w:t>
      </w:r>
      <w:r w:rsidR="004F617A">
        <w:rPr>
          <w:lang w:bidi="he-IL"/>
        </w:rPr>
        <w:t xml:space="preserve">is also </w:t>
      </w:r>
      <w:r w:rsidR="00294909">
        <w:rPr>
          <w:lang w:bidi="he-IL"/>
        </w:rPr>
        <w:t>the term for</w:t>
      </w:r>
      <w:r w:rsidR="003F14B7">
        <w:rPr>
          <w:lang w:bidi="he-IL"/>
        </w:rPr>
        <w:t xml:space="preserve"> the two “boys” who ar</w:t>
      </w:r>
      <w:r w:rsidR="00294909">
        <w:rPr>
          <w:lang w:bidi="he-IL"/>
        </w:rPr>
        <w:t xml:space="preserve">e Abraham’s servants in vv. 5, 12, </w:t>
      </w:r>
      <w:r w:rsidR="004F617A">
        <w:rPr>
          <w:lang w:bidi="he-IL"/>
        </w:rPr>
        <w:t xml:space="preserve">for </w:t>
      </w:r>
      <w:r w:rsidR="00294909">
        <w:rPr>
          <w:lang w:bidi="he-IL"/>
        </w:rPr>
        <w:t>the fighters in 14:24</w:t>
      </w:r>
      <w:r w:rsidR="00F336C4">
        <w:rPr>
          <w:lang w:bidi="he-IL"/>
        </w:rPr>
        <w:t>,</w:t>
      </w:r>
      <w:r w:rsidR="00D178B7">
        <w:rPr>
          <w:lang w:bidi="he-IL"/>
        </w:rPr>
        <w:t xml:space="preserve"> and for Shechem when he has sex with</w:t>
      </w:r>
      <w:r w:rsidR="00294909">
        <w:rPr>
          <w:lang w:bidi="he-IL"/>
        </w:rPr>
        <w:t xml:space="preserve"> Dinah in 34:19.</w:t>
      </w:r>
      <w:r w:rsidR="004F617A" w:rsidRPr="004F617A">
        <w:rPr>
          <w:vertAlign w:val="superscript"/>
          <w:lang w:bidi="he-IL"/>
        </w:rPr>
        <w:footnoteReference w:id="650"/>
      </w:r>
      <w:r w:rsidR="00294909">
        <w:rPr>
          <w:lang w:bidi="he-IL"/>
        </w:rPr>
        <w:t xml:space="preserve"> </w:t>
      </w:r>
      <w:r w:rsidR="004F617A">
        <w:rPr>
          <w:lang w:bidi="he-IL"/>
        </w:rPr>
        <w:t>T</w:t>
      </w:r>
      <w:r w:rsidR="00472DD4">
        <w:rPr>
          <w:lang w:bidi="he-IL"/>
        </w:rPr>
        <w:t xml:space="preserve">he story is </w:t>
      </w:r>
      <w:r w:rsidR="004F617A">
        <w:rPr>
          <w:lang w:bidi="he-IL"/>
        </w:rPr>
        <w:t>also not explicit</w:t>
      </w:r>
      <w:r w:rsidR="00472DD4">
        <w:rPr>
          <w:lang w:bidi="he-IL"/>
        </w:rPr>
        <w:t xml:space="preserve"> about where Abraham and Isaac are. </w:t>
      </w:r>
      <w:r w:rsidR="008E5190">
        <w:rPr>
          <w:lang w:bidi="he-IL"/>
        </w:rPr>
        <w:t>Gen 21</w:t>
      </w:r>
      <w:r w:rsidR="00D178B7">
        <w:rPr>
          <w:lang w:bidi="he-IL"/>
        </w:rPr>
        <w:t>:33-34 would imply</w:t>
      </w:r>
      <w:r w:rsidR="005D481C">
        <w:rPr>
          <w:lang w:bidi="he-IL"/>
        </w:rPr>
        <w:t xml:space="preserve"> that</w:t>
      </w:r>
      <w:r w:rsidR="00472DD4">
        <w:rPr>
          <w:lang w:bidi="he-IL"/>
        </w:rPr>
        <w:t xml:space="preserve"> they are in Beer Sheba, </w:t>
      </w:r>
      <w:r w:rsidR="00E33FA3">
        <w:rPr>
          <w:lang w:bidi="he-IL"/>
        </w:rPr>
        <w:t xml:space="preserve">but </w:t>
      </w:r>
      <w:r w:rsidR="00D178B7">
        <w:rPr>
          <w:lang w:bidi="he-IL"/>
        </w:rPr>
        <w:t>the “long time” might have</w:t>
      </w:r>
      <w:r w:rsidR="00472DD4">
        <w:rPr>
          <w:lang w:bidi="he-IL"/>
        </w:rPr>
        <w:t xml:space="preserve"> come to an end by now, and</w:t>
      </w:r>
      <w:r w:rsidR="005D481C">
        <w:rPr>
          <w:lang w:bidi="he-IL"/>
        </w:rPr>
        <w:t xml:space="preserve"> v. </w:t>
      </w:r>
      <w:r w:rsidR="008E5190">
        <w:rPr>
          <w:lang w:bidi="he-IL"/>
        </w:rPr>
        <w:t xml:space="preserve">19 </w:t>
      </w:r>
      <w:r w:rsidR="00472DD4">
        <w:rPr>
          <w:lang w:bidi="he-IL"/>
        </w:rPr>
        <w:t xml:space="preserve">does not speak of them </w:t>
      </w:r>
      <w:r w:rsidR="00472DD4">
        <w:rPr>
          <w:i/>
          <w:lang w:bidi="he-IL"/>
        </w:rPr>
        <w:t xml:space="preserve">returning </w:t>
      </w:r>
      <w:r w:rsidR="00472DD4">
        <w:rPr>
          <w:lang w:bidi="he-IL"/>
        </w:rPr>
        <w:t xml:space="preserve">to Beer Sheba. </w:t>
      </w:r>
      <w:r w:rsidR="00C16DAB">
        <w:rPr>
          <w:lang w:bidi="he-IL"/>
        </w:rPr>
        <w:t>“The most we know about the location of Abraham” i</w:t>
      </w:r>
      <w:r w:rsidR="006D5DA9">
        <w:rPr>
          <w:lang w:bidi="he-IL"/>
        </w:rPr>
        <w:t>s that “he stands before a word” in the sense that “h</w:t>
      </w:r>
      <w:r w:rsidR="00C16DAB">
        <w:rPr>
          <w:lang w:bidi="he-IL"/>
        </w:rPr>
        <w:t>e is addressed…. Addressed by the purposes of heaven or the pathos of earth, he is a man ready to be addressed.”</w:t>
      </w:r>
      <w:r w:rsidR="00C16DAB">
        <w:rPr>
          <w:rStyle w:val="FootnoteReference"/>
          <w:lang w:bidi="he-IL"/>
        </w:rPr>
        <w:footnoteReference w:id="651"/>
      </w:r>
      <w:r w:rsidR="00C16DAB">
        <w:rPr>
          <w:lang w:bidi="he-IL"/>
        </w:rPr>
        <w:t xml:space="preserve"> </w:t>
      </w:r>
      <w:r w:rsidR="00DC634C">
        <w:rPr>
          <w:lang w:bidi="he-IL"/>
        </w:rPr>
        <w:t>For that matter, the story is vague about wher</w:t>
      </w:r>
      <w:r w:rsidR="00331AC9">
        <w:rPr>
          <w:lang w:bidi="he-IL"/>
        </w:rPr>
        <w:t>e God is, and about whether he c</w:t>
      </w:r>
      <w:r w:rsidR="00DC634C">
        <w:rPr>
          <w:lang w:bidi="he-IL"/>
        </w:rPr>
        <w:t xml:space="preserve">omes to Abraham </w:t>
      </w:r>
      <w:r w:rsidR="00331AC9">
        <w:rPr>
          <w:lang w:bidi="he-IL"/>
        </w:rPr>
        <w:t>in</w:t>
      </w:r>
      <w:r w:rsidR="002117E7">
        <w:rPr>
          <w:lang w:bidi="he-IL"/>
        </w:rPr>
        <w:t xml:space="preserve"> a dream (as v. 3 might imply). Nor does it say whether God’s testing</w:t>
      </w:r>
      <w:r w:rsidR="00331AC9">
        <w:rPr>
          <w:lang w:bidi="he-IL"/>
        </w:rPr>
        <w:t xml:space="preserve"> </w:t>
      </w:r>
      <w:r w:rsidR="002117E7">
        <w:rPr>
          <w:lang w:bidi="he-IL"/>
        </w:rPr>
        <w:t xml:space="preserve">has </w:t>
      </w:r>
      <w:r w:rsidR="00331AC9">
        <w:rPr>
          <w:lang w:bidi="he-IL"/>
        </w:rPr>
        <w:t xml:space="preserve">some background in a </w:t>
      </w:r>
      <w:r w:rsidR="002117E7">
        <w:rPr>
          <w:lang w:bidi="he-IL"/>
        </w:rPr>
        <w:t>heavenly consultation, as is the case in Job</w:t>
      </w:r>
      <w:r w:rsidR="009F245C">
        <w:rPr>
          <w:lang w:bidi="he-IL"/>
        </w:rPr>
        <w:t xml:space="preserve">. </w:t>
      </w:r>
      <w:r w:rsidR="009F245C" w:rsidRPr="009F245C">
        <w:rPr>
          <w:i/>
          <w:lang w:bidi="he-IL"/>
        </w:rPr>
        <w:t xml:space="preserve">Jub 17—18 </w:t>
      </w:r>
      <w:r w:rsidR="009F245C" w:rsidRPr="009F245C">
        <w:rPr>
          <w:lang w:bidi="he-IL"/>
        </w:rPr>
        <w:t>reads Gen 22 in light of Job and tra</w:t>
      </w:r>
      <w:r w:rsidR="009F245C">
        <w:rPr>
          <w:lang w:bidi="he-IL"/>
        </w:rPr>
        <w:t>ces back the idea of testing Abraham</w:t>
      </w:r>
      <w:r w:rsidR="009F245C" w:rsidRPr="009F245C">
        <w:rPr>
          <w:lang w:bidi="he-IL"/>
        </w:rPr>
        <w:t xml:space="preserve"> to Prince Animosity (</w:t>
      </w:r>
      <w:r w:rsidR="009F245C" w:rsidRPr="009F245C">
        <w:rPr>
          <w:i/>
          <w:lang w:bidi="he-IL"/>
        </w:rPr>
        <w:t>maśṭēmāh</w:t>
      </w:r>
      <w:r w:rsidR="009F245C" w:rsidRPr="009F245C">
        <w:rPr>
          <w:lang w:bidi="he-IL"/>
        </w:rPr>
        <w:t xml:space="preserve">, cf. Hos 9:7-8; the verb </w:t>
      </w:r>
      <w:r w:rsidR="009F245C" w:rsidRPr="009F245C">
        <w:rPr>
          <w:i/>
          <w:lang w:bidi="he-IL"/>
        </w:rPr>
        <w:t>śāṭam</w:t>
      </w:r>
      <w:r w:rsidR="009F245C" w:rsidRPr="009F245C">
        <w:rPr>
          <w:lang w:bidi="he-IL"/>
        </w:rPr>
        <w:t xml:space="preserve"> is suspiciously similar to </w:t>
      </w:r>
      <w:r w:rsidR="009F245C" w:rsidRPr="009F245C">
        <w:rPr>
          <w:i/>
          <w:lang w:bidi="he-IL"/>
        </w:rPr>
        <w:t>śāṭān</w:t>
      </w:r>
      <w:r w:rsidR="00E33FA3">
        <w:rPr>
          <w:i/>
          <w:lang w:bidi="he-IL"/>
        </w:rPr>
        <w:t>—</w:t>
      </w:r>
      <w:r w:rsidR="00E33FA3">
        <w:rPr>
          <w:lang w:bidi="he-IL"/>
        </w:rPr>
        <w:t>it</w:t>
      </w:r>
      <w:r w:rsidR="00D178B7">
        <w:rPr>
          <w:lang w:bidi="he-IL"/>
        </w:rPr>
        <w:t xml:space="preserve"> comes in Job 16:9; 30:21). T</w:t>
      </w:r>
      <w:r w:rsidR="00E33FA3">
        <w:rPr>
          <w:lang w:bidi="he-IL"/>
        </w:rPr>
        <w:t xml:space="preserve">he testing </w:t>
      </w:r>
      <w:r w:rsidR="00D178B7">
        <w:rPr>
          <w:lang w:bidi="he-IL"/>
        </w:rPr>
        <w:t xml:space="preserve">then </w:t>
      </w:r>
      <w:r w:rsidR="009F245C" w:rsidRPr="009F245C">
        <w:rPr>
          <w:lang w:bidi="he-IL"/>
        </w:rPr>
        <w:t>vindicates God’s faith in Abraham and shames Prince Animosity.</w:t>
      </w:r>
      <w:r w:rsidR="009F245C">
        <w:rPr>
          <w:lang w:bidi="he-IL"/>
        </w:rPr>
        <w:t xml:space="preserve"> In Genesis, </w:t>
      </w:r>
      <w:r w:rsidR="00472DD4">
        <w:rPr>
          <w:lang w:bidi="he-IL"/>
        </w:rPr>
        <w:t xml:space="preserve">the vagueness of the chronology and geography </w:t>
      </w:r>
      <w:r w:rsidR="006F37DA">
        <w:rPr>
          <w:lang w:bidi="he-IL"/>
        </w:rPr>
        <w:t>makes for an appropriate framework within which to hear a story that seems to happen in a strange world.</w:t>
      </w:r>
      <w:r w:rsidR="0029287E">
        <w:rPr>
          <w:lang w:bidi="he-IL"/>
        </w:rPr>
        <w:t xml:space="preserve"> </w:t>
      </w:r>
    </w:p>
    <w:p w14:paraId="2D82DF5F" w14:textId="2CEF4381" w:rsidR="006F37DA" w:rsidRPr="005B0CE7" w:rsidRDefault="008049DA" w:rsidP="003D2F68">
      <w:pPr>
        <w:rPr>
          <w:rFonts w:eastAsia="Times New Roman" w:cs="Times New Roman"/>
        </w:rPr>
      </w:pPr>
      <w:r>
        <w:rPr>
          <w:lang w:bidi="he-IL"/>
        </w:rPr>
        <w:t>The notion of God testing people recurs in the Scriptures (e.g., Exod 15:25; 16:4; Deut 8:2, 16; 33:8; Judg 2:22; 3:1; 1 Thess 2:4; James 1:2-5</w:t>
      </w:r>
      <w:r w:rsidR="000A62F6">
        <w:rPr>
          <w:lang w:bidi="he-IL"/>
        </w:rPr>
        <w:t>; see also 2:21</w:t>
      </w:r>
      <w:r>
        <w:rPr>
          <w:lang w:bidi="he-IL"/>
        </w:rPr>
        <w:t>).</w:t>
      </w:r>
      <w:r w:rsidR="00106DAC">
        <w:rPr>
          <w:rStyle w:val="FootnoteReference"/>
          <w:lang w:bidi="he-IL"/>
        </w:rPr>
        <w:footnoteReference w:id="652"/>
      </w:r>
      <w:r w:rsidR="00E33FA3">
        <w:rPr>
          <w:lang w:bidi="he-IL"/>
        </w:rPr>
        <w:t xml:space="preserve"> </w:t>
      </w:r>
      <w:r w:rsidR="006F37DA">
        <w:rPr>
          <w:lang w:bidi="he-IL"/>
        </w:rPr>
        <w:t xml:space="preserve">Only here does Genesis </w:t>
      </w:r>
      <w:r w:rsidR="00D178B7">
        <w:rPr>
          <w:lang w:bidi="he-IL"/>
        </w:rPr>
        <w:t xml:space="preserve">itself </w:t>
      </w:r>
      <w:r w:rsidR="006F37DA">
        <w:rPr>
          <w:lang w:bidi="he-IL"/>
        </w:rPr>
        <w:t xml:space="preserve">explicitly refer to God testing people, </w:t>
      </w:r>
      <w:r w:rsidR="0025290A">
        <w:rPr>
          <w:lang w:bidi="he-IL"/>
        </w:rPr>
        <w:t xml:space="preserve">and </w:t>
      </w:r>
      <w:r w:rsidR="00DE45D5">
        <w:rPr>
          <w:lang w:bidi="he-IL"/>
        </w:rPr>
        <w:t xml:space="preserve">it is </w:t>
      </w:r>
      <w:r w:rsidR="00F336C4">
        <w:rPr>
          <w:lang w:bidi="he-IL"/>
        </w:rPr>
        <w:t>almost the only place where</w:t>
      </w:r>
      <w:r w:rsidR="008E7E1C">
        <w:rPr>
          <w:lang w:bidi="he-IL"/>
        </w:rPr>
        <w:t xml:space="preserve"> the First</w:t>
      </w:r>
      <w:r w:rsidR="00F336C4">
        <w:rPr>
          <w:lang w:bidi="he-IL"/>
        </w:rPr>
        <w:t xml:space="preserve"> Testament has</w:t>
      </w:r>
      <w:r w:rsidR="0025290A">
        <w:rPr>
          <w:lang w:bidi="he-IL"/>
        </w:rPr>
        <w:t xml:space="preserve"> God test</w:t>
      </w:r>
      <w:r w:rsidR="00F336C4">
        <w:rPr>
          <w:lang w:bidi="he-IL"/>
        </w:rPr>
        <w:t>ing</w:t>
      </w:r>
      <w:r w:rsidR="0025290A">
        <w:rPr>
          <w:lang w:bidi="he-IL"/>
        </w:rPr>
        <w:t xml:space="preserve"> an </w:t>
      </w:r>
      <w:r w:rsidR="0025290A">
        <w:rPr>
          <w:lang w:bidi="he-IL"/>
        </w:rPr>
        <w:lastRenderedPageBreak/>
        <w:t>individual,</w:t>
      </w:r>
      <w:r w:rsidR="00DE45D5">
        <w:rPr>
          <w:rStyle w:val="FootnoteReference"/>
          <w:lang w:bidi="he-IL"/>
        </w:rPr>
        <w:footnoteReference w:id="653"/>
      </w:r>
      <w:r w:rsidR="0025290A">
        <w:rPr>
          <w:lang w:bidi="he-IL"/>
        </w:rPr>
        <w:t xml:space="preserve"> </w:t>
      </w:r>
      <w:r w:rsidR="006F37DA">
        <w:rPr>
          <w:lang w:bidi="he-IL"/>
        </w:rPr>
        <w:t>though it could have used the expression of God’s dealings with Adam and Eve and</w:t>
      </w:r>
      <w:r w:rsidR="002117E7">
        <w:rPr>
          <w:lang w:bidi="he-IL"/>
        </w:rPr>
        <w:t xml:space="preserve"> with Joseph. A</w:t>
      </w:r>
      <w:r w:rsidR="008F27E4">
        <w:rPr>
          <w:lang w:bidi="he-IL"/>
        </w:rPr>
        <w:t xml:space="preserve">rguably God has </w:t>
      </w:r>
      <w:r w:rsidR="002117E7">
        <w:rPr>
          <w:lang w:bidi="he-IL"/>
        </w:rPr>
        <w:t xml:space="preserve">already </w:t>
      </w:r>
      <w:r w:rsidR="008F27E4">
        <w:rPr>
          <w:lang w:bidi="he-IL"/>
        </w:rPr>
        <w:t xml:space="preserve">tested Abraham lots, </w:t>
      </w:r>
      <w:r w:rsidR="002117E7">
        <w:rPr>
          <w:lang w:bidi="he-IL"/>
        </w:rPr>
        <w:t xml:space="preserve">and not just in Gen 21: </w:t>
      </w:r>
      <w:r w:rsidR="008F27E4">
        <w:rPr>
          <w:lang w:bidi="he-IL"/>
        </w:rPr>
        <w:t>“with his land, and with famine. And… with the wealth of kings. And… with his wife</w:t>
      </w:r>
      <w:r w:rsidR="00BE5692">
        <w:rPr>
          <w:lang w:bidi="he-IL"/>
        </w:rPr>
        <w:t>, when she was taken (from him), and with circumcis</w:t>
      </w:r>
      <w:r w:rsidR="00690862">
        <w:rPr>
          <w:lang w:bidi="he-IL"/>
        </w:rPr>
        <w:t xml:space="preserve">ion. And… with Ishmael and with </w:t>
      </w:r>
      <w:r w:rsidR="00BE5692">
        <w:rPr>
          <w:lang w:bidi="he-IL"/>
        </w:rPr>
        <w:t>Hagar, his maidservant, when he sent them away” (</w:t>
      </w:r>
      <w:r w:rsidR="00BE5692">
        <w:rPr>
          <w:i/>
          <w:lang w:bidi="he-IL"/>
        </w:rPr>
        <w:t>Jub</w:t>
      </w:r>
      <w:r w:rsidR="00BE5692">
        <w:rPr>
          <w:lang w:bidi="he-IL"/>
        </w:rPr>
        <w:t xml:space="preserve"> 17:17)</w:t>
      </w:r>
      <w:r w:rsidR="00E33FA3">
        <w:rPr>
          <w:lang w:bidi="he-IL"/>
        </w:rPr>
        <w:t xml:space="preserve">; </w:t>
      </w:r>
      <w:r w:rsidR="00903C0C">
        <w:rPr>
          <w:lang w:bidi="he-IL"/>
        </w:rPr>
        <w:t xml:space="preserve">this test is </w:t>
      </w:r>
      <w:r w:rsidR="008B2705">
        <w:rPr>
          <w:lang w:bidi="he-IL"/>
        </w:rPr>
        <w:t>the tenth, according to TgNeoph</w:t>
      </w:r>
      <w:r w:rsidR="00842E4B">
        <w:rPr>
          <w:lang w:bidi="he-IL"/>
        </w:rPr>
        <w:t xml:space="preserve"> (in </w:t>
      </w:r>
      <w:r w:rsidR="00842E4B">
        <w:rPr>
          <w:i/>
          <w:lang w:bidi="he-IL"/>
        </w:rPr>
        <w:t xml:space="preserve">Jub </w:t>
      </w:r>
      <w:r w:rsidR="00842E4B">
        <w:rPr>
          <w:lang w:bidi="he-IL"/>
        </w:rPr>
        <w:t>18:8 Sarah’s death brings the tenth)</w:t>
      </w:r>
      <w:r w:rsidR="00BE5692">
        <w:rPr>
          <w:lang w:bidi="he-IL"/>
        </w:rPr>
        <w:t xml:space="preserve">. </w:t>
      </w:r>
      <w:r w:rsidR="004A3F33">
        <w:rPr>
          <w:lang w:bidi="he-IL"/>
        </w:rPr>
        <w:t>Testing people may help them to grow, but stretching people is a different notion from testing them. God’s test is designed to uncover what is in people’s hearts (Deut 8:2) and to do so by seeing “</w:t>
      </w:r>
      <w:r w:rsidR="004A3F33" w:rsidRPr="00E33FA3">
        <w:rPr>
          <w:lang w:bidi="he-IL"/>
        </w:rPr>
        <w:t>whether someone will obey God’s command or not.”</w:t>
      </w:r>
      <w:r w:rsidR="004A3F33" w:rsidRPr="00E33FA3">
        <w:rPr>
          <w:vertAlign w:val="superscript"/>
          <w:lang w:bidi="he-IL"/>
        </w:rPr>
        <w:footnoteReference w:id="654"/>
      </w:r>
      <w:r w:rsidR="004A3F33" w:rsidRPr="00E33FA3">
        <w:rPr>
          <w:i/>
          <w:lang w:bidi="he-IL"/>
        </w:rPr>
        <w:t xml:space="preserve"> </w:t>
      </w:r>
      <w:r w:rsidR="006F37DA">
        <w:rPr>
          <w:lang w:bidi="he-IL"/>
        </w:rPr>
        <w:t>The aim of a test is for someone to discover something</w:t>
      </w:r>
      <w:r w:rsidR="0029287E">
        <w:rPr>
          <w:lang w:bidi="he-IL"/>
        </w:rPr>
        <w:t xml:space="preserve">—perhaps the one who does the testing, perhaps the one who is tested, perhaps other people. </w:t>
      </w:r>
      <w:r w:rsidR="008C58A1" w:rsidRPr="005B0CE7">
        <w:t xml:space="preserve">According to Augustine, </w:t>
      </w:r>
      <w:r w:rsidR="008C58A1">
        <w:t>the test was designed</w:t>
      </w:r>
      <w:r w:rsidR="008C58A1" w:rsidRPr="005B0CE7">
        <w:t xml:space="preserve"> “to prove his pious obedience, and so make it </w:t>
      </w:r>
      <w:r w:rsidR="008C58A1">
        <w:t>known to the world, not to God</w:t>
      </w:r>
      <w:r w:rsidR="00E33FA3">
        <w:t>,</w:t>
      </w:r>
      <w:r w:rsidR="008C58A1" w:rsidRPr="005B0CE7">
        <w:t xml:space="preserve">” </w:t>
      </w:r>
      <w:r w:rsidR="008C58A1" w:rsidRPr="005B0CE7">
        <w:rPr>
          <w:vertAlign w:val="superscript"/>
        </w:rPr>
        <w:footnoteReference w:id="655"/>
      </w:r>
      <w:r w:rsidR="00E33FA3">
        <w:rPr>
          <w:lang w:bidi="he-IL"/>
        </w:rPr>
        <w:t xml:space="preserve"> and</w:t>
      </w:r>
      <w:r w:rsidR="0029287E">
        <w:rPr>
          <w:lang w:bidi="he-IL"/>
        </w:rPr>
        <w:t xml:space="preserve"> the people hearing the story </w:t>
      </w:r>
      <w:r w:rsidR="008C58A1">
        <w:rPr>
          <w:lang w:bidi="he-IL"/>
        </w:rPr>
        <w:t xml:space="preserve">do </w:t>
      </w:r>
      <w:r w:rsidR="0029287E">
        <w:rPr>
          <w:lang w:bidi="he-IL"/>
        </w:rPr>
        <w:t>discover</w:t>
      </w:r>
      <w:r w:rsidR="00E33FA3">
        <w:rPr>
          <w:lang w:bidi="he-IL"/>
        </w:rPr>
        <w:t xml:space="preserve"> something about Abraham, as</w:t>
      </w:r>
      <w:r w:rsidR="0029287E">
        <w:rPr>
          <w:lang w:bidi="he-IL"/>
        </w:rPr>
        <w:t xml:space="preserve"> do Abraham himself and Isaa</w:t>
      </w:r>
      <w:r w:rsidR="00E33FA3">
        <w:rPr>
          <w:lang w:bidi="he-IL"/>
        </w:rPr>
        <w:t>c.</w:t>
      </w:r>
      <w:r w:rsidR="00727890">
        <w:rPr>
          <w:lang w:bidi="he-IL"/>
        </w:rPr>
        <w:t xml:space="preserve"> </w:t>
      </w:r>
      <w:r w:rsidR="00E33FA3">
        <w:rPr>
          <w:lang w:bidi="he-IL"/>
        </w:rPr>
        <w:t>But</w:t>
      </w:r>
      <w:r w:rsidR="00F336C4">
        <w:rPr>
          <w:lang w:bidi="he-IL"/>
        </w:rPr>
        <w:t xml:space="preserve"> Gen 22</w:t>
      </w:r>
      <w:r w:rsidR="008C58A1">
        <w:rPr>
          <w:lang w:bidi="he-IL"/>
        </w:rPr>
        <w:t xml:space="preserve"> speaks explicitly of</w:t>
      </w:r>
      <w:r w:rsidR="0029287E">
        <w:rPr>
          <w:lang w:bidi="he-IL"/>
        </w:rPr>
        <w:t xml:space="preserve"> what God </w:t>
      </w:r>
      <w:r w:rsidR="008C58A1">
        <w:rPr>
          <w:lang w:bidi="he-IL"/>
        </w:rPr>
        <w:t>will discover</w:t>
      </w:r>
      <w:r w:rsidR="0029287E">
        <w:rPr>
          <w:lang w:bidi="he-IL"/>
        </w:rPr>
        <w:t xml:space="preserve"> (</w:t>
      </w:r>
      <w:r w:rsidR="008C58A1">
        <w:rPr>
          <w:lang w:bidi="he-IL"/>
        </w:rPr>
        <w:t xml:space="preserve">cf. </w:t>
      </w:r>
      <w:r w:rsidR="0029287E">
        <w:rPr>
          <w:lang w:bidi="he-IL"/>
        </w:rPr>
        <w:t xml:space="preserve">v. 12). </w:t>
      </w:r>
      <w:r w:rsidR="009F3FB8">
        <w:rPr>
          <w:lang w:bidi="he-IL"/>
        </w:rPr>
        <w:t>Yet a</w:t>
      </w:r>
      <w:r w:rsidR="002F0416">
        <w:rPr>
          <w:lang w:bidi="he-IL"/>
        </w:rPr>
        <w:t xml:space="preserve"> better way to put it is to say that God is concerned to establish something or be sure of something—God is not starting without any assumptions about Abraham one way or the other. </w:t>
      </w:r>
      <w:r w:rsidR="008B2705">
        <w:rPr>
          <w:lang w:bidi="he-IL"/>
        </w:rPr>
        <w:t xml:space="preserve">God tests the faithful, not the faithless (Ps 11:5); </w:t>
      </w:r>
      <w:r w:rsidR="00425E22">
        <w:rPr>
          <w:lang w:bidi="he-IL"/>
        </w:rPr>
        <w:t>testing is a kind of compliment (</w:t>
      </w:r>
      <w:r w:rsidR="00425E22">
        <w:t xml:space="preserve">cf. </w:t>
      </w:r>
      <w:r w:rsidR="00425E22" w:rsidRPr="008B2705">
        <w:rPr>
          <w:i/>
        </w:rPr>
        <w:t xml:space="preserve">GenR </w:t>
      </w:r>
      <w:r w:rsidR="00425E22">
        <w:t>55:2-3).</w:t>
      </w:r>
      <w:r w:rsidR="008B2705">
        <w:rPr>
          <w:lang w:bidi="he-IL"/>
        </w:rPr>
        <w:t xml:space="preserve"> </w:t>
      </w:r>
      <w:r w:rsidR="009F3FB8">
        <w:rPr>
          <w:lang w:bidi="he-IL"/>
        </w:rPr>
        <w:t>God does not test people</w:t>
      </w:r>
      <w:r w:rsidR="004A3F33">
        <w:rPr>
          <w:lang w:bidi="he-IL"/>
        </w:rPr>
        <w:t xml:space="preserve"> in a way that might</w:t>
      </w:r>
      <w:r w:rsidR="009F3FB8">
        <w:rPr>
          <w:lang w:bidi="he-IL"/>
        </w:rPr>
        <w:t xml:space="preserve"> break them</w:t>
      </w:r>
      <w:r w:rsidR="005B0CE7">
        <w:rPr>
          <w:lang w:bidi="he-IL"/>
        </w:rPr>
        <w:t xml:space="preserve"> (1 Cor 10:13)</w:t>
      </w:r>
      <w:r w:rsidR="0099428B">
        <w:rPr>
          <w:lang w:bidi="he-IL"/>
        </w:rPr>
        <w:t>, th</w:t>
      </w:r>
      <w:r w:rsidR="006A3A83">
        <w:rPr>
          <w:lang w:bidi="he-IL"/>
        </w:rPr>
        <w:t>ough it would still be a good id</w:t>
      </w:r>
      <w:r w:rsidR="004A3F33">
        <w:rPr>
          <w:lang w:bidi="he-IL"/>
        </w:rPr>
        <w:t>ea to pray not to be le</w:t>
      </w:r>
      <w:r w:rsidR="0099428B">
        <w:rPr>
          <w:lang w:bidi="he-IL"/>
        </w:rPr>
        <w:t>d into testing (Matt 6:13; 26:41)</w:t>
      </w:r>
      <w:r w:rsidR="005B0CE7">
        <w:rPr>
          <w:lang w:bidi="he-IL"/>
        </w:rPr>
        <w:t>.</w:t>
      </w:r>
      <w:r w:rsidR="0099428B">
        <w:rPr>
          <w:rStyle w:val="FootnoteReference"/>
          <w:lang w:bidi="he-IL"/>
        </w:rPr>
        <w:footnoteReference w:id="656"/>
      </w:r>
      <w:r w:rsidR="005B0CE7">
        <w:rPr>
          <w:lang w:bidi="he-IL"/>
        </w:rPr>
        <w:t xml:space="preserve"> </w:t>
      </w:r>
      <w:r w:rsidR="0029287E">
        <w:rPr>
          <w:lang w:bidi="he-IL"/>
        </w:rPr>
        <w:t xml:space="preserve">The test begins with </w:t>
      </w:r>
      <w:r w:rsidR="004A3F33">
        <w:rPr>
          <w:lang w:bidi="he-IL"/>
        </w:rPr>
        <w:t xml:space="preserve">God summoning Abraham like a master summoning </w:t>
      </w:r>
      <w:r w:rsidR="0029287E">
        <w:rPr>
          <w:lang w:bidi="he-IL"/>
        </w:rPr>
        <w:t>a servant</w:t>
      </w:r>
      <w:r w:rsidR="00851CD1">
        <w:rPr>
          <w:lang w:bidi="he-IL"/>
        </w:rPr>
        <w:t>, and with Abr</w:t>
      </w:r>
      <w:r w:rsidR="004A3F33">
        <w:rPr>
          <w:lang w:bidi="he-IL"/>
        </w:rPr>
        <w:t>aham responding as</w:t>
      </w:r>
      <w:r w:rsidR="009F3FB8">
        <w:rPr>
          <w:lang w:bidi="he-IL"/>
        </w:rPr>
        <w:t xml:space="preserve"> </w:t>
      </w:r>
      <w:r w:rsidR="00851CD1">
        <w:rPr>
          <w:lang w:bidi="he-IL"/>
        </w:rPr>
        <w:t>a servant should</w:t>
      </w:r>
      <w:r w:rsidR="0029287E">
        <w:rPr>
          <w:lang w:bidi="he-IL"/>
        </w:rPr>
        <w:t>.</w:t>
      </w:r>
      <w:r w:rsidR="009F3FB8">
        <w:rPr>
          <w:lang w:bidi="he-IL"/>
        </w:rPr>
        <w:t xml:space="preserve"> Apparently </w:t>
      </w:r>
      <w:r w:rsidR="0029287E">
        <w:rPr>
          <w:lang w:bidi="he-IL"/>
        </w:rPr>
        <w:t xml:space="preserve">God </w:t>
      </w:r>
      <w:r w:rsidR="009F3FB8">
        <w:rPr>
          <w:lang w:bidi="he-IL"/>
        </w:rPr>
        <w:t>as usual makes it</w:t>
      </w:r>
      <w:r w:rsidR="0029287E">
        <w:rPr>
          <w:lang w:bidi="he-IL"/>
        </w:rPr>
        <w:t xml:space="preserve"> easy for Abraham to be sure that God is speaki</w:t>
      </w:r>
      <w:r w:rsidR="009F3FB8">
        <w:rPr>
          <w:lang w:bidi="he-IL"/>
        </w:rPr>
        <w:t xml:space="preserve">ng to him, which </w:t>
      </w:r>
      <w:r w:rsidR="0029287E">
        <w:rPr>
          <w:lang w:bidi="he-IL"/>
        </w:rPr>
        <w:t>is just as well in light of what follows.</w:t>
      </w:r>
      <w:r w:rsidR="00267879">
        <w:rPr>
          <w:lang w:bidi="he-IL"/>
        </w:rPr>
        <w:t xml:space="preserve"> </w:t>
      </w:r>
      <w:r w:rsidR="007C2355" w:rsidRPr="007C2355">
        <w:rPr>
          <w:lang w:bidi="he-IL"/>
        </w:rPr>
        <w:t>“There is</w:t>
      </w:r>
      <w:r w:rsidR="009F3FB8">
        <w:rPr>
          <w:lang w:bidi="he-IL"/>
        </w:rPr>
        <w:t xml:space="preserve"> a great emphasis in the word, ‘said,’</w:t>
      </w:r>
      <w:r w:rsidR="007C2355" w:rsidRPr="007C2355">
        <w:rPr>
          <w:lang w:bidi="he-IL"/>
        </w:rPr>
        <w:t xml:space="preserve"> because God indeed made trial of Abraham’s faith… by drawing him into a contest with his </w:t>
      </w:r>
      <w:r w:rsidR="006A3A83">
        <w:rPr>
          <w:lang w:bidi="he-IL"/>
        </w:rPr>
        <w:t xml:space="preserve">[God’s] </w:t>
      </w:r>
      <w:r w:rsidR="007C2355" w:rsidRPr="007C2355">
        <w:rPr>
          <w:lang w:bidi="he-IL"/>
        </w:rPr>
        <w:t>own word.”</w:t>
      </w:r>
      <w:r w:rsidR="007C2355" w:rsidRPr="007C2355">
        <w:rPr>
          <w:vertAlign w:val="superscript"/>
          <w:lang w:bidi="he-IL"/>
        </w:rPr>
        <w:footnoteReference w:id="657"/>
      </w:r>
      <w:r w:rsidR="007C2355" w:rsidRPr="007C2355">
        <w:rPr>
          <w:lang w:bidi="he-IL"/>
        </w:rPr>
        <w:t xml:space="preserve"> </w:t>
      </w:r>
      <w:r w:rsidR="00267879">
        <w:rPr>
          <w:lang w:bidi="he-IL"/>
        </w:rPr>
        <w:t>While the audience knows that what</w:t>
      </w:r>
      <w:r w:rsidR="002117E7">
        <w:rPr>
          <w:lang w:bidi="he-IL"/>
        </w:rPr>
        <w:t xml:space="preserve"> will happen</w:t>
      </w:r>
      <w:r w:rsidR="00267879">
        <w:rPr>
          <w:lang w:bidi="he-IL"/>
        </w:rPr>
        <w:t xml:space="preserve"> is a test, however, Abraham doesn’t</w:t>
      </w:r>
      <w:r w:rsidR="003E2253">
        <w:rPr>
          <w:lang w:bidi="he-IL"/>
        </w:rPr>
        <w:t xml:space="preserve"> (like Job)</w:t>
      </w:r>
      <w:r w:rsidR="00267879">
        <w:rPr>
          <w:lang w:bidi="he-IL"/>
        </w:rPr>
        <w:t>.</w:t>
      </w:r>
      <w:r w:rsidR="003E2253">
        <w:rPr>
          <w:rStyle w:val="FootnoteReference"/>
          <w:lang w:bidi="he-IL"/>
        </w:rPr>
        <w:footnoteReference w:id="658"/>
      </w:r>
      <w:r w:rsidR="00267879">
        <w:rPr>
          <w:lang w:bidi="he-IL"/>
        </w:rPr>
        <w:t xml:space="preserve"> </w:t>
      </w:r>
      <w:r w:rsidR="002238C4" w:rsidRPr="002238C4">
        <w:rPr>
          <w:lang w:bidi="he-IL"/>
        </w:rPr>
        <w:t>“The audience knows from the beginning that the thr</w:t>
      </w:r>
      <w:r w:rsidR="009F3FB8">
        <w:rPr>
          <w:lang w:bidi="he-IL"/>
        </w:rPr>
        <w:t>eat to Isaac is not the subject,</w:t>
      </w:r>
      <w:r w:rsidR="002238C4" w:rsidRPr="002238C4">
        <w:rPr>
          <w:lang w:bidi="he-IL"/>
        </w:rPr>
        <w:t>”</w:t>
      </w:r>
      <w:r w:rsidR="002238C4" w:rsidRPr="002238C4">
        <w:rPr>
          <w:vertAlign w:val="superscript"/>
          <w:lang w:bidi="he-IL"/>
        </w:rPr>
        <w:footnoteReference w:id="659"/>
      </w:r>
      <w:r w:rsidR="002238C4">
        <w:rPr>
          <w:lang w:bidi="he-IL"/>
        </w:rPr>
        <w:t xml:space="preserve"> </w:t>
      </w:r>
      <w:r w:rsidR="009F3FB8">
        <w:rPr>
          <w:lang w:bidi="he-IL"/>
        </w:rPr>
        <w:t>though this fact</w:t>
      </w:r>
      <w:r w:rsidR="00690862">
        <w:rPr>
          <w:lang w:bidi="he-IL"/>
        </w:rPr>
        <w:t xml:space="preserve"> doesn’t mean it knows that God will not let Abraham go through with the deed.</w:t>
      </w:r>
      <w:r w:rsidR="00690862">
        <w:rPr>
          <w:rStyle w:val="FootnoteReference"/>
          <w:lang w:bidi="he-IL"/>
        </w:rPr>
        <w:footnoteReference w:id="660"/>
      </w:r>
      <w:r w:rsidR="00690862">
        <w:rPr>
          <w:lang w:bidi="he-IL"/>
        </w:rPr>
        <w:t xml:space="preserve"> </w:t>
      </w:r>
      <w:r w:rsidR="002238C4">
        <w:rPr>
          <w:lang w:bidi="he-IL"/>
        </w:rPr>
        <w:t>All Abraham</w:t>
      </w:r>
      <w:r w:rsidR="00267879">
        <w:rPr>
          <w:lang w:bidi="he-IL"/>
        </w:rPr>
        <w:t xml:space="preserve"> knows is that it is a summons and a command.</w:t>
      </w:r>
      <w:r w:rsidR="00C51E42">
        <w:rPr>
          <w:lang w:bidi="he-IL"/>
        </w:rPr>
        <w:t xml:space="preserve"> </w:t>
      </w:r>
      <w:r w:rsidR="002F0416">
        <w:rPr>
          <w:lang w:bidi="he-IL"/>
        </w:rPr>
        <w:t xml:space="preserve">As God has some assumptions about Abraham, however, so Abraham has some assumptions about God. He knows God is trustworthy, if mysterious in some of the things he asks, and he knows </w:t>
      </w:r>
      <w:r w:rsidR="002238C4">
        <w:rPr>
          <w:lang w:bidi="he-IL"/>
        </w:rPr>
        <w:t xml:space="preserve">that </w:t>
      </w:r>
      <w:r w:rsidR="002F0416">
        <w:rPr>
          <w:lang w:bidi="he-IL"/>
        </w:rPr>
        <w:t>God has made promises to him</w:t>
      </w:r>
      <w:r w:rsidR="009D6CCC">
        <w:rPr>
          <w:lang w:bidi="he-IL"/>
        </w:rPr>
        <w:t xml:space="preserve">, and he knows that God has squared a </w:t>
      </w:r>
      <w:r w:rsidR="009F3FB8">
        <w:rPr>
          <w:lang w:bidi="he-IL"/>
        </w:rPr>
        <w:t xml:space="preserve">circle before, not least in </w:t>
      </w:r>
      <w:r w:rsidR="009D6CCC">
        <w:rPr>
          <w:lang w:bidi="he-IL"/>
        </w:rPr>
        <w:t>21</w:t>
      </w:r>
      <w:r w:rsidR="009F3FB8">
        <w:rPr>
          <w:lang w:bidi="he-IL"/>
        </w:rPr>
        <w:t>:1-21. It is</w:t>
      </w:r>
      <w:r w:rsidR="002F0416">
        <w:rPr>
          <w:lang w:bidi="he-IL"/>
        </w:rPr>
        <w:t xml:space="preserve"> within this framework that </w:t>
      </w:r>
      <w:r w:rsidR="009D6CCC">
        <w:rPr>
          <w:lang w:bidi="he-IL"/>
        </w:rPr>
        <w:t>he hears God speak.</w:t>
      </w:r>
    </w:p>
    <w:p w14:paraId="10C0057F" w14:textId="1513ECB8" w:rsidR="00DC1670" w:rsidRDefault="007C2355" w:rsidP="00EA5CAF">
      <w:pPr>
        <w:rPr>
          <w:lang w:bidi="he-IL"/>
        </w:rPr>
      </w:pPr>
      <w:r>
        <w:rPr>
          <w:b/>
          <w:lang w:bidi="he-IL"/>
        </w:rPr>
        <w:t xml:space="preserve">22:2. </w:t>
      </w:r>
      <w:proofErr w:type="gramStart"/>
      <w:r w:rsidR="00006A9F">
        <w:rPr>
          <w:lang w:bidi="he-IL"/>
        </w:rPr>
        <w:t>So</w:t>
      </w:r>
      <w:proofErr w:type="gramEnd"/>
      <w:r w:rsidR="00006A9F">
        <w:rPr>
          <w:lang w:bidi="he-IL"/>
        </w:rPr>
        <w:t xml:space="preserve"> the</w:t>
      </w:r>
      <w:r w:rsidR="007A584A">
        <w:rPr>
          <w:lang w:bidi="he-IL"/>
        </w:rPr>
        <w:t xml:space="preserve"> master</w:t>
      </w:r>
      <w:r w:rsidR="009F3FB8">
        <w:rPr>
          <w:lang w:bidi="he-IL"/>
        </w:rPr>
        <w:t xml:space="preserve"> summons</w:t>
      </w:r>
      <w:r w:rsidR="007A584A">
        <w:rPr>
          <w:lang w:bidi="he-IL"/>
        </w:rPr>
        <w:t>, t</w:t>
      </w:r>
      <w:r>
        <w:rPr>
          <w:lang w:bidi="he-IL"/>
        </w:rPr>
        <w:t>hough he does so politely</w:t>
      </w:r>
      <w:r w:rsidR="007A584A">
        <w:rPr>
          <w:lang w:bidi="he-IL"/>
        </w:rPr>
        <w:t>, as masters often do (cf. 24:2).</w:t>
      </w:r>
      <w:r w:rsidR="00006A9F">
        <w:rPr>
          <w:lang w:bidi="he-IL"/>
        </w:rPr>
        <w:t xml:space="preserve"> </w:t>
      </w:r>
      <w:r w:rsidR="009F3FB8">
        <w:rPr>
          <w:lang w:bidi="he-IL"/>
        </w:rPr>
        <w:t>Indeed, perhaps</w:t>
      </w:r>
      <w:r w:rsidR="003035A9">
        <w:rPr>
          <w:lang w:bidi="he-IL"/>
        </w:rPr>
        <w:t xml:space="preserve"> his “please” give</w:t>
      </w:r>
      <w:r w:rsidR="009F3FB8">
        <w:rPr>
          <w:lang w:bidi="he-IL"/>
        </w:rPr>
        <w:t>s</w:t>
      </w:r>
      <w:r w:rsidR="003035A9">
        <w:rPr>
          <w:lang w:bidi="he-IL"/>
        </w:rPr>
        <w:t xml:space="preserve"> Abraham the </w:t>
      </w:r>
      <w:r w:rsidR="009F3FB8">
        <w:rPr>
          <w:lang w:bidi="he-IL"/>
        </w:rPr>
        <w:t>chance to decline with impunity.</w:t>
      </w:r>
      <w:r w:rsidR="003035A9">
        <w:rPr>
          <w:rStyle w:val="FootnoteReference"/>
          <w:lang w:bidi="he-IL"/>
        </w:rPr>
        <w:footnoteReference w:id="661"/>
      </w:r>
      <w:r w:rsidR="003035A9">
        <w:rPr>
          <w:lang w:bidi="he-IL"/>
        </w:rPr>
        <w:t xml:space="preserve"> “</w:t>
      </w:r>
      <w:r w:rsidR="00727890">
        <w:rPr>
          <w:lang w:bidi="he-IL"/>
        </w:rPr>
        <w:t>Get</w:t>
      </w:r>
      <w:r w:rsidR="00006A9F">
        <w:rPr>
          <w:lang w:bidi="he-IL"/>
        </w:rPr>
        <w:t xml:space="preserve"> your son” would n</w:t>
      </w:r>
      <w:r w:rsidR="00851CD1">
        <w:rPr>
          <w:lang w:bidi="he-IL"/>
        </w:rPr>
        <w:t xml:space="preserve">ot initially sound threatening; </w:t>
      </w:r>
      <w:r w:rsidR="00006A9F">
        <w:rPr>
          <w:lang w:bidi="he-IL"/>
        </w:rPr>
        <w:t>in the n</w:t>
      </w:r>
      <w:r w:rsidR="002238C4">
        <w:rPr>
          <w:lang w:bidi="he-IL"/>
        </w:rPr>
        <w:t>e</w:t>
      </w:r>
      <w:r w:rsidR="00727890">
        <w:rPr>
          <w:lang w:bidi="he-IL"/>
        </w:rPr>
        <w:t>xt verse Abraham will also “get</w:t>
      </w:r>
      <w:r w:rsidR="00006A9F">
        <w:rPr>
          <w:lang w:bidi="he-IL"/>
        </w:rPr>
        <w:t xml:space="preserve">” two of his </w:t>
      </w:r>
      <w:r w:rsidR="002238C4">
        <w:rPr>
          <w:lang w:bidi="he-IL"/>
        </w:rPr>
        <w:t>other “</w:t>
      </w:r>
      <w:r w:rsidR="00006A9F">
        <w:rPr>
          <w:lang w:bidi="he-IL"/>
        </w:rPr>
        <w:t>boys</w:t>
      </w:r>
      <w:r w:rsidR="002238C4">
        <w:rPr>
          <w:lang w:bidi="he-IL"/>
        </w:rPr>
        <w:t>”</w:t>
      </w:r>
      <w:r w:rsidR="007A584A">
        <w:rPr>
          <w:lang w:bidi="he-IL"/>
        </w:rPr>
        <w:t xml:space="preserve"> </w:t>
      </w:r>
      <w:r w:rsidR="00006A9F">
        <w:rPr>
          <w:lang w:bidi="he-IL"/>
        </w:rPr>
        <w:t>to accompany</w:t>
      </w:r>
      <w:r w:rsidR="00851CD1">
        <w:rPr>
          <w:lang w:bidi="he-IL"/>
        </w:rPr>
        <w:t xml:space="preserve"> him and Isaac. B</w:t>
      </w:r>
      <w:r w:rsidR="00006A9F">
        <w:rPr>
          <w:lang w:bidi="he-IL"/>
        </w:rPr>
        <w:t xml:space="preserve">ut God’s </w:t>
      </w:r>
      <w:r w:rsidR="007A584A">
        <w:rPr>
          <w:lang w:bidi="he-IL"/>
        </w:rPr>
        <w:t xml:space="preserve">bidding </w:t>
      </w:r>
      <w:r w:rsidR="00006A9F">
        <w:rPr>
          <w:lang w:bidi="he-IL"/>
        </w:rPr>
        <w:t>builds up to a climax</w:t>
      </w:r>
      <w:r w:rsidR="00851CD1">
        <w:rPr>
          <w:lang w:bidi="he-IL"/>
        </w:rPr>
        <w:t xml:space="preserve"> which bodes ill</w:t>
      </w:r>
      <w:r w:rsidR="00006A9F">
        <w:rPr>
          <w:lang w:bidi="he-IL"/>
        </w:rPr>
        <w:t>:</w:t>
      </w:r>
      <w:r w:rsidR="00866199">
        <w:rPr>
          <w:lang w:bidi="he-IL"/>
        </w:rPr>
        <w:t xml:space="preserve"> </w:t>
      </w:r>
      <w:r w:rsidR="00006A9F">
        <w:rPr>
          <w:lang w:bidi="he-IL"/>
        </w:rPr>
        <w:t>your son, your only one</w:t>
      </w:r>
      <w:r w:rsidR="00866199">
        <w:rPr>
          <w:lang w:bidi="he-IL"/>
        </w:rPr>
        <w:t>, whom you love, Isaac.</w:t>
      </w:r>
      <w:r w:rsidR="00851CD1">
        <w:rPr>
          <w:lang w:bidi="he-IL"/>
        </w:rPr>
        <w:t xml:space="preserve"> </w:t>
      </w:r>
      <w:r w:rsidR="00866199">
        <w:rPr>
          <w:lang w:bidi="he-IL"/>
        </w:rPr>
        <w:t>“</w:t>
      </w:r>
      <w:r w:rsidR="00851CD1">
        <w:rPr>
          <w:lang w:bidi="he-IL"/>
        </w:rPr>
        <w:t>Your son?</w:t>
      </w:r>
      <w:r w:rsidR="00866199">
        <w:rPr>
          <w:lang w:bidi="he-IL"/>
        </w:rPr>
        <w:t>”</w:t>
      </w:r>
      <w:r w:rsidR="00851CD1">
        <w:rPr>
          <w:lang w:bidi="he-IL"/>
        </w:rPr>
        <w:t xml:space="preserve">—yes. </w:t>
      </w:r>
      <w:r w:rsidR="00866199">
        <w:rPr>
          <w:lang w:bidi="he-IL"/>
        </w:rPr>
        <w:t>“</w:t>
      </w:r>
      <w:r w:rsidR="00851CD1">
        <w:rPr>
          <w:lang w:bidi="he-IL"/>
        </w:rPr>
        <w:t>Your only one?</w:t>
      </w:r>
      <w:r w:rsidR="00866199">
        <w:rPr>
          <w:lang w:bidi="he-IL"/>
        </w:rPr>
        <w:t>”</w:t>
      </w:r>
      <w:r w:rsidR="00851CD1">
        <w:rPr>
          <w:lang w:bidi="he-IL"/>
        </w:rPr>
        <w:t>—</w:t>
      </w:r>
      <w:r w:rsidR="007D28B3">
        <w:rPr>
          <w:lang w:bidi="he-IL"/>
        </w:rPr>
        <w:t>in literal terms, i</w:t>
      </w:r>
      <w:r w:rsidR="00DB0514">
        <w:rPr>
          <w:lang w:bidi="he-IL"/>
        </w:rPr>
        <w:t>t is an odd description. A</w:t>
      </w:r>
      <w:r w:rsidR="00851CD1">
        <w:rPr>
          <w:lang w:bidi="he-IL"/>
        </w:rPr>
        <w:t>s well as having a literal reference (cf. Judg 11:34; Jer 6:26; Amos 8:10) it carries sensitive metaphorical overtones (cf. Ps 22:20 [21]; 25:16).</w:t>
      </w:r>
      <w:r w:rsidR="00866199">
        <w:rPr>
          <w:lang w:bidi="he-IL"/>
        </w:rPr>
        <w:t xml:space="preserve"> Is it also a t</w:t>
      </w:r>
      <w:r w:rsidR="00DB0514">
        <w:rPr>
          <w:lang w:bidi="he-IL"/>
        </w:rPr>
        <w:t>ough description on God’s part? T</w:t>
      </w:r>
      <w:r w:rsidR="00267879">
        <w:rPr>
          <w:lang w:bidi="he-IL"/>
        </w:rPr>
        <w:t>he non-peremp</w:t>
      </w:r>
      <w:r w:rsidR="0025290A">
        <w:rPr>
          <w:lang w:bidi="he-IL"/>
        </w:rPr>
        <w:t>t</w:t>
      </w:r>
      <w:r w:rsidR="00267879">
        <w:rPr>
          <w:lang w:bidi="he-IL"/>
        </w:rPr>
        <w:t>or</w:t>
      </w:r>
      <w:r w:rsidR="0025290A">
        <w:rPr>
          <w:lang w:bidi="he-IL"/>
        </w:rPr>
        <w:t>y command</w:t>
      </w:r>
      <w:r w:rsidR="00DB0514">
        <w:rPr>
          <w:lang w:bidi="he-IL"/>
        </w:rPr>
        <w:t>,</w:t>
      </w:r>
      <w:r w:rsidR="0025290A">
        <w:rPr>
          <w:lang w:bidi="he-IL"/>
        </w:rPr>
        <w:t xml:space="preserve"> with its </w:t>
      </w:r>
      <w:r w:rsidR="00DB0514">
        <w:rPr>
          <w:lang w:bidi="he-IL"/>
        </w:rPr>
        <w:t>“please,” hints that God recognizes</w:t>
      </w:r>
      <w:r w:rsidR="0025290A">
        <w:rPr>
          <w:lang w:bidi="he-IL"/>
        </w:rPr>
        <w:t xml:space="preserve"> the horrifying nature of his command. Yet </w:t>
      </w:r>
      <w:r w:rsidR="00866199">
        <w:rPr>
          <w:lang w:bidi="he-IL"/>
        </w:rPr>
        <w:t>as far as God is concerned, Ishmael does not count, and in a sense i</w:t>
      </w:r>
      <w:r w:rsidR="00EA5CAF">
        <w:rPr>
          <w:lang w:bidi="he-IL"/>
        </w:rPr>
        <w:t>t should also be so for Abraham. I</w:t>
      </w:r>
      <w:r w:rsidR="00866199">
        <w:rPr>
          <w:lang w:bidi="he-IL"/>
        </w:rPr>
        <w:t>ndeed, it already is so, because Ishmael is gone</w:t>
      </w:r>
      <w:r w:rsidR="00EA5CAF">
        <w:rPr>
          <w:lang w:bidi="he-IL"/>
        </w:rPr>
        <w:t xml:space="preserve"> in literal terms; he</w:t>
      </w:r>
      <w:r w:rsidR="007D28B3" w:rsidRPr="007D28B3">
        <w:rPr>
          <w:lang w:bidi="he-IL"/>
        </w:rPr>
        <w:t xml:space="preserve"> disappeared some while ago—forever, as far as </w:t>
      </w:r>
      <w:r w:rsidR="007D28B3" w:rsidRPr="007D28B3">
        <w:rPr>
          <w:lang w:bidi="he-IL"/>
        </w:rPr>
        <w:lastRenderedPageBreak/>
        <w:t>Abraham knows (but see 25:9)</w:t>
      </w:r>
      <w:r w:rsidR="00866199">
        <w:rPr>
          <w:lang w:bidi="he-IL"/>
        </w:rPr>
        <w:t xml:space="preserve">. Likewise “whom you love”? It’s the first reference to love in the Scriptures, and </w:t>
      </w:r>
      <w:r w:rsidR="00EA5CAF">
        <w:rPr>
          <w:lang w:bidi="he-IL"/>
        </w:rPr>
        <w:t xml:space="preserve">one thinks about </w:t>
      </w:r>
      <w:r w:rsidR="00866199">
        <w:rPr>
          <w:lang w:bidi="he-IL"/>
        </w:rPr>
        <w:t xml:space="preserve">where it is leading. </w:t>
      </w:r>
      <w:r w:rsidR="00EA5CAF">
        <w:rPr>
          <w:lang w:bidi="he-IL"/>
        </w:rPr>
        <w:t xml:space="preserve">And finally, </w:t>
      </w:r>
      <w:r w:rsidR="00866199">
        <w:rPr>
          <w:lang w:bidi="he-IL"/>
        </w:rPr>
        <w:t xml:space="preserve">“Isaac”—in case there is any doubt about the identity of the one we are talking about. </w:t>
      </w:r>
    </w:p>
    <w:p w14:paraId="319FA5A4" w14:textId="19ACF325" w:rsidR="00783115" w:rsidRPr="00783115" w:rsidRDefault="008E1F8B" w:rsidP="00783115">
      <w:pPr>
        <w:rPr>
          <w:lang w:bidi="he-IL"/>
        </w:rPr>
      </w:pPr>
      <w:r>
        <w:rPr>
          <w:lang w:bidi="he-IL"/>
        </w:rPr>
        <w:t>Get him, says God, and “get</w:t>
      </w:r>
      <w:r w:rsidR="00866199">
        <w:rPr>
          <w:lang w:bidi="he-IL"/>
        </w:rPr>
        <w:t xml:space="preserve"> yoursel</w:t>
      </w:r>
      <w:r w:rsidR="006D0EBE">
        <w:rPr>
          <w:lang w:bidi="he-IL"/>
        </w:rPr>
        <w:t>f</w:t>
      </w:r>
      <w:r w:rsidR="0025290A">
        <w:rPr>
          <w:lang w:bidi="he-IL"/>
        </w:rPr>
        <w:t xml:space="preserve">”: it’s </w:t>
      </w:r>
      <w:r w:rsidR="00866199">
        <w:rPr>
          <w:lang w:bidi="he-IL"/>
        </w:rPr>
        <w:t xml:space="preserve">the command that Yahweh issued </w:t>
      </w:r>
      <w:r w:rsidR="00EA5CAF">
        <w:rPr>
          <w:lang w:bidi="he-IL"/>
        </w:rPr>
        <w:t xml:space="preserve">in order </w:t>
      </w:r>
      <w:r w:rsidR="00866199">
        <w:rPr>
          <w:lang w:bidi="he-IL"/>
        </w:rPr>
        <w:t>to set Abra</w:t>
      </w:r>
      <w:r w:rsidR="00EA5CAF">
        <w:rPr>
          <w:lang w:bidi="he-IL"/>
        </w:rPr>
        <w:t>ham on the way to Canaan (12:6); t</w:t>
      </w:r>
      <w:r w:rsidR="006D0EBE">
        <w:rPr>
          <w:lang w:bidi="he-IL"/>
        </w:rPr>
        <w:t xml:space="preserve">hese two verses are the </w:t>
      </w:r>
      <w:r w:rsidR="00DB0514">
        <w:rPr>
          <w:lang w:bidi="he-IL"/>
        </w:rPr>
        <w:t>only places where the phrase</w:t>
      </w:r>
      <w:r w:rsidR="006D0EBE">
        <w:rPr>
          <w:lang w:bidi="he-IL"/>
        </w:rPr>
        <w:t xml:space="preserve"> occurs.</w:t>
      </w:r>
      <w:r w:rsidR="00267879">
        <w:rPr>
          <w:lang w:bidi="he-IL"/>
        </w:rPr>
        <w:t xml:space="preserve"> This expression, too, would </w:t>
      </w:r>
      <w:r w:rsidR="00EA5CAF">
        <w:rPr>
          <w:lang w:bidi="he-IL"/>
        </w:rPr>
        <w:t xml:space="preserve">thus </w:t>
      </w:r>
      <w:r w:rsidR="00267879">
        <w:rPr>
          <w:lang w:bidi="he-IL"/>
        </w:rPr>
        <w:t>suggest something demanding (where might God want him to go now?) but not something horrifying.</w:t>
      </w:r>
      <w:r w:rsidR="00F83D4D">
        <w:rPr>
          <w:lang w:bidi="he-IL"/>
        </w:rPr>
        <w:t xml:space="preserve"> </w:t>
      </w:r>
      <w:r w:rsidR="000C03B9">
        <w:rPr>
          <w:lang w:bidi="he-IL"/>
        </w:rPr>
        <w:t>On that occasion, too, God had accumulated epithets of deepening poignancy: “</w:t>
      </w:r>
      <w:r w:rsidR="000C03B9" w:rsidRPr="000C03B9">
        <w:rPr>
          <w:lang w:val="en-GB" w:bidi="he-IL"/>
        </w:rPr>
        <w:t xml:space="preserve">from your country, </w:t>
      </w:r>
      <w:r w:rsidR="000C03B9">
        <w:rPr>
          <w:lang w:val="en-GB" w:bidi="he-IL"/>
        </w:rPr>
        <w:t xml:space="preserve">from your homeland, </w:t>
      </w:r>
      <w:r w:rsidR="000C03B9" w:rsidRPr="000C03B9">
        <w:rPr>
          <w:lang w:val="en-GB" w:bidi="he-IL"/>
        </w:rPr>
        <w:t>from your father’s household</w:t>
      </w:r>
      <w:r w:rsidR="000C03B9">
        <w:rPr>
          <w:lang w:val="en-GB" w:bidi="he-IL"/>
        </w:rPr>
        <w:t>”</w:t>
      </w:r>
      <w:r w:rsidR="00425E22">
        <w:rPr>
          <w:lang w:val="en-GB" w:bidi="he-IL"/>
        </w:rPr>
        <w:t xml:space="preserve"> (</w:t>
      </w:r>
      <w:r w:rsidR="00425E22">
        <w:t xml:space="preserve">cf. </w:t>
      </w:r>
      <w:r w:rsidR="00425E22">
        <w:rPr>
          <w:i/>
        </w:rPr>
        <w:t>GenR</w:t>
      </w:r>
      <w:r w:rsidR="00425E22">
        <w:t xml:space="preserve"> 55:7).</w:t>
      </w:r>
      <w:r w:rsidR="000C03B9" w:rsidRPr="000C03B9">
        <w:rPr>
          <w:lang w:bidi="he-IL"/>
        </w:rPr>
        <w:t xml:space="preserve"> </w:t>
      </w:r>
      <w:r w:rsidR="00DC1670">
        <w:rPr>
          <w:lang w:bidi="he-IL"/>
        </w:rPr>
        <w:t xml:space="preserve">Now </w:t>
      </w:r>
      <w:r w:rsidR="00EA5CAF">
        <w:rPr>
          <w:lang w:bidi="he-IL"/>
        </w:rPr>
        <w:t>“</w:t>
      </w:r>
      <w:r w:rsidR="00EA5CAF" w:rsidRPr="00690B20">
        <w:rPr>
          <w:rFonts w:eastAsia="Times New Roman" w:cs="Times New Roman"/>
        </w:rPr>
        <w:t xml:space="preserve">Abraham is being asked more than to kill his son. He is being asked to give up the promised future for </w:t>
      </w:r>
      <w:r w:rsidR="00EA5CAF">
        <w:rPr>
          <w:rFonts w:eastAsia="Times New Roman" w:cs="Times New Roman"/>
        </w:rPr>
        <w:t>G</w:t>
      </w:r>
      <w:r w:rsidR="00EA5CAF" w:rsidRPr="00690B20">
        <w:rPr>
          <w:rFonts w:eastAsia="Times New Roman" w:cs="Times New Roman"/>
        </w:rPr>
        <w:t>od’s sake, in the same way he already gave up the past when he left country and family for a land he had yet to see</w:t>
      </w:r>
      <w:r w:rsidR="00EA5CAF">
        <w:rPr>
          <w:rFonts w:eastAsia="Times New Roman" w:cs="Times New Roman"/>
        </w:rPr>
        <w:t>.”</w:t>
      </w:r>
      <w:r w:rsidR="00EA5CAF">
        <w:rPr>
          <w:rStyle w:val="FootnoteReference"/>
          <w:rFonts w:eastAsia="Times New Roman" w:cs="Times New Roman"/>
        </w:rPr>
        <w:footnoteReference w:id="662"/>
      </w:r>
      <w:r w:rsidR="00EA5CAF">
        <w:rPr>
          <w:rFonts w:eastAsia="Times New Roman" w:cs="Times New Roman"/>
        </w:rPr>
        <w:t xml:space="preserve"> </w:t>
      </w:r>
      <w:r w:rsidR="00F701A0">
        <w:rPr>
          <w:rFonts w:eastAsia="Times New Roman" w:cs="Times New Roman"/>
        </w:rPr>
        <w:t>Yet perhaps the comparison is incomplete. After all, a sacrifice centrally involves not so much giving something up as consecrating something to God.</w:t>
      </w:r>
      <w:r w:rsidR="00F701A0">
        <w:rPr>
          <w:rStyle w:val="FootnoteReference"/>
          <w:rFonts w:eastAsia="Times New Roman" w:cs="Times New Roman"/>
        </w:rPr>
        <w:footnoteReference w:id="663"/>
      </w:r>
      <w:r w:rsidR="00727890">
        <w:rPr>
          <w:rFonts w:eastAsia="Times New Roman" w:cs="Times New Roman"/>
        </w:rPr>
        <w:t xml:space="preserve"> </w:t>
      </w:r>
      <w:r w:rsidR="00F701A0">
        <w:rPr>
          <w:rFonts w:eastAsia="Times New Roman" w:cs="Times New Roman"/>
        </w:rPr>
        <w:t>But</w:t>
      </w:r>
      <w:r w:rsidR="00EA5CAF">
        <w:rPr>
          <w:lang w:bidi="he-IL"/>
        </w:rPr>
        <w:t xml:space="preserve"> in his address to Abraham “God is clearly contradicting Himself,” when he follows up his promise in 21:12 with his command here in v. 2. “God, who formerly seemed to be his best friend, now appears to have become an enemy and a tyrant.”</w:t>
      </w:r>
      <w:r w:rsidR="00EA5CAF">
        <w:rPr>
          <w:rStyle w:val="FootnoteReference"/>
          <w:lang w:bidi="he-IL"/>
        </w:rPr>
        <w:footnoteReference w:id="664"/>
      </w:r>
      <w:r w:rsidR="00EA5CAF">
        <w:rPr>
          <w:lang w:bidi="he-IL"/>
        </w:rPr>
        <w:t xml:space="preserve"> </w:t>
      </w:r>
      <w:r w:rsidR="00DB0514">
        <w:rPr>
          <w:lang w:bidi="he-IL"/>
        </w:rPr>
        <w:t>He</w:t>
      </w:r>
      <w:r w:rsidR="00DC1670" w:rsidRPr="00DC1670">
        <w:rPr>
          <w:lang w:bidi="he-IL"/>
        </w:rPr>
        <w:t xml:space="preserve"> seems not merely “to assail the paternal love of Abraham” but “to trample upon His own benevolence.”</w:t>
      </w:r>
      <w:r w:rsidR="00DC1670" w:rsidRPr="00DC1670">
        <w:rPr>
          <w:vertAlign w:val="superscript"/>
          <w:lang w:bidi="he-IL"/>
        </w:rPr>
        <w:footnoteReference w:id="665"/>
      </w:r>
      <w:r w:rsidR="00DC1670">
        <w:rPr>
          <w:lang w:bidi="he-IL"/>
        </w:rPr>
        <w:t xml:space="preserve"> </w:t>
      </w:r>
      <w:r w:rsidR="00DB0514">
        <w:rPr>
          <w:lang w:bidi="he-IL"/>
        </w:rPr>
        <w:t>But Abraham’s obeying</w:t>
      </w:r>
      <w:r w:rsidR="00EA5CAF">
        <w:rPr>
          <w:lang w:bidi="he-IL"/>
        </w:rPr>
        <w:t xml:space="preserve"> </w:t>
      </w:r>
      <w:r w:rsidR="00DB0514">
        <w:rPr>
          <w:lang w:bidi="he-IL"/>
        </w:rPr>
        <w:t>“</w:t>
      </w:r>
      <w:r w:rsidR="00EA5CAF">
        <w:rPr>
          <w:lang w:bidi="he-IL"/>
        </w:rPr>
        <w:t>shows that he trusts God will find a way into the future…. Whatever conflict there may be, it is up to God to resolve it, and God is up to it.”</w:t>
      </w:r>
      <w:r w:rsidR="00EA5CAF">
        <w:rPr>
          <w:rStyle w:val="FootnoteReference"/>
          <w:lang w:bidi="he-IL"/>
        </w:rPr>
        <w:footnoteReference w:id="666"/>
      </w:r>
      <w:r w:rsidR="00EA5CAF">
        <w:rPr>
          <w:lang w:bidi="he-IL"/>
        </w:rPr>
        <w:t xml:space="preserve"> </w:t>
      </w:r>
      <w:r w:rsidR="00783115">
        <w:rPr>
          <w:lang w:bidi="he-IL"/>
        </w:rPr>
        <w:t xml:space="preserve">The same consideration answers the question, </w:t>
      </w:r>
      <w:r w:rsidR="00727890">
        <w:rPr>
          <w:lang w:bidi="he-IL"/>
        </w:rPr>
        <w:t>w</w:t>
      </w:r>
      <w:r w:rsidR="00783115" w:rsidRPr="00783115">
        <w:rPr>
          <w:lang w:bidi="he-IL"/>
        </w:rPr>
        <w:t xml:space="preserve">hat would have happened if Abraham had said “No”? </w:t>
      </w:r>
    </w:p>
    <w:p w14:paraId="54A24983" w14:textId="6F9305CF" w:rsidR="000C03B9" w:rsidRDefault="006D0EBE" w:rsidP="00FC2272">
      <w:pPr>
        <w:rPr>
          <w:lang w:bidi="he-IL"/>
        </w:rPr>
      </w:pPr>
      <w:r>
        <w:rPr>
          <w:lang w:bidi="he-IL"/>
        </w:rPr>
        <w:t xml:space="preserve">The </w:t>
      </w:r>
      <w:r w:rsidR="00A646F1">
        <w:rPr>
          <w:lang w:bidi="he-IL"/>
        </w:rPr>
        <w:t>word “epiphany” (</w:t>
      </w:r>
      <w:r w:rsidR="00A646F1" w:rsidRPr="00A646F1">
        <w:rPr>
          <w:i/>
          <w:lang w:bidi="he-IL"/>
        </w:rPr>
        <w:t>mōriyyāh</w:t>
      </w:r>
      <w:r w:rsidR="00A646F1">
        <w:rPr>
          <w:lang w:bidi="he-IL"/>
        </w:rPr>
        <w:t>)</w:t>
      </w:r>
      <w:r w:rsidR="00A646F1" w:rsidRPr="00A646F1">
        <w:rPr>
          <w:lang w:bidi="he-IL"/>
        </w:rPr>
        <w:t xml:space="preserve"> </w:t>
      </w:r>
      <w:r w:rsidR="0086059C">
        <w:rPr>
          <w:lang w:bidi="he-IL"/>
        </w:rPr>
        <w:t>otherwise occu</w:t>
      </w:r>
      <w:r w:rsidR="00595133">
        <w:rPr>
          <w:lang w:bidi="he-IL"/>
        </w:rPr>
        <w:t xml:space="preserve">rs </w:t>
      </w:r>
      <w:r w:rsidR="008E7E1C">
        <w:rPr>
          <w:lang w:bidi="he-IL"/>
        </w:rPr>
        <w:t>in the First</w:t>
      </w:r>
      <w:r w:rsidR="00A646F1">
        <w:rPr>
          <w:lang w:bidi="he-IL"/>
        </w:rPr>
        <w:t xml:space="preserve"> Testament </w:t>
      </w:r>
      <w:r w:rsidR="00595133">
        <w:rPr>
          <w:lang w:bidi="he-IL"/>
        </w:rPr>
        <w:t>only in 2 Chron 3:1</w:t>
      </w:r>
      <w:r w:rsidR="00A646F1">
        <w:rPr>
          <w:lang w:bidi="he-IL"/>
        </w:rPr>
        <w:t xml:space="preserve"> (though spelled </w:t>
      </w:r>
      <w:proofErr w:type="gramStart"/>
      <w:r w:rsidR="00A646F1" w:rsidRPr="00A646F1">
        <w:rPr>
          <w:i/>
          <w:lang w:bidi="he-IL"/>
        </w:rPr>
        <w:t>môriyyāh</w:t>
      </w:r>
      <w:r w:rsidR="008E7E1C">
        <w:rPr>
          <w:i/>
          <w:lang w:bidi="he-IL"/>
        </w:rPr>
        <w:t xml:space="preserve"> </w:t>
      </w:r>
      <w:r w:rsidR="00A646F1">
        <w:rPr>
          <w:lang w:bidi="he-IL"/>
        </w:rPr>
        <w:t>)</w:t>
      </w:r>
      <w:proofErr w:type="gramEnd"/>
      <w:r w:rsidR="00A646F1">
        <w:rPr>
          <w:lang w:bidi="he-IL"/>
        </w:rPr>
        <w:t>. There, “Epiphany</w:t>
      </w:r>
      <w:r w:rsidR="0086059C">
        <w:rPr>
          <w:lang w:bidi="he-IL"/>
        </w:rPr>
        <w:t xml:space="preserve"> Mountain” is one way of describing where the temple was built, along with the place’s identificati</w:t>
      </w:r>
      <w:r w:rsidR="0059374E">
        <w:rPr>
          <w:lang w:bidi="he-IL"/>
        </w:rPr>
        <w:t>on as the threshing floor of Ornan the Jebusit</w:t>
      </w:r>
      <w:r w:rsidR="008E7E1C">
        <w:rPr>
          <w:lang w:bidi="he-IL"/>
        </w:rPr>
        <w:t>e. T</w:t>
      </w:r>
      <w:r w:rsidR="00DB0514">
        <w:rPr>
          <w:lang w:bidi="he-IL"/>
        </w:rPr>
        <w:t>hat</w:t>
      </w:r>
      <w:r w:rsidR="0059374E">
        <w:rPr>
          <w:lang w:bidi="he-IL"/>
        </w:rPr>
        <w:t xml:space="preserve"> passage does not make a</w:t>
      </w:r>
      <w:r w:rsidR="008E7E1C">
        <w:rPr>
          <w:lang w:bidi="he-IL"/>
        </w:rPr>
        <w:t xml:space="preserve"> link with Abraham, while v. 2 here</w:t>
      </w:r>
      <w:r w:rsidR="0059374E">
        <w:rPr>
          <w:lang w:bidi="he-IL"/>
        </w:rPr>
        <w:t xml:space="preserve"> </w:t>
      </w:r>
      <w:r w:rsidR="00A646F1">
        <w:rPr>
          <w:lang w:bidi="he-IL"/>
        </w:rPr>
        <w:t>(with its different spelling)</w:t>
      </w:r>
      <w:r w:rsidR="0059374E" w:rsidRPr="0059374E">
        <w:rPr>
          <w:lang w:bidi="he-IL"/>
        </w:rPr>
        <w:t xml:space="preserve"> </w:t>
      </w:r>
      <w:r w:rsidR="0059374E">
        <w:rPr>
          <w:lang w:bidi="he-IL"/>
        </w:rPr>
        <w:t xml:space="preserve">does not make a link </w:t>
      </w:r>
      <w:r w:rsidR="008E7E1C">
        <w:rPr>
          <w:lang w:bidi="he-IL"/>
        </w:rPr>
        <w:t>between “the Epiphany</w:t>
      </w:r>
      <w:r w:rsidR="0059374E">
        <w:rPr>
          <w:lang w:bidi="he-IL"/>
        </w:rPr>
        <w:t xml:space="preserve"> region” and Jerusalem or Salem (Gen 14) or the Jebusites (10:16; 15:21)</w:t>
      </w:r>
      <w:r w:rsidR="00180A76">
        <w:rPr>
          <w:lang w:bidi="he-IL"/>
        </w:rPr>
        <w:t xml:space="preserve">—nor does </w:t>
      </w:r>
      <w:r w:rsidR="00EA475E">
        <w:rPr>
          <w:lang w:bidi="he-IL"/>
        </w:rPr>
        <w:t>1 Kings include such a reference</w:t>
      </w:r>
      <w:r w:rsidR="0059374E">
        <w:rPr>
          <w:lang w:bidi="he-IL"/>
        </w:rPr>
        <w:t xml:space="preserve">. So </w:t>
      </w:r>
      <w:r w:rsidR="00282632">
        <w:rPr>
          <w:lang w:bidi="he-IL"/>
        </w:rPr>
        <w:t xml:space="preserve">within the First Testament </w:t>
      </w:r>
      <w:r w:rsidR="0059374E">
        <w:rPr>
          <w:lang w:bidi="he-IL"/>
        </w:rPr>
        <w:t xml:space="preserve">the evidence is thin for identifying the </w:t>
      </w:r>
      <w:r w:rsidR="00D179B0">
        <w:rPr>
          <w:lang w:bidi="he-IL"/>
        </w:rPr>
        <w:t xml:space="preserve">geographical location of </w:t>
      </w:r>
      <w:r w:rsidR="00DB0514">
        <w:rPr>
          <w:lang w:bidi="he-IL"/>
        </w:rPr>
        <w:t xml:space="preserve">the </w:t>
      </w:r>
      <w:r w:rsidR="0059374E">
        <w:rPr>
          <w:lang w:bidi="he-IL"/>
        </w:rPr>
        <w:t>place where Abraham is to go as the place</w:t>
      </w:r>
      <w:r w:rsidR="008E7E1C">
        <w:rPr>
          <w:lang w:bidi="he-IL"/>
        </w:rPr>
        <w:t xml:space="preserve"> where the temple is later built</w:t>
      </w:r>
      <w:r w:rsidR="00EA475E">
        <w:rPr>
          <w:lang w:bidi="he-IL"/>
        </w:rPr>
        <w:t xml:space="preserve"> (n</w:t>
      </w:r>
      <w:r w:rsidR="00EA475E" w:rsidRPr="00EA475E">
        <w:rPr>
          <w:lang w:bidi="he-IL"/>
        </w:rPr>
        <w:t>ot surprisingly, Samaritan tradition identifi</w:t>
      </w:r>
      <w:r w:rsidR="00EA475E">
        <w:rPr>
          <w:lang w:bidi="he-IL"/>
        </w:rPr>
        <w:t>es the place with Mount Gerizim).</w:t>
      </w:r>
      <w:r w:rsidR="00EA475E" w:rsidRPr="00EA475E">
        <w:rPr>
          <w:vertAlign w:val="superscript"/>
          <w:lang w:bidi="he-IL"/>
        </w:rPr>
        <w:footnoteReference w:id="667"/>
      </w:r>
      <w:r w:rsidR="00EA475E">
        <w:rPr>
          <w:lang w:bidi="he-IL"/>
        </w:rPr>
        <w:t xml:space="preserve"> </w:t>
      </w:r>
      <w:r w:rsidR="008E7E1C">
        <w:rPr>
          <w:lang w:bidi="he-IL"/>
        </w:rPr>
        <w:t>Yet</w:t>
      </w:r>
      <w:r w:rsidR="00D179B0">
        <w:rPr>
          <w:lang w:bidi="he-IL"/>
        </w:rPr>
        <w:t xml:space="preserve"> </w:t>
      </w:r>
      <w:r w:rsidR="008E7E1C">
        <w:rPr>
          <w:lang w:bidi="he-IL"/>
        </w:rPr>
        <w:t xml:space="preserve">it may implicitly link the two </w:t>
      </w:r>
      <w:r w:rsidR="00D179B0">
        <w:rPr>
          <w:lang w:bidi="he-IL"/>
        </w:rPr>
        <w:t>in their significance</w:t>
      </w:r>
      <w:r w:rsidR="00186911">
        <w:rPr>
          <w:lang w:bidi="he-IL"/>
        </w:rPr>
        <w:t xml:space="preserve"> (see further v. 14, where</w:t>
      </w:r>
      <w:r w:rsidR="00186911" w:rsidRPr="00186911">
        <w:rPr>
          <w:lang w:bidi="he-IL"/>
        </w:rPr>
        <w:t xml:space="preserve"> </w:t>
      </w:r>
      <w:r w:rsidR="00186911" w:rsidRPr="00186911">
        <w:rPr>
          <w:i/>
          <w:lang w:bidi="he-IL"/>
        </w:rPr>
        <w:t>Jub</w:t>
      </w:r>
      <w:r w:rsidR="00186911" w:rsidRPr="00186911">
        <w:rPr>
          <w:lang w:bidi="he-IL"/>
        </w:rPr>
        <w:t xml:space="preserve"> 18:13 adds “it is</w:t>
      </w:r>
      <w:r w:rsidR="00186911">
        <w:rPr>
          <w:lang w:bidi="he-IL"/>
        </w:rPr>
        <w:t xml:space="preserve"> Mount Zion”)</w:t>
      </w:r>
      <w:r w:rsidR="00D179B0">
        <w:rPr>
          <w:lang w:bidi="he-IL"/>
        </w:rPr>
        <w:t>: the Jerusalem temple is</w:t>
      </w:r>
      <w:r w:rsidR="00186911">
        <w:rPr>
          <w:lang w:bidi="he-IL"/>
        </w:rPr>
        <w:t xml:space="preserve"> the place where Yahweh sees to the need</w:t>
      </w:r>
      <w:r w:rsidR="00D179B0">
        <w:rPr>
          <w:lang w:bidi="he-IL"/>
        </w:rPr>
        <w:t xml:space="preserve"> for sacrifice</w:t>
      </w:r>
      <w:r w:rsidR="00EA475E">
        <w:rPr>
          <w:lang w:bidi="he-IL"/>
        </w:rPr>
        <w:t xml:space="preserve">. </w:t>
      </w:r>
      <w:r w:rsidR="00186911">
        <w:rPr>
          <w:lang w:bidi="he-IL"/>
        </w:rPr>
        <w:t>But</w:t>
      </w:r>
      <w:r w:rsidR="0059374E">
        <w:rPr>
          <w:lang w:bidi="he-IL"/>
        </w:rPr>
        <w:t xml:space="preserve"> otherwise</w:t>
      </w:r>
      <w:r w:rsidR="00186911">
        <w:rPr>
          <w:lang w:bidi="he-IL"/>
        </w:rPr>
        <w:t>,</w:t>
      </w:r>
      <w:r w:rsidR="0059374E">
        <w:rPr>
          <w:lang w:bidi="he-IL"/>
        </w:rPr>
        <w:t xml:space="preserve"> w</w:t>
      </w:r>
      <w:r w:rsidR="00186911">
        <w:rPr>
          <w:lang w:bidi="he-IL"/>
        </w:rPr>
        <w:t>e do not know where the Epiphany</w:t>
      </w:r>
      <w:r w:rsidR="0059374E">
        <w:rPr>
          <w:lang w:bidi="he-IL"/>
        </w:rPr>
        <w:t xml:space="preserve"> region was.</w:t>
      </w:r>
      <w:r w:rsidR="00186911">
        <w:rPr>
          <w:lang w:bidi="he-IL"/>
        </w:rPr>
        <w:t xml:space="preserve"> Nor do we know why i</w:t>
      </w:r>
      <w:r w:rsidR="00675A0D">
        <w:rPr>
          <w:lang w:bidi="he-IL"/>
        </w:rPr>
        <w:t>t should be</w:t>
      </w:r>
      <w:r w:rsidR="00FC2272">
        <w:rPr>
          <w:lang w:bidi="he-IL"/>
        </w:rPr>
        <w:t xml:space="preserve"> the place to make an offering. God will tell Abraham exactly where to go to make the sacrifice, but the narrator will not tell us. T</w:t>
      </w:r>
      <w:r w:rsidR="000C03B9">
        <w:rPr>
          <w:lang w:bidi="he-IL"/>
        </w:rPr>
        <w:t xml:space="preserve">he name is more significant than the location. </w:t>
      </w:r>
      <w:r w:rsidR="00FC2272">
        <w:rPr>
          <w:lang w:bidi="he-IL"/>
        </w:rPr>
        <w:t xml:space="preserve">It </w:t>
      </w:r>
      <w:r w:rsidR="00DB0514">
        <w:rPr>
          <w:lang w:bidi="he-IL"/>
        </w:rPr>
        <w:t xml:space="preserve">recalls the verb </w:t>
      </w:r>
      <w:r w:rsidR="000C03B9">
        <w:rPr>
          <w:i/>
          <w:lang w:bidi="he-IL"/>
        </w:rPr>
        <w:t xml:space="preserve">rā’āh, </w:t>
      </w:r>
      <w:r w:rsidR="00DB0514" w:rsidRPr="00DB0514">
        <w:rPr>
          <w:lang w:bidi="he-IL"/>
        </w:rPr>
        <w:t>“see</w:t>
      </w:r>
      <w:r w:rsidR="00DB0514">
        <w:rPr>
          <w:lang w:bidi="he-IL"/>
        </w:rPr>
        <w:t>,</w:t>
      </w:r>
      <w:r w:rsidR="00DB0514" w:rsidRPr="00DB0514">
        <w:rPr>
          <w:lang w:bidi="he-IL"/>
        </w:rPr>
        <w:t>”</w:t>
      </w:r>
      <w:r w:rsidR="00DB0514" w:rsidRPr="00DB0514">
        <w:rPr>
          <w:i/>
          <w:lang w:bidi="he-IL"/>
        </w:rPr>
        <w:t xml:space="preserve"> </w:t>
      </w:r>
      <w:r w:rsidR="000C03B9" w:rsidRPr="000C03B9">
        <w:rPr>
          <w:lang w:bidi="he-IL"/>
        </w:rPr>
        <w:t>which recurs in the ch</w:t>
      </w:r>
      <w:r w:rsidR="001A5829">
        <w:rPr>
          <w:lang w:bidi="he-IL"/>
        </w:rPr>
        <w:t>a</w:t>
      </w:r>
      <w:r w:rsidR="000C03B9" w:rsidRPr="000C03B9">
        <w:rPr>
          <w:lang w:bidi="he-IL"/>
        </w:rPr>
        <w:t>pter</w:t>
      </w:r>
      <w:r w:rsidR="000C03B9">
        <w:rPr>
          <w:lang w:bidi="he-IL"/>
        </w:rPr>
        <w:t xml:space="preserve">: it’s the place </w:t>
      </w:r>
      <w:r w:rsidR="001A5829">
        <w:rPr>
          <w:lang w:bidi="he-IL"/>
        </w:rPr>
        <w:t>that Abraham sees and where he sees the ram, and where God sees to things (vv. 4, 8, 13, 14).</w:t>
      </w:r>
      <w:r w:rsidR="000C03B9">
        <w:rPr>
          <w:i/>
          <w:lang w:bidi="he-IL"/>
        </w:rPr>
        <w:t xml:space="preserve"> </w:t>
      </w:r>
      <w:r w:rsidR="00EA475E">
        <w:rPr>
          <w:lang w:bidi="he-IL"/>
        </w:rPr>
        <w:t>I</w:t>
      </w:r>
      <w:r w:rsidR="00DB0514">
        <w:rPr>
          <w:lang w:bidi="he-IL"/>
        </w:rPr>
        <w:t xml:space="preserve">ts name is also </w:t>
      </w:r>
      <w:r w:rsidR="001A5829">
        <w:rPr>
          <w:lang w:bidi="he-IL"/>
        </w:rPr>
        <w:t>similar to that of the Moreh</w:t>
      </w:r>
      <w:r w:rsidR="00180A76">
        <w:rPr>
          <w:lang w:bidi="he-IL"/>
        </w:rPr>
        <w:t xml:space="preserve"> Oak (12:6-7), making for anther link with that long-ago biddin</w:t>
      </w:r>
      <w:r w:rsidR="00DB0514">
        <w:rPr>
          <w:lang w:bidi="he-IL"/>
        </w:rPr>
        <w:t>g to move to Canaan. While t</w:t>
      </w:r>
      <w:r w:rsidR="00180A76">
        <w:rPr>
          <w:lang w:bidi="he-IL"/>
        </w:rPr>
        <w:t xml:space="preserve">hat name </w:t>
      </w:r>
      <w:r w:rsidR="001A5829">
        <w:rPr>
          <w:lang w:bidi="he-IL"/>
        </w:rPr>
        <w:t>likely suggests</w:t>
      </w:r>
      <w:r w:rsidR="000C03B9">
        <w:rPr>
          <w:lang w:bidi="he-IL"/>
        </w:rPr>
        <w:t xml:space="preserve"> </w:t>
      </w:r>
      <w:r w:rsidR="00DB0514">
        <w:rPr>
          <w:lang w:bidi="he-IL"/>
        </w:rPr>
        <w:t>“Teacher’s Oak,”</w:t>
      </w:r>
      <w:r w:rsidR="00180A76">
        <w:rPr>
          <w:lang w:bidi="he-IL"/>
        </w:rPr>
        <w:t xml:space="preserve"> it</w:t>
      </w:r>
      <w:r w:rsidR="001A5829">
        <w:rPr>
          <w:lang w:bidi="he-IL"/>
        </w:rPr>
        <w:t xml:space="preserve"> could </w:t>
      </w:r>
      <w:r w:rsidR="00180A76">
        <w:rPr>
          <w:lang w:bidi="he-IL"/>
        </w:rPr>
        <w:t>also remind people of this verb:</w:t>
      </w:r>
      <w:r w:rsidR="007524A7">
        <w:rPr>
          <w:rStyle w:val="FootnoteReference"/>
          <w:lang w:bidi="he-IL"/>
        </w:rPr>
        <w:footnoteReference w:id="668"/>
      </w:r>
      <w:r w:rsidR="00180A76">
        <w:rPr>
          <w:lang w:bidi="he-IL"/>
        </w:rPr>
        <w:t xml:space="preserve"> it too was a place where Yahweh let</w:t>
      </w:r>
      <w:r w:rsidR="00EA475E">
        <w:rPr>
          <w:lang w:bidi="he-IL"/>
        </w:rPr>
        <w:t xml:space="preserve"> himself be seen (the verb came</w:t>
      </w:r>
      <w:r w:rsidR="001A5829">
        <w:rPr>
          <w:lang w:bidi="he-IL"/>
        </w:rPr>
        <w:t xml:space="preserve"> twice</w:t>
      </w:r>
      <w:r w:rsidR="00180A76">
        <w:rPr>
          <w:lang w:bidi="he-IL"/>
        </w:rPr>
        <w:t xml:space="preserve"> in 12:7) and where Abraham built</w:t>
      </w:r>
      <w:r w:rsidR="001A5829">
        <w:rPr>
          <w:lang w:bidi="he-IL"/>
        </w:rPr>
        <w:t xml:space="preserve"> his first altar</w:t>
      </w:r>
      <w:r w:rsidR="00180A76">
        <w:rPr>
          <w:lang w:bidi="he-IL"/>
        </w:rPr>
        <w:t>,</w:t>
      </w:r>
      <w:r w:rsidR="001A5829">
        <w:rPr>
          <w:lang w:bidi="he-IL"/>
        </w:rPr>
        <w:t xml:space="preserve"> a</w:t>
      </w:r>
      <w:r w:rsidR="00180A76">
        <w:rPr>
          <w:lang w:bidi="he-IL"/>
        </w:rPr>
        <w:t>s he builds his last here</w:t>
      </w:r>
      <w:r w:rsidR="001A5829">
        <w:rPr>
          <w:lang w:bidi="he-IL"/>
        </w:rPr>
        <w:t xml:space="preserve">. </w:t>
      </w:r>
    </w:p>
    <w:p w14:paraId="031D4665" w14:textId="47E3BB80" w:rsidR="00BA519D" w:rsidRDefault="00DB0514" w:rsidP="00FC2272">
      <w:pPr>
        <w:rPr>
          <w:lang w:bidi="he-IL"/>
        </w:rPr>
      </w:pPr>
      <w:r>
        <w:rPr>
          <w:lang w:bidi="he-IL"/>
        </w:rPr>
        <w:t>P</w:t>
      </w:r>
      <w:r w:rsidR="00E12455" w:rsidRPr="00E12455">
        <w:rPr>
          <w:lang w:bidi="he-IL"/>
        </w:rPr>
        <w:t>receding sacrifices in Genesis were al</w:t>
      </w:r>
      <w:r>
        <w:rPr>
          <w:lang w:bidi="he-IL"/>
        </w:rPr>
        <w:t>l offered on human initiative. H</w:t>
      </w:r>
      <w:r w:rsidR="00E12455" w:rsidRPr="00E12455">
        <w:rPr>
          <w:lang w:bidi="he-IL"/>
        </w:rPr>
        <w:t>ere for the first time God gives instructions for a sacrifice. It would be another reason for making a link between the building of the Jerusalem temple and this event.</w:t>
      </w:r>
      <w:r w:rsidR="00E12455">
        <w:rPr>
          <w:lang w:bidi="he-IL"/>
        </w:rPr>
        <w:t xml:space="preserve"> For the idea of a w</w:t>
      </w:r>
      <w:r w:rsidR="00E12455" w:rsidRPr="00E12455">
        <w:rPr>
          <w:lang w:bidi="he-IL"/>
        </w:rPr>
        <w:t>hole offering</w:t>
      </w:r>
      <w:r w:rsidR="00E12455">
        <w:rPr>
          <w:lang w:bidi="he-IL"/>
        </w:rPr>
        <w:t xml:space="preserve">, see 8:20 (the only other reference </w:t>
      </w:r>
      <w:r w:rsidR="00E12455">
        <w:rPr>
          <w:lang w:bidi="he-IL"/>
        </w:rPr>
        <w:lastRenderedPageBreak/>
        <w:t xml:space="preserve">in Genesis). </w:t>
      </w:r>
      <w:r w:rsidR="00866EB8" w:rsidRPr="00866EB8">
        <w:rPr>
          <w:lang w:bidi="he-IL"/>
        </w:rPr>
        <w:t>One can hardly imagine a more sacrificial offering than to offe</w:t>
      </w:r>
      <w:r w:rsidR="00E12455">
        <w:rPr>
          <w:lang w:bidi="he-IL"/>
        </w:rPr>
        <w:t>r one’s own child in this way</w:t>
      </w:r>
      <w:r w:rsidR="00866EB8" w:rsidRPr="00866EB8">
        <w:rPr>
          <w:lang w:bidi="he-IL"/>
        </w:rPr>
        <w:t>; it is thus a monumental sign of devotion.</w:t>
      </w:r>
      <w:r w:rsidR="00866EB8">
        <w:rPr>
          <w:lang w:bidi="he-IL"/>
        </w:rPr>
        <w:t xml:space="preserve"> </w:t>
      </w:r>
      <w:r>
        <w:rPr>
          <w:lang w:bidi="he-IL"/>
        </w:rPr>
        <w:t>T</w:t>
      </w:r>
      <w:r w:rsidR="00E12455" w:rsidRPr="00E12455">
        <w:rPr>
          <w:lang w:bidi="he-IL"/>
        </w:rPr>
        <w:t>he idea that one owes one’s firstborn son to God will become familiar, but God will accep</w:t>
      </w:r>
      <w:r>
        <w:rPr>
          <w:lang w:bidi="he-IL"/>
        </w:rPr>
        <w:t>t a substitute and then give hi</w:t>
      </w:r>
      <w:r w:rsidR="00FC2272">
        <w:rPr>
          <w:lang w:bidi="he-IL"/>
        </w:rPr>
        <w:t>m back (Exod 22:29 [28</w:t>
      </w:r>
      <w:r w:rsidR="00E12455" w:rsidRPr="00E12455">
        <w:rPr>
          <w:lang w:bidi="he-IL"/>
        </w:rPr>
        <w:t>]; 34:20).</w:t>
      </w:r>
      <w:r w:rsidR="00E12455">
        <w:rPr>
          <w:lang w:bidi="he-IL"/>
        </w:rPr>
        <w:t xml:space="preserve"> </w:t>
      </w:r>
      <w:r>
        <w:rPr>
          <w:lang w:bidi="he-IL"/>
        </w:rPr>
        <w:t>While i</w:t>
      </w:r>
      <w:r w:rsidR="00675A0D">
        <w:rPr>
          <w:lang w:bidi="he-IL"/>
        </w:rPr>
        <w:t>n one sense the audience might be shocked at the comman</w:t>
      </w:r>
      <w:r w:rsidR="00E12455">
        <w:rPr>
          <w:lang w:bidi="he-IL"/>
        </w:rPr>
        <w:t>d</w:t>
      </w:r>
      <w:r w:rsidR="00675A0D">
        <w:rPr>
          <w:lang w:bidi="he-IL"/>
        </w:rPr>
        <w:t xml:space="preserve">, not least because the </w:t>
      </w:r>
      <w:r>
        <w:rPr>
          <w:lang w:bidi="he-IL"/>
        </w:rPr>
        <w:t>Torah forbade human sacrifice, i</w:t>
      </w:r>
      <w:r w:rsidR="00516011">
        <w:rPr>
          <w:lang w:bidi="he-IL"/>
        </w:rPr>
        <w:t>n another sense it</w:t>
      </w:r>
      <w:r w:rsidR="00675A0D">
        <w:rPr>
          <w:lang w:bidi="he-IL"/>
        </w:rPr>
        <w:t xml:space="preserve"> mig</w:t>
      </w:r>
      <w:r w:rsidR="00516011">
        <w:rPr>
          <w:lang w:bidi="he-IL"/>
        </w:rPr>
        <w:t xml:space="preserve">ht not be shocked. </w:t>
      </w:r>
      <w:r w:rsidR="00675A0D">
        <w:rPr>
          <w:lang w:bidi="he-IL"/>
        </w:rPr>
        <w:t>Is</w:t>
      </w:r>
      <w:r w:rsidR="00E12455">
        <w:rPr>
          <w:lang w:bidi="he-IL"/>
        </w:rPr>
        <w:t xml:space="preserve">rael’s ancestors often </w:t>
      </w:r>
      <w:r w:rsidR="00675A0D">
        <w:rPr>
          <w:lang w:bidi="he-IL"/>
        </w:rPr>
        <w:t xml:space="preserve">did not live by the </w:t>
      </w:r>
      <w:r w:rsidR="00E12455">
        <w:rPr>
          <w:lang w:bidi="he-IL"/>
        </w:rPr>
        <w:t>Torah’s rules</w:t>
      </w:r>
      <w:r w:rsidR="00516011">
        <w:rPr>
          <w:lang w:bidi="he-IL"/>
        </w:rPr>
        <w:t xml:space="preserve">, </w:t>
      </w:r>
      <w:r w:rsidR="00BC65FF">
        <w:rPr>
          <w:lang w:bidi="he-IL"/>
        </w:rPr>
        <w:t>which</w:t>
      </w:r>
      <w:r w:rsidR="00675A0D">
        <w:rPr>
          <w:lang w:bidi="he-IL"/>
        </w:rPr>
        <w:t xml:space="preserve"> had not </w:t>
      </w:r>
      <w:r w:rsidR="00BC65FF">
        <w:rPr>
          <w:lang w:bidi="he-IL"/>
        </w:rPr>
        <w:t xml:space="preserve">yet </w:t>
      </w:r>
      <w:r w:rsidR="00675A0D">
        <w:rPr>
          <w:lang w:bidi="he-IL"/>
        </w:rPr>
        <w:t>b</w:t>
      </w:r>
      <w:r w:rsidR="00516011">
        <w:rPr>
          <w:lang w:bidi="he-IL"/>
        </w:rPr>
        <w:t>een laid down.</w:t>
      </w:r>
      <w:r w:rsidR="00E12455">
        <w:rPr>
          <w:lang w:bidi="he-IL"/>
        </w:rPr>
        <w:t xml:space="preserve"> </w:t>
      </w:r>
      <w:r w:rsidR="00516011">
        <w:rPr>
          <w:lang w:bidi="he-IL"/>
        </w:rPr>
        <w:t xml:space="preserve">And </w:t>
      </w:r>
      <w:r w:rsidR="00E12455">
        <w:rPr>
          <w:lang w:bidi="he-IL"/>
        </w:rPr>
        <w:t>the audience</w:t>
      </w:r>
      <w:r w:rsidR="00516011">
        <w:rPr>
          <w:lang w:bidi="he-IL"/>
        </w:rPr>
        <w:t xml:space="preserve"> would have known of</w:t>
      </w:r>
      <w:r w:rsidR="00675A0D">
        <w:rPr>
          <w:lang w:bidi="he-IL"/>
        </w:rPr>
        <w:t xml:space="preserve"> the practice of human sacrifice among other peoples in their cultural context (e.g., 2 Kings 3:27) as well as within Israel, despite what the Torah said (e.g., 2 Kings 21:6; </w:t>
      </w:r>
      <w:r w:rsidR="00880157">
        <w:rPr>
          <w:lang w:bidi="he-IL"/>
        </w:rPr>
        <w:t xml:space="preserve">Ps 107:34-38; </w:t>
      </w:r>
      <w:r w:rsidR="00675A0D">
        <w:rPr>
          <w:lang w:bidi="he-IL"/>
        </w:rPr>
        <w:t>Jer 7:31).</w:t>
      </w:r>
      <w:r w:rsidR="00880157">
        <w:rPr>
          <w:lang w:bidi="he-IL"/>
        </w:rPr>
        <w:t xml:space="preserve"> </w:t>
      </w:r>
      <w:r w:rsidR="00516011">
        <w:rPr>
          <w:lang w:bidi="he-IL"/>
        </w:rPr>
        <w:t>Not that it was necessarily a regular practice;</w:t>
      </w:r>
      <w:r w:rsidR="00516011">
        <w:rPr>
          <w:rStyle w:val="FootnoteReference"/>
          <w:lang w:bidi="he-IL"/>
        </w:rPr>
        <w:footnoteReference w:id="669"/>
      </w:r>
      <w:r w:rsidR="00516011">
        <w:rPr>
          <w:lang w:bidi="he-IL"/>
        </w:rPr>
        <w:t xml:space="preserve"> </w:t>
      </w:r>
      <w:r w:rsidR="008D037F">
        <w:rPr>
          <w:lang w:bidi="he-IL"/>
        </w:rPr>
        <w:t>and</w:t>
      </w:r>
      <w:r w:rsidR="00FC2272">
        <w:rPr>
          <w:lang w:bidi="he-IL"/>
        </w:rPr>
        <w:t xml:space="preserve"> t</w:t>
      </w:r>
      <w:r w:rsidR="00BA519D">
        <w:rPr>
          <w:lang w:bidi="he-IL"/>
        </w:rPr>
        <w:t>he description of the event as a test implies that “there is no suggestion that the command to sacrifice the boy accords with established human custom.”</w:t>
      </w:r>
      <w:r w:rsidR="00BA519D">
        <w:rPr>
          <w:rStyle w:val="FootnoteReference"/>
          <w:lang w:bidi="he-IL"/>
        </w:rPr>
        <w:footnoteReference w:id="670"/>
      </w:r>
    </w:p>
    <w:p w14:paraId="41D7F1F3" w14:textId="25DA2BB7" w:rsidR="003D0F91" w:rsidRDefault="00D65943" w:rsidP="003D2F68">
      <w:pPr>
        <w:rPr>
          <w:lang w:bidi="he-IL"/>
        </w:rPr>
      </w:pPr>
      <w:r>
        <w:rPr>
          <w:b/>
          <w:lang w:bidi="he-IL"/>
        </w:rPr>
        <w:t>22:3-5</w:t>
      </w:r>
      <w:r w:rsidR="00880157">
        <w:rPr>
          <w:b/>
          <w:lang w:bidi="he-IL"/>
        </w:rPr>
        <w:t xml:space="preserve">. </w:t>
      </w:r>
      <w:r w:rsidR="00834ED2" w:rsidRPr="00834ED2">
        <w:rPr>
          <w:lang w:bidi="he-IL"/>
        </w:rPr>
        <w:t>“What do you say to these things, Abraham? What kind of thoughts are stirring in your h</w:t>
      </w:r>
      <w:r w:rsidR="00834ED2">
        <w:rPr>
          <w:lang w:bidi="he-IL"/>
        </w:rPr>
        <w:t>e</w:t>
      </w:r>
      <w:r w:rsidR="00834ED2" w:rsidRPr="00834ED2">
        <w:rPr>
          <w:lang w:bidi="he-IL"/>
        </w:rPr>
        <w:t>art?</w:t>
      </w:r>
      <w:r w:rsidR="00E12455">
        <w:rPr>
          <w:lang w:bidi="he-IL"/>
        </w:rPr>
        <w:t>” But Abraham</w:t>
      </w:r>
      <w:r w:rsidR="00834ED2">
        <w:rPr>
          <w:lang w:bidi="he-IL"/>
        </w:rPr>
        <w:t xml:space="preserve"> </w:t>
      </w:r>
      <w:r w:rsidR="00E12455">
        <w:rPr>
          <w:lang w:bidi="he-IL"/>
        </w:rPr>
        <w:t>“</w:t>
      </w:r>
      <w:r w:rsidR="00834ED2">
        <w:rPr>
          <w:lang w:bidi="he-IL"/>
        </w:rPr>
        <w:t>does not deliberate, he does not reconsider, he does not take counsel with any man, but immediately he sets out on the journey.”</w:t>
      </w:r>
      <w:r w:rsidR="00834ED2">
        <w:rPr>
          <w:rStyle w:val="FootnoteReference"/>
          <w:lang w:bidi="he-IL"/>
        </w:rPr>
        <w:footnoteReference w:id="671"/>
      </w:r>
      <w:r w:rsidR="00834ED2" w:rsidRPr="00834ED2">
        <w:rPr>
          <w:lang w:bidi="he-IL"/>
        </w:rPr>
        <w:t xml:space="preserve"> </w:t>
      </w:r>
      <w:r w:rsidR="00516011">
        <w:rPr>
          <w:lang w:bidi="he-IL"/>
        </w:rPr>
        <w:t>If</w:t>
      </w:r>
      <w:r w:rsidR="000A7C4A">
        <w:rPr>
          <w:lang w:bidi="he-IL"/>
        </w:rPr>
        <w:t xml:space="preserve"> </w:t>
      </w:r>
      <w:r w:rsidR="002E489B" w:rsidRPr="002E489B">
        <w:rPr>
          <w:lang w:bidi="he-IL"/>
        </w:rPr>
        <w:t>“</w:t>
      </w:r>
      <w:r w:rsidR="000A7C4A">
        <w:rPr>
          <w:lang w:bidi="he-IL"/>
        </w:rPr>
        <w:t>t</w:t>
      </w:r>
      <w:r w:rsidR="002E489B" w:rsidRPr="002E489B">
        <w:rPr>
          <w:lang w:bidi="he-IL"/>
        </w:rPr>
        <w:t>he very fact that the patriarch, who lived before the age of grace and before the Law, reached such a degree of virtue of himself from the knowledge innate in his nature is suffici</w:t>
      </w:r>
      <w:r w:rsidR="000A7C4A">
        <w:rPr>
          <w:lang w:bidi="he-IL"/>
        </w:rPr>
        <w:t>ent to deprive us of any excuse,</w:t>
      </w:r>
      <w:r w:rsidR="002E489B" w:rsidRPr="002E489B">
        <w:rPr>
          <w:lang w:bidi="he-IL"/>
        </w:rPr>
        <w:t>”</w:t>
      </w:r>
      <w:r w:rsidR="002E489B" w:rsidRPr="002E489B">
        <w:rPr>
          <w:vertAlign w:val="superscript"/>
          <w:lang w:bidi="he-IL"/>
        </w:rPr>
        <w:footnoteReference w:id="672"/>
      </w:r>
      <w:r w:rsidR="000A7C4A">
        <w:rPr>
          <w:lang w:bidi="he-IL"/>
        </w:rPr>
        <w:t xml:space="preserve"> </w:t>
      </w:r>
      <w:r w:rsidR="002E489B" w:rsidRPr="002E489B">
        <w:rPr>
          <w:lang w:bidi="he-IL"/>
        </w:rPr>
        <w:t>it also makes us que</w:t>
      </w:r>
      <w:r w:rsidR="000A7C4A">
        <w:rPr>
          <w:lang w:bidi="he-IL"/>
        </w:rPr>
        <w:t>stion the premise</w:t>
      </w:r>
      <w:r w:rsidR="00516011">
        <w:rPr>
          <w:lang w:bidi="he-IL"/>
        </w:rPr>
        <w:t xml:space="preserve"> of that statement</w:t>
      </w:r>
      <w:r w:rsidR="000A7C4A">
        <w:rPr>
          <w:lang w:bidi="he-IL"/>
        </w:rPr>
        <w:t>. Abraham</w:t>
      </w:r>
      <w:r w:rsidR="002E489B" w:rsidRPr="002E489B">
        <w:rPr>
          <w:lang w:bidi="he-IL"/>
        </w:rPr>
        <w:t xml:space="preserve"> lives in the age of grace. </w:t>
      </w:r>
      <w:r w:rsidR="000A7C4A">
        <w:rPr>
          <w:lang w:bidi="he-IL"/>
        </w:rPr>
        <w:t>But indeed t</w:t>
      </w:r>
      <w:r w:rsidR="00516011">
        <w:rPr>
          <w:lang w:bidi="he-IL"/>
        </w:rPr>
        <w:t>here is no querying</w:t>
      </w:r>
      <w:r w:rsidR="004A253C" w:rsidRPr="004A253C">
        <w:rPr>
          <w:lang w:bidi="he-IL"/>
        </w:rPr>
        <w:t xml:space="preserve"> </w:t>
      </w:r>
      <w:r w:rsidR="002E489B">
        <w:rPr>
          <w:lang w:bidi="he-IL"/>
        </w:rPr>
        <w:t xml:space="preserve">here </w:t>
      </w:r>
      <w:r w:rsidR="004A253C" w:rsidRPr="004A253C">
        <w:rPr>
          <w:lang w:bidi="he-IL"/>
        </w:rPr>
        <w:t xml:space="preserve">as there was in Gen 15 and 17. Nor is there any of the other kind of questioning that appeared in Gen 18. </w:t>
      </w:r>
      <w:r w:rsidR="00516011">
        <w:rPr>
          <w:lang w:bidi="he-IL"/>
        </w:rPr>
        <w:t xml:space="preserve">While </w:t>
      </w:r>
      <w:r w:rsidR="00880157">
        <w:rPr>
          <w:lang w:bidi="he-IL"/>
        </w:rPr>
        <w:t xml:space="preserve">Genesis </w:t>
      </w:r>
      <w:r w:rsidR="00516011">
        <w:rPr>
          <w:lang w:bidi="he-IL"/>
        </w:rPr>
        <w:t xml:space="preserve">also </w:t>
      </w:r>
      <w:r w:rsidR="00880157">
        <w:rPr>
          <w:lang w:bidi="he-IL"/>
        </w:rPr>
        <w:t>says nothing directly of Abraham’s feelings</w:t>
      </w:r>
      <w:r w:rsidR="000A7C4A">
        <w:rPr>
          <w:lang w:bidi="he-IL"/>
        </w:rPr>
        <w:t xml:space="preserve"> regarding Ya</w:t>
      </w:r>
      <w:r w:rsidR="00516011">
        <w:rPr>
          <w:lang w:bidi="he-IL"/>
        </w:rPr>
        <w:t>hweh’s bidding,</w:t>
      </w:r>
      <w:r w:rsidR="008E7E1C">
        <w:rPr>
          <w:lang w:bidi="he-IL"/>
        </w:rPr>
        <w:t xml:space="preserve"> First</w:t>
      </w:r>
      <w:r w:rsidR="00880157">
        <w:rPr>
          <w:lang w:bidi="he-IL"/>
        </w:rPr>
        <w:t xml:space="preserve"> Testament narrative often hints at </w:t>
      </w:r>
      <w:r w:rsidR="003D0F91">
        <w:rPr>
          <w:lang w:bidi="he-IL"/>
        </w:rPr>
        <w:t>feelings by describing actions.</w:t>
      </w:r>
      <w:r w:rsidR="001425E6">
        <w:rPr>
          <w:lang w:bidi="he-IL"/>
        </w:rPr>
        <w:t xml:space="preserve"> </w:t>
      </w:r>
      <w:r w:rsidR="000A7C4A">
        <w:rPr>
          <w:lang w:bidi="he-IL"/>
        </w:rPr>
        <w:t>Here “e</w:t>
      </w:r>
      <w:r w:rsidR="001425E6">
        <w:rPr>
          <w:lang w:bidi="he-IL"/>
        </w:rPr>
        <w:t>very sentence vibrates with restrained emotion, which shows how fully the author realises the tragic horror of the situation.”</w:t>
      </w:r>
      <w:r w:rsidR="001425E6">
        <w:rPr>
          <w:rStyle w:val="FootnoteReference"/>
          <w:lang w:bidi="he-IL"/>
        </w:rPr>
        <w:footnoteReference w:id="673"/>
      </w:r>
      <w:r w:rsidR="004A253C">
        <w:rPr>
          <w:lang w:bidi="he-IL"/>
        </w:rPr>
        <w:t xml:space="preserve"> </w:t>
      </w:r>
      <w:r w:rsidR="004A253C">
        <w:rPr>
          <w:lang w:val="en-GB" w:bidi="he-IL"/>
        </w:rPr>
        <w:t>Every</w:t>
      </w:r>
      <w:r w:rsidR="004A253C" w:rsidRPr="004A253C">
        <w:rPr>
          <w:lang w:val="en-GB" w:bidi="he-IL"/>
        </w:rPr>
        <w:t xml:space="preserve"> sentence is profound or subtle or enigmatic (</w:t>
      </w:r>
      <w:r w:rsidR="004A253C" w:rsidRPr="004A253C">
        <w:rPr>
          <w:i/>
          <w:lang w:val="en-GB" w:bidi="he-IL"/>
        </w:rPr>
        <w:t>hintergründig</w:t>
      </w:r>
      <w:r w:rsidR="004A253C" w:rsidRPr="004A253C">
        <w:rPr>
          <w:lang w:val="en-GB" w:bidi="he-IL"/>
        </w:rPr>
        <w:t>).</w:t>
      </w:r>
      <w:r w:rsidR="004A253C" w:rsidRPr="004A253C">
        <w:rPr>
          <w:vertAlign w:val="superscript"/>
          <w:lang w:val="en-GB" w:bidi="he-IL"/>
        </w:rPr>
        <w:footnoteReference w:id="674"/>
      </w:r>
      <w:r w:rsidR="00AE1C2D">
        <w:rPr>
          <w:lang w:val="en-GB" w:bidi="he-IL"/>
        </w:rPr>
        <w:t xml:space="preserve"> The very detailing of Abraham’s actions may</w:t>
      </w:r>
      <w:r w:rsidR="000A7C4A">
        <w:rPr>
          <w:lang w:val="en-GB" w:bidi="he-IL"/>
        </w:rPr>
        <w:t xml:space="preserve"> suggest his desire to postpone</w:t>
      </w:r>
      <w:r w:rsidR="00AE1C2D">
        <w:rPr>
          <w:lang w:val="en-GB" w:bidi="he-IL"/>
        </w:rPr>
        <w:t xml:space="preserve"> what is due to happen, to slow down what he has to do.</w:t>
      </w:r>
      <w:r w:rsidR="00AE1C2D">
        <w:rPr>
          <w:rStyle w:val="FootnoteReference"/>
          <w:lang w:val="en-GB" w:bidi="he-IL"/>
        </w:rPr>
        <w:footnoteReference w:id="675"/>
      </w:r>
    </w:p>
    <w:p w14:paraId="1469DE4F" w14:textId="32AB9E6B" w:rsidR="00654AC3" w:rsidRPr="00654AC3" w:rsidRDefault="00E55FA1" w:rsidP="00654AC3">
      <w:pPr>
        <w:rPr>
          <w:lang w:bidi="he-IL"/>
        </w:rPr>
      </w:pPr>
      <w:r>
        <w:rPr>
          <w:lang w:bidi="he-IL"/>
        </w:rPr>
        <w:t>But he</w:t>
      </w:r>
      <w:r w:rsidR="00880157">
        <w:rPr>
          <w:lang w:bidi="he-IL"/>
        </w:rPr>
        <w:t xml:space="preserve"> makes an early start</w:t>
      </w:r>
      <w:r w:rsidR="00A367F2">
        <w:rPr>
          <w:lang w:bidi="he-IL"/>
        </w:rPr>
        <w:t xml:space="preserve"> (v. 3), as he did when bidden to send off Hagar and Ishmael (21:14)</w:t>
      </w:r>
      <w:r w:rsidR="00880157">
        <w:rPr>
          <w:lang w:bidi="he-IL"/>
        </w:rPr>
        <w:t xml:space="preserve">, </w:t>
      </w:r>
      <w:r w:rsidR="00A367F2">
        <w:rPr>
          <w:lang w:bidi="he-IL"/>
        </w:rPr>
        <w:t xml:space="preserve">again indicating </w:t>
      </w:r>
      <w:r w:rsidR="00880157">
        <w:rPr>
          <w:lang w:bidi="he-IL"/>
        </w:rPr>
        <w:t xml:space="preserve">an unequivocal commitment to doing as the Master said. </w:t>
      </w:r>
      <w:r w:rsidR="00516011">
        <w:rPr>
          <w:lang w:bidi="he-IL"/>
        </w:rPr>
        <w:t>S</w:t>
      </w:r>
      <w:r>
        <w:rPr>
          <w:lang w:bidi="he-IL"/>
        </w:rPr>
        <w:t>addling</w:t>
      </w:r>
      <w:r w:rsidR="00A13D22">
        <w:rPr>
          <w:lang w:bidi="he-IL"/>
        </w:rPr>
        <w:t xml:space="preserve"> </w:t>
      </w:r>
      <w:r>
        <w:rPr>
          <w:lang w:bidi="he-IL"/>
        </w:rPr>
        <w:t>his own donkey (rather than having</w:t>
      </w:r>
      <w:r w:rsidR="00A13D22">
        <w:rPr>
          <w:lang w:bidi="he-IL"/>
        </w:rPr>
        <w:t xml:space="preserve"> </w:t>
      </w:r>
      <w:r w:rsidR="007B7BD6">
        <w:rPr>
          <w:lang w:bidi="he-IL"/>
        </w:rPr>
        <w:t xml:space="preserve">his boys </w:t>
      </w:r>
      <w:r w:rsidR="00A13D22">
        <w:rPr>
          <w:lang w:bidi="he-IL"/>
        </w:rPr>
        <w:t xml:space="preserve">to </w:t>
      </w:r>
      <w:r w:rsidR="007B7BD6">
        <w:rPr>
          <w:lang w:bidi="he-IL"/>
        </w:rPr>
        <w:t xml:space="preserve">do it) conveys the same point. </w:t>
      </w:r>
      <w:r>
        <w:rPr>
          <w:lang w:bidi="he-IL"/>
        </w:rPr>
        <w:t xml:space="preserve">He </w:t>
      </w:r>
      <w:r w:rsidR="00F83D4D">
        <w:rPr>
          <w:lang w:bidi="he-IL"/>
        </w:rPr>
        <w:t>responds to the com</w:t>
      </w:r>
      <w:r w:rsidR="00516011">
        <w:rPr>
          <w:lang w:bidi="he-IL"/>
        </w:rPr>
        <w:t>mand to take</w:t>
      </w:r>
      <w:r w:rsidR="004A253C">
        <w:rPr>
          <w:lang w:bidi="he-IL"/>
        </w:rPr>
        <w:t xml:space="preserve"> himself to the Epiphany region</w:t>
      </w:r>
      <w:r w:rsidR="00F83D4D">
        <w:rPr>
          <w:lang w:bidi="he-IL"/>
        </w:rPr>
        <w:t xml:space="preserve"> with the same </w:t>
      </w:r>
      <w:r w:rsidR="000C03B9">
        <w:rPr>
          <w:lang w:bidi="he-IL"/>
        </w:rPr>
        <w:t>“</w:t>
      </w:r>
      <w:r w:rsidR="00F83D4D">
        <w:rPr>
          <w:lang w:bidi="he-IL"/>
        </w:rPr>
        <w:t>unquestioning obedience and steadfast loyalty</w:t>
      </w:r>
      <w:r w:rsidR="000C03B9">
        <w:rPr>
          <w:lang w:bidi="he-IL"/>
        </w:rPr>
        <w:t>”</w:t>
      </w:r>
      <w:r w:rsidR="004D6FEB">
        <w:rPr>
          <w:lang w:bidi="he-IL"/>
        </w:rPr>
        <w:t xml:space="preserve"> that</w:t>
      </w:r>
      <w:r w:rsidR="00516011">
        <w:rPr>
          <w:lang w:bidi="he-IL"/>
        </w:rPr>
        <w:t xml:space="preserve"> he showed to the command to take</w:t>
      </w:r>
      <w:r w:rsidR="00F83D4D">
        <w:rPr>
          <w:lang w:bidi="he-IL"/>
        </w:rPr>
        <w:t xml:space="preserve"> himself to Canaan.</w:t>
      </w:r>
      <w:r w:rsidR="000C03B9" w:rsidRPr="000C03B9">
        <w:rPr>
          <w:vertAlign w:val="superscript"/>
          <w:lang w:bidi="he-IL"/>
        </w:rPr>
        <w:footnoteReference w:id="676"/>
      </w:r>
      <w:r w:rsidR="00F83D4D">
        <w:rPr>
          <w:lang w:bidi="he-IL"/>
        </w:rPr>
        <w:t xml:space="preserve"> </w:t>
      </w:r>
      <w:r w:rsidR="00880157">
        <w:rPr>
          <w:lang w:bidi="he-IL"/>
        </w:rPr>
        <w:t>Instead of describing his feelings (which Western re</w:t>
      </w:r>
      <w:r w:rsidR="004A253C">
        <w:rPr>
          <w:lang w:bidi="he-IL"/>
        </w:rPr>
        <w:t>aders would think essential), Genesis</w:t>
      </w:r>
      <w:r w:rsidR="00880157">
        <w:rPr>
          <w:lang w:bidi="he-IL"/>
        </w:rPr>
        <w:t xml:space="preserve"> goes into detail about the practicalities of the action (like a movie rather than a novel). </w:t>
      </w:r>
      <w:r w:rsidR="004A253C">
        <w:rPr>
          <w:lang w:bidi="he-IL"/>
        </w:rPr>
        <w:t>It’s not explicit</w:t>
      </w:r>
      <w:r w:rsidR="003D0F91">
        <w:rPr>
          <w:lang w:bidi="he-IL"/>
        </w:rPr>
        <w:t xml:space="preserve"> why he needs to take two of his boys with him</w:t>
      </w:r>
      <w:r w:rsidR="004A253C">
        <w:rPr>
          <w:lang w:bidi="he-IL"/>
        </w:rPr>
        <w:t>, though maybe a man of importance just would</w:t>
      </w:r>
      <w:r w:rsidR="004B12B2">
        <w:rPr>
          <w:lang w:bidi="he-IL"/>
        </w:rPr>
        <w:t xml:space="preserve"> (TgPsJ nicely specifies that they are Eliezer and Ishmael)</w:t>
      </w:r>
      <w:r w:rsidR="003D0F91">
        <w:rPr>
          <w:lang w:bidi="he-IL"/>
        </w:rPr>
        <w:t xml:space="preserve">. Nor is it clear why he needs to take the wood with him, though this action may relate to the fact that he doesn’t </w:t>
      </w:r>
      <w:r w:rsidR="00516011">
        <w:rPr>
          <w:lang w:bidi="he-IL"/>
        </w:rPr>
        <w:t>know exactly where he’</w:t>
      </w:r>
      <w:r w:rsidR="00BD650A">
        <w:rPr>
          <w:lang w:bidi="he-IL"/>
        </w:rPr>
        <w:t xml:space="preserve">s going; </w:t>
      </w:r>
      <w:r w:rsidR="003D0F91">
        <w:rPr>
          <w:lang w:bidi="he-IL"/>
        </w:rPr>
        <w:t>it would be especially odd to take all tha</w:t>
      </w:r>
      <w:r w:rsidR="00BD650A">
        <w:rPr>
          <w:lang w:bidi="he-IL"/>
        </w:rPr>
        <w:t xml:space="preserve">t wood </w:t>
      </w:r>
      <w:r w:rsidR="00D577CB">
        <w:rPr>
          <w:lang w:bidi="he-IL"/>
        </w:rPr>
        <w:t xml:space="preserve">into Judah (where there was plenty of wood) and/or </w:t>
      </w:r>
      <w:r w:rsidR="00BD650A">
        <w:rPr>
          <w:lang w:bidi="he-IL"/>
        </w:rPr>
        <w:t>all the way to Jerusalem</w:t>
      </w:r>
      <w:r>
        <w:rPr>
          <w:lang w:bidi="he-IL"/>
        </w:rPr>
        <w:t>. But his own cutting of</w:t>
      </w:r>
      <w:r w:rsidR="003D0F91">
        <w:rPr>
          <w:lang w:bidi="he-IL"/>
        </w:rPr>
        <w:t xml:space="preserve"> the wood is another marker of his commitment to the task.</w:t>
      </w:r>
      <w:r>
        <w:rPr>
          <w:lang w:bidi="he-IL"/>
        </w:rPr>
        <w:t xml:space="preserve"> The context suggests that</w:t>
      </w:r>
      <w:r w:rsidR="00C01BA6">
        <w:rPr>
          <w:lang w:bidi="he-IL"/>
        </w:rPr>
        <w:t xml:space="preserve"> “site” (</w:t>
      </w:r>
      <w:r w:rsidR="00C01BA6">
        <w:rPr>
          <w:i/>
          <w:lang w:bidi="he-IL"/>
        </w:rPr>
        <w:t>māqôm</w:t>
      </w:r>
      <w:r>
        <w:rPr>
          <w:lang w:bidi="he-IL"/>
        </w:rPr>
        <w:t xml:space="preserve">) </w:t>
      </w:r>
      <w:r w:rsidR="00BD650A">
        <w:rPr>
          <w:lang w:bidi="he-IL"/>
        </w:rPr>
        <w:t>again</w:t>
      </w:r>
      <w:r>
        <w:rPr>
          <w:lang w:bidi="he-IL"/>
        </w:rPr>
        <w:t xml:space="preserve"> denotes a worship place, (cf. </w:t>
      </w:r>
      <w:r w:rsidR="00BD650A">
        <w:rPr>
          <w:lang w:bidi="he-IL"/>
        </w:rPr>
        <w:t>12:6; 13:3-4; 21:31</w:t>
      </w:r>
      <w:r>
        <w:rPr>
          <w:lang w:bidi="he-IL"/>
        </w:rPr>
        <w:t>)</w:t>
      </w:r>
      <w:r w:rsidR="00BD650A">
        <w:rPr>
          <w:lang w:bidi="he-IL"/>
        </w:rPr>
        <w:t xml:space="preserve">. </w:t>
      </w:r>
      <w:r w:rsidR="00E514F6">
        <w:rPr>
          <w:lang w:bidi="he-IL"/>
        </w:rPr>
        <w:t>The journey is described “after the m</w:t>
      </w:r>
      <w:r w:rsidR="009D6CCC">
        <w:rPr>
          <w:lang w:bidi="he-IL"/>
        </w:rPr>
        <w:t>anner of a pilgrimage to a hill</w:t>
      </w:r>
      <w:r w:rsidR="00E514F6">
        <w:rPr>
          <w:lang w:bidi="he-IL"/>
        </w:rPr>
        <w:t>top</w:t>
      </w:r>
      <w:r w:rsidR="009D6CCC">
        <w:rPr>
          <w:lang w:bidi="he-IL"/>
        </w:rPr>
        <w:t xml:space="preserve"> </w:t>
      </w:r>
      <w:r w:rsidR="00E514F6">
        <w:rPr>
          <w:lang w:bidi="he-IL"/>
        </w:rPr>
        <w:lastRenderedPageBreak/>
        <w:t>shrine.”</w:t>
      </w:r>
      <w:r w:rsidR="00E514F6">
        <w:rPr>
          <w:rStyle w:val="FootnoteReference"/>
          <w:lang w:bidi="he-IL"/>
        </w:rPr>
        <w:footnoteReference w:id="677"/>
      </w:r>
      <w:r w:rsidR="00654AC3">
        <w:rPr>
          <w:lang w:bidi="he-IL"/>
        </w:rPr>
        <w:t xml:space="preserve"> </w:t>
      </w:r>
      <w:r>
        <w:rPr>
          <w:lang w:bidi="he-IL"/>
        </w:rPr>
        <w:t>I</w:t>
      </w:r>
      <w:r w:rsidR="00800442" w:rsidRPr="00800442">
        <w:rPr>
          <w:lang w:val="en-GB" w:bidi="he-IL"/>
        </w:rPr>
        <w:t xml:space="preserve">t </w:t>
      </w:r>
      <w:r>
        <w:rPr>
          <w:lang w:val="en-GB" w:bidi="he-IL"/>
        </w:rPr>
        <w:t xml:space="preserve">would be </w:t>
      </w:r>
      <w:r w:rsidR="00800442" w:rsidRPr="00800442">
        <w:rPr>
          <w:lang w:val="en-GB" w:bidi="he-IL"/>
        </w:rPr>
        <w:t>easier to discern t</w:t>
      </w:r>
      <w:r>
        <w:rPr>
          <w:lang w:val="en-GB" w:bidi="he-IL"/>
        </w:rPr>
        <w:t>he right “place</w:t>
      </w:r>
      <w:r w:rsidR="00800442" w:rsidRPr="00800442">
        <w:rPr>
          <w:lang w:val="en-GB" w:bidi="he-IL"/>
        </w:rPr>
        <w:t xml:space="preserve">” </w:t>
      </w:r>
      <w:r>
        <w:rPr>
          <w:lang w:val="en-GB" w:bidi="he-IL"/>
        </w:rPr>
        <w:t>if he</w:t>
      </w:r>
      <w:r w:rsidRPr="00E55FA1">
        <w:rPr>
          <w:lang w:val="en-GB" w:bidi="he-IL"/>
        </w:rPr>
        <w:t xml:space="preserve"> is</w:t>
      </w:r>
      <w:r>
        <w:rPr>
          <w:lang w:val="en-GB" w:bidi="he-IL"/>
        </w:rPr>
        <w:t xml:space="preserve"> to go to a worship site, but his</w:t>
      </w:r>
      <w:r w:rsidR="00654AC3" w:rsidRPr="00654AC3">
        <w:rPr>
          <w:lang w:bidi="he-IL"/>
        </w:rPr>
        <w:t xml:space="preserve"> not knowing where he is going parallels 12:1-5.</w:t>
      </w:r>
    </w:p>
    <w:p w14:paraId="3C8226CF" w14:textId="77777777" w:rsidR="003A5710" w:rsidRDefault="003D0F91" w:rsidP="003D0F91">
      <w:pPr>
        <w:rPr>
          <w:lang w:val="en-GB"/>
        </w:rPr>
      </w:pPr>
      <w:r>
        <w:rPr>
          <w:lang w:val="en-GB"/>
        </w:rPr>
        <w:t xml:space="preserve">The third day (v. 4) need not imply </w:t>
      </w:r>
      <w:r w:rsidR="004D6FEB">
        <w:rPr>
          <w:lang w:val="en-GB"/>
        </w:rPr>
        <w:t xml:space="preserve">they were traveling for </w:t>
      </w:r>
      <w:r>
        <w:rPr>
          <w:lang w:val="en-GB"/>
        </w:rPr>
        <w:t xml:space="preserve">three </w:t>
      </w:r>
      <w:r w:rsidR="004D6FEB">
        <w:rPr>
          <w:lang w:val="en-GB"/>
        </w:rPr>
        <w:t>full days</w:t>
      </w:r>
      <w:r w:rsidR="00D936A1">
        <w:rPr>
          <w:lang w:val="en-GB"/>
        </w:rPr>
        <w:t xml:space="preserve"> (</w:t>
      </w:r>
      <w:r w:rsidR="004D6FEB">
        <w:rPr>
          <w:lang w:val="en-GB"/>
        </w:rPr>
        <w:t xml:space="preserve">see </w:t>
      </w:r>
      <w:r w:rsidR="00D936A1">
        <w:rPr>
          <w:lang w:val="en-GB"/>
        </w:rPr>
        <w:t>e.g., Luke 24:21). It might</w:t>
      </w:r>
      <w:r w:rsidR="0023211E">
        <w:rPr>
          <w:lang w:val="en-GB"/>
        </w:rPr>
        <w:t xml:space="preserve"> imply one day when Abraham</w:t>
      </w:r>
      <w:r>
        <w:rPr>
          <w:lang w:val="en-GB"/>
        </w:rPr>
        <w:t xml:space="preserve"> hears Yahweh speak, one day when he makes preparations and sets off, and one day when he makes the offering. </w:t>
      </w:r>
      <w:r w:rsidR="00654AC3" w:rsidRPr="00654AC3">
        <w:rPr>
          <w:lang w:val="en-GB"/>
        </w:rPr>
        <w:t xml:space="preserve">A literal three days is hardly time to get from Beer Sheba to Jerusalem (though enough </w:t>
      </w:r>
      <w:r w:rsidR="00654AC3">
        <w:rPr>
          <w:lang w:val="en-GB"/>
        </w:rPr>
        <w:t xml:space="preserve">time </w:t>
      </w:r>
      <w:r w:rsidR="00654AC3" w:rsidRPr="00654AC3">
        <w:rPr>
          <w:lang w:val="en-GB"/>
        </w:rPr>
        <w:t xml:space="preserve">to get from Mamre to Jerusalem). </w:t>
      </w:r>
      <w:r w:rsidR="00654AC3">
        <w:rPr>
          <w:lang w:val="en-GB"/>
        </w:rPr>
        <w:t>But the expression may be comparable to</w:t>
      </w:r>
      <w:r w:rsidR="00B72C27">
        <w:rPr>
          <w:lang w:val="en-GB"/>
        </w:rPr>
        <w:t xml:space="preserve"> “a couple of days” or “two or three days” in English (cf. Hos 6:2)</w:t>
      </w:r>
      <w:r w:rsidR="00654AC3">
        <w:rPr>
          <w:lang w:val="en-GB"/>
        </w:rPr>
        <w:t>, or to</w:t>
      </w:r>
      <w:r w:rsidR="00D936A1">
        <w:rPr>
          <w:lang w:val="en-GB"/>
        </w:rPr>
        <w:t xml:space="preserve"> the </w:t>
      </w:r>
      <w:r w:rsidR="00D577CB">
        <w:rPr>
          <w:lang w:val="en-GB"/>
        </w:rPr>
        <w:t xml:space="preserve">“third day” or the </w:t>
      </w:r>
      <w:r w:rsidR="00D936A1">
        <w:rPr>
          <w:lang w:val="en-GB"/>
        </w:rPr>
        <w:t xml:space="preserve">“three days” mentioned elsewhere (e.g., </w:t>
      </w:r>
      <w:r w:rsidR="00D577CB">
        <w:rPr>
          <w:lang w:val="en-GB"/>
        </w:rPr>
        <w:t xml:space="preserve">Gen 31:22; 40:20; 42:17-18; </w:t>
      </w:r>
      <w:r w:rsidR="00D936A1">
        <w:rPr>
          <w:lang w:val="en-GB"/>
        </w:rPr>
        <w:t>Exod 3:18; 15:22)</w:t>
      </w:r>
      <w:r w:rsidR="00B72C27">
        <w:rPr>
          <w:lang w:val="en-GB"/>
        </w:rPr>
        <w:t>.</w:t>
      </w:r>
      <w:r w:rsidR="00A13D22">
        <w:rPr>
          <w:rStyle w:val="FootnoteReference"/>
          <w:lang w:val="en-GB"/>
        </w:rPr>
        <w:footnoteReference w:id="678"/>
      </w:r>
      <w:r w:rsidR="00E55FA1">
        <w:rPr>
          <w:lang w:val="en-GB"/>
        </w:rPr>
        <w:t xml:space="preserve"> The three days might be</w:t>
      </w:r>
      <w:r w:rsidR="00800442">
        <w:rPr>
          <w:lang w:val="en-GB"/>
        </w:rPr>
        <w:t xml:space="preserve"> </w:t>
      </w:r>
      <w:r w:rsidR="0023211E">
        <w:rPr>
          <w:lang w:val="en-GB"/>
        </w:rPr>
        <w:t>three days of testing</w:t>
      </w:r>
      <w:r w:rsidR="00654AC3">
        <w:rPr>
          <w:lang w:val="en-GB"/>
        </w:rPr>
        <w:t xml:space="preserve"> as they are</w:t>
      </w:r>
      <w:r w:rsidR="0023211E">
        <w:rPr>
          <w:lang w:val="en-GB"/>
        </w:rPr>
        <w:t xml:space="preserve"> three days to think. </w:t>
      </w:r>
      <w:r w:rsidR="00CB72BE">
        <w:rPr>
          <w:lang w:val="en-GB"/>
        </w:rPr>
        <w:t>Deliberately lifting his eyes is yet another marker of his commitment t</w:t>
      </w:r>
      <w:r w:rsidR="00E55FA1">
        <w:rPr>
          <w:lang w:val="en-GB"/>
        </w:rPr>
        <w:t>o doing w</w:t>
      </w:r>
      <w:r w:rsidR="00B6388D">
        <w:rPr>
          <w:lang w:val="en-GB"/>
        </w:rPr>
        <w:t>hat God said, of his “comment-less obedience.”</w:t>
      </w:r>
      <w:r w:rsidR="00B6388D">
        <w:rPr>
          <w:rStyle w:val="FootnoteReference"/>
          <w:lang w:val="en-GB"/>
        </w:rPr>
        <w:footnoteReference w:id="679"/>
      </w:r>
    </w:p>
    <w:p w14:paraId="6817B02F" w14:textId="6F2BE37F" w:rsidR="003D0F91" w:rsidRDefault="003D0F91" w:rsidP="003D0F91">
      <w:pPr>
        <w:rPr>
          <w:lang w:val="en-GB"/>
        </w:rPr>
      </w:pPr>
      <w:r>
        <w:rPr>
          <w:lang w:val="en-GB"/>
        </w:rPr>
        <w:t>The mystery of the story increases (v. 5).</w:t>
      </w:r>
      <w:r w:rsidR="00BD650A">
        <w:rPr>
          <w:lang w:val="en-GB"/>
        </w:rPr>
        <w:t xml:space="preserve"> Why does he leave the boys behind? </w:t>
      </w:r>
      <w:r w:rsidR="00D65943">
        <w:rPr>
          <w:lang w:val="en-GB"/>
        </w:rPr>
        <w:t>Does he think they will stop him killing Isaac?</w:t>
      </w:r>
      <w:r w:rsidR="0092231C">
        <w:rPr>
          <w:rStyle w:val="FootnoteReference"/>
          <w:lang w:val="en-GB"/>
        </w:rPr>
        <w:footnoteReference w:id="680"/>
      </w:r>
      <w:r w:rsidR="00D65943">
        <w:rPr>
          <w:lang w:val="en-GB"/>
        </w:rPr>
        <w:t xml:space="preserve"> </w:t>
      </w:r>
      <w:r w:rsidR="006B48BE">
        <w:rPr>
          <w:lang w:val="en-GB"/>
        </w:rPr>
        <w:t>Or might it seem quite natural for him to want to pray with his son on his own?</w:t>
      </w:r>
      <w:r w:rsidR="006B48BE">
        <w:rPr>
          <w:rStyle w:val="FootnoteReference"/>
          <w:lang w:val="en-GB"/>
        </w:rPr>
        <w:footnoteReference w:id="681"/>
      </w:r>
      <w:r w:rsidR="00800442">
        <w:rPr>
          <w:lang w:val="en-GB"/>
        </w:rPr>
        <w:t xml:space="preserve"> W</w:t>
      </w:r>
      <w:r w:rsidR="00C02296">
        <w:rPr>
          <w:lang w:val="en-GB"/>
        </w:rPr>
        <w:t>hat does he mean when he says that he and Isaac will come back to them?</w:t>
      </w:r>
      <w:r w:rsidR="00D65943">
        <w:rPr>
          <w:lang w:val="en-GB"/>
        </w:rPr>
        <w:t xml:space="preserve"> </w:t>
      </w:r>
      <w:r w:rsidR="00800442">
        <w:rPr>
          <w:lang w:val="en-GB"/>
        </w:rPr>
        <w:t>Is he</w:t>
      </w:r>
      <w:r w:rsidR="008A6E09" w:rsidRPr="008A6E09">
        <w:rPr>
          <w:lang w:val="en-GB"/>
        </w:rPr>
        <w:t xml:space="preserve"> prevaricating? </w:t>
      </w:r>
      <w:r w:rsidR="00D65943">
        <w:rPr>
          <w:lang w:val="en-GB"/>
        </w:rPr>
        <w:t>Is he thinking that he will kill Isa</w:t>
      </w:r>
      <w:r w:rsidR="008D037F">
        <w:rPr>
          <w:lang w:val="en-GB"/>
        </w:rPr>
        <w:t>ac and God will resuscitate him</w:t>
      </w:r>
      <w:r w:rsidR="000A62F6">
        <w:rPr>
          <w:lang w:val="en-GB"/>
        </w:rPr>
        <w:t xml:space="preserve"> (cf. </w:t>
      </w:r>
      <w:r w:rsidR="000A62F6">
        <w:t>Heb 11:17-19)</w:t>
      </w:r>
      <w:r w:rsidR="008D037F">
        <w:t>?</w:t>
      </w:r>
      <w:r w:rsidR="000A62F6" w:rsidRPr="000A62F6">
        <w:t xml:space="preserve"> </w:t>
      </w:r>
      <w:r w:rsidR="000C7EC5">
        <w:rPr>
          <w:lang w:val="en-GB"/>
        </w:rPr>
        <w:t xml:space="preserve">What would be the basis for that conviction? </w:t>
      </w:r>
      <w:r w:rsidR="00CC4B1D">
        <w:rPr>
          <w:lang w:val="en-GB"/>
        </w:rPr>
        <w:t>Is he second-guessing God, speaking on the basis of a hunch that God can ha</w:t>
      </w:r>
      <w:r w:rsidR="00E55FA1">
        <w:rPr>
          <w:lang w:val="en-GB"/>
        </w:rPr>
        <w:t>rdly make him go through with the killing</w:t>
      </w:r>
      <w:r w:rsidR="00CC4B1D">
        <w:rPr>
          <w:lang w:val="en-GB"/>
        </w:rPr>
        <w:t>?</w:t>
      </w:r>
      <w:r w:rsidR="00CC4B1D">
        <w:rPr>
          <w:rStyle w:val="FootnoteReference"/>
          <w:lang w:val="en-GB"/>
        </w:rPr>
        <w:footnoteReference w:id="682"/>
      </w:r>
      <w:r w:rsidR="00CC4B1D">
        <w:rPr>
          <w:lang w:val="en-GB"/>
        </w:rPr>
        <w:t xml:space="preserve"> </w:t>
      </w:r>
      <w:r w:rsidR="009D6CCC">
        <w:rPr>
          <w:lang w:val="en-GB"/>
        </w:rPr>
        <w:t>Is he implying the conviction that “once again, a seemingly impossible situation would not be b</w:t>
      </w:r>
      <w:r w:rsidR="00CD34F5">
        <w:rPr>
          <w:lang w:val="en-GB"/>
        </w:rPr>
        <w:t>e</w:t>
      </w:r>
      <w:r w:rsidR="009D6CCC">
        <w:rPr>
          <w:lang w:val="en-GB"/>
        </w:rPr>
        <w:t>yond God’s ability to resolve sa</w:t>
      </w:r>
      <w:r w:rsidR="00CD34F5">
        <w:rPr>
          <w:lang w:val="en-GB"/>
        </w:rPr>
        <w:t>tisfactorily</w:t>
      </w:r>
      <w:r w:rsidR="009D6CCC">
        <w:rPr>
          <w:lang w:val="en-GB"/>
        </w:rPr>
        <w:t>”</w:t>
      </w:r>
      <w:r w:rsidR="00CD34F5">
        <w:rPr>
          <w:lang w:val="en-GB"/>
        </w:rPr>
        <w:t>? Insofar as he is, the event constitutes a testing of God’s faithfulness, even of God’s wisdom in entrusting Isaac (as the one on whom his purpose depends) to Abraham.</w:t>
      </w:r>
      <w:r w:rsidR="009D6CCC">
        <w:rPr>
          <w:rStyle w:val="FootnoteReference"/>
          <w:lang w:val="en-GB"/>
        </w:rPr>
        <w:footnoteReference w:id="683"/>
      </w:r>
      <w:r w:rsidR="009D6CCC">
        <w:rPr>
          <w:lang w:val="en-GB"/>
        </w:rPr>
        <w:t xml:space="preserve"> </w:t>
      </w:r>
      <w:r w:rsidR="0092231C">
        <w:rPr>
          <w:lang w:val="en-GB"/>
        </w:rPr>
        <w:t xml:space="preserve">Is Abraham perhaps “firmly convinced that He who said to him, </w:t>
      </w:r>
      <w:r w:rsidR="0092231C">
        <w:rPr>
          <w:i/>
          <w:lang w:val="en-GB"/>
        </w:rPr>
        <w:t xml:space="preserve">through Isaac shall your descendants be </w:t>
      </w:r>
      <w:r w:rsidR="0092231C" w:rsidRPr="0092231C">
        <w:rPr>
          <w:i/>
          <w:lang w:val="en-GB"/>
        </w:rPr>
        <w:t>named</w:t>
      </w:r>
      <w:r w:rsidR="0092231C">
        <w:rPr>
          <w:lang w:val="en-GB"/>
        </w:rPr>
        <w:t>, was not lying”?</w:t>
      </w:r>
      <w:r w:rsidR="0092231C">
        <w:rPr>
          <w:rStyle w:val="FootnoteReference"/>
          <w:lang w:val="en-GB"/>
        </w:rPr>
        <w:footnoteReference w:id="684"/>
      </w:r>
      <w:r w:rsidR="0092231C">
        <w:rPr>
          <w:lang w:val="en-GB"/>
        </w:rPr>
        <w:t xml:space="preserve"> </w:t>
      </w:r>
      <w:r w:rsidR="000C7EC5" w:rsidRPr="0092231C">
        <w:rPr>
          <w:lang w:val="en-GB"/>
        </w:rPr>
        <w:t>Or</w:t>
      </w:r>
      <w:r w:rsidR="000C7EC5">
        <w:rPr>
          <w:lang w:val="en-GB"/>
        </w:rPr>
        <w:t xml:space="preserve"> does he not know what he means?</w:t>
      </w:r>
      <w:r w:rsidR="003B3AA9">
        <w:rPr>
          <w:rStyle w:val="FootnoteReference"/>
          <w:lang w:val="en-GB"/>
        </w:rPr>
        <w:footnoteReference w:id="685"/>
      </w:r>
      <w:r w:rsidR="000C7EC5">
        <w:rPr>
          <w:lang w:val="en-GB"/>
        </w:rPr>
        <w:t xml:space="preserve"> Is it one of those things that come out of your mouth without you quite having planned it?</w:t>
      </w:r>
      <w:r w:rsidR="00113CE4">
        <w:rPr>
          <w:lang w:val="en-GB"/>
        </w:rPr>
        <w:t xml:space="preserve"> </w:t>
      </w:r>
      <w:r w:rsidR="00113CE4" w:rsidRPr="00113CE4">
        <w:rPr>
          <w:lang w:val="en-GB"/>
        </w:rPr>
        <w:t xml:space="preserve">For the audience, however, Abraham’s statement </w:t>
      </w:r>
      <w:r w:rsidR="00113CE4">
        <w:rPr>
          <w:lang w:val="en-GB"/>
        </w:rPr>
        <w:t>“foreshadows the good news of the story’s climax”</w:t>
      </w:r>
      <w:r w:rsidR="00113CE4">
        <w:rPr>
          <w:rStyle w:val="FootnoteReference"/>
          <w:lang w:val="en-GB"/>
        </w:rPr>
        <w:footnoteReference w:id="686"/>
      </w:r>
      <w:r w:rsidR="00113CE4">
        <w:rPr>
          <w:lang w:val="en-GB"/>
        </w:rPr>
        <w:t xml:space="preserve"> </w:t>
      </w:r>
      <w:r w:rsidR="004D16C3">
        <w:rPr>
          <w:lang w:val="en-GB"/>
        </w:rPr>
        <w:t xml:space="preserve">and </w:t>
      </w:r>
      <w:r w:rsidR="00113CE4" w:rsidRPr="00113CE4">
        <w:rPr>
          <w:lang w:val="en-GB"/>
        </w:rPr>
        <w:t xml:space="preserve">functions as a reassurance </w:t>
      </w:r>
      <w:r w:rsidR="00113CE4">
        <w:rPr>
          <w:lang w:val="en-GB"/>
        </w:rPr>
        <w:t>that everything will turn out okay.</w:t>
      </w:r>
    </w:p>
    <w:p w14:paraId="6FCEE4DF" w14:textId="47D12ACF" w:rsidR="00D65943" w:rsidRDefault="00D65943" w:rsidP="003D0F91">
      <w:pPr>
        <w:rPr>
          <w:lang w:val="en-GB"/>
        </w:rPr>
      </w:pPr>
      <w:r>
        <w:rPr>
          <w:b/>
          <w:lang w:val="en-GB"/>
        </w:rPr>
        <w:t xml:space="preserve">22:6-10. </w:t>
      </w:r>
      <w:r w:rsidR="008D037F" w:rsidRPr="008D037F">
        <w:rPr>
          <w:lang w:val="en-GB"/>
        </w:rPr>
        <w:t>To the horror of</w:t>
      </w:r>
      <w:r w:rsidR="008D037F">
        <w:rPr>
          <w:lang w:val="en-GB"/>
        </w:rPr>
        <w:t xml:space="preserve"> the audience,</w:t>
      </w:r>
      <w:r>
        <w:rPr>
          <w:lang w:val="en-GB"/>
        </w:rPr>
        <w:t xml:space="preserve"> Abraham calmly (as far as one can tell) puts on his son’s back the wood for the fire on which his </w:t>
      </w:r>
      <w:r w:rsidR="00800442">
        <w:rPr>
          <w:lang w:val="en-GB"/>
        </w:rPr>
        <w:t xml:space="preserve">dismembered </w:t>
      </w:r>
      <w:r>
        <w:rPr>
          <w:lang w:val="en-GB"/>
        </w:rPr>
        <w:t>corpse will be burned (why is Abraham not taking the donkey</w:t>
      </w:r>
      <w:r w:rsidR="0023211E">
        <w:rPr>
          <w:lang w:val="en-GB"/>
        </w:rPr>
        <w:t xml:space="preserve"> which has presumably carried the wood so far</w:t>
      </w:r>
      <w:r>
        <w:rPr>
          <w:lang w:val="en-GB"/>
        </w:rPr>
        <w:t xml:space="preserve">?). </w:t>
      </w:r>
      <w:r w:rsidR="00800442">
        <w:rPr>
          <w:lang w:val="en-GB"/>
        </w:rPr>
        <w:t>“It i</w:t>
      </w:r>
      <w:r w:rsidR="00A13D22">
        <w:rPr>
          <w:lang w:val="en-GB"/>
        </w:rPr>
        <w:t>s like one who carries his own cross on his shoulder” (</w:t>
      </w:r>
      <w:r w:rsidR="00A13D22">
        <w:rPr>
          <w:i/>
          <w:lang w:val="en-GB"/>
        </w:rPr>
        <w:t xml:space="preserve">GenR </w:t>
      </w:r>
      <w:r w:rsidR="00A13D22">
        <w:rPr>
          <w:lang w:val="en-GB"/>
        </w:rPr>
        <w:t xml:space="preserve">56:3). </w:t>
      </w:r>
      <w:r>
        <w:rPr>
          <w:lang w:val="en-GB"/>
        </w:rPr>
        <w:t xml:space="preserve">Abraham carries the fire (that is, the flint) with which he will light the fire, and the </w:t>
      </w:r>
      <w:r w:rsidR="005171DC">
        <w:rPr>
          <w:lang w:val="en-GB"/>
        </w:rPr>
        <w:t>cleaver</w:t>
      </w:r>
      <w:r>
        <w:rPr>
          <w:lang w:val="en-GB"/>
        </w:rPr>
        <w:t xml:space="preserve"> w</w:t>
      </w:r>
      <w:r w:rsidR="00E514F6">
        <w:rPr>
          <w:lang w:val="en-GB"/>
        </w:rPr>
        <w:t>ith which he will kill his son and cut him into pieces, as one does with a burnt offering</w:t>
      </w:r>
      <w:r w:rsidR="00800442">
        <w:rPr>
          <w:lang w:val="en-GB"/>
        </w:rPr>
        <w:t>. Does he carry</w:t>
      </w:r>
      <w:r>
        <w:rPr>
          <w:lang w:val="en-GB"/>
        </w:rPr>
        <w:t xml:space="preserve"> them </w:t>
      </w:r>
      <w:r w:rsidR="004D16C3">
        <w:rPr>
          <w:lang w:val="en-GB"/>
        </w:rPr>
        <w:t>to make sure that the wood doesn’</w:t>
      </w:r>
      <w:r>
        <w:rPr>
          <w:lang w:val="en-GB"/>
        </w:rPr>
        <w:t xml:space="preserve">t catch fire too soon, and to make sure that the </w:t>
      </w:r>
      <w:r w:rsidR="00F9756D">
        <w:rPr>
          <w:lang w:val="en-GB"/>
        </w:rPr>
        <w:t>cleaver</w:t>
      </w:r>
      <w:r w:rsidR="004D16C3">
        <w:rPr>
          <w:lang w:val="en-GB"/>
        </w:rPr>
        <w:t xml:space="preserve"> doesn’</w:t>
      </w:r>
      <w:r>
        <w:rPr>
          <w:lang w:val="en-GB"/>
        </w:rPr>
        <w:t>t injure Isaac?</w:t>
      </w:r>
      <w:r w:rsidR="008A6E09">
        <w:rPr>
          <w:lang w:val="en-GB"/>
        </w:rPr>
        <w:t xml:space="preserve"> </w:t>
      </w:r>
      <w:r w:rsidR="00AE72F4">
        <w:rPr>
          <w:lang w:val="en-GB"/>
        </w:rPr>
        <w:t>The two wal</w:t>
      </w:r>
      <w:r w:rsidR="00800442">
        <w:rPr>
          <w:lang w:val="en-GB"/>
        </w:rPr>
        <w:t xml:space="preserve">k together, itself </w:t>
      </w:r>
      <w:r w:rsidR="00AE72F4">
        <w:rPr>
          <w:lang w:val="en-GB"/>
        </w:rPr>
        <w:t>an ironic or poignant or horrifying statement in light of what will follow.</w:t>
      </w:r>
    </w:p>
    <w:p w14:paraId="6F2F2B21" w14:textId="2D510A5B" w:rsidR="008317C0" w:rsidRPr="008317C0" w:rsidRDefault="0043684D" w:rsidP="008317C0">
      <w:pPr>
        <w:rPr>
          <w:lang w:val="en-GB"/>
        </w:rPr>
      </w:pPr>
      <w:r>
        <w:rPr>
          <w:lang w:val="en-GB"/>
        </w:rPr>
        <w:t>“God produces… a new instrument of torture”</w:t>
      </w:r>
      <w:r>
        <w:rPr>
          <w:rStyle w:val="FootnoteReference"/>
          <w:lang w:val="en-GB"/>
        </w:rPr>
        <w:footnoteReference w:id="687"/>
      </w:r>
      <w:r>
        <w:rPr>
          <w:lang w:val="en-GB"/>
        </w:rPr>
        <w:t xml:space="preserve"> (vv. 7-8a) as </w:t>
      </w:r>
      <w:r w:rsidR="00D65943">
        <w:rPr>
          <w:lang w:val="en-GB"/>
        </w:rPr>
        <w:t>I</w:t>
      </w:r>
      <w:r>
        <w:rPr>
          <w:lang w:val="en-GB"/>
        </w:rPr>
        <w:t>saac asks an obvious question</w:t>
      </w:r>
      <w:r w:rsidR="005F5E9E">
        <w:rPr>
          <w:lang w:val="en-GB"/>
        </w:rPr>
        <w:t>. C</w:t>
      </w:r>
      <w:r w:rsidR="00D65943">
        <w:rPr>
          <w:lang w:val="en-GB"/>
        </w:rPr>
        <w:t>an he really not put two and two together?</w:t>
      </w:r>
      <w:r w:rsidR="000C7EC5">
        <w:rPr>
          <w:lang w:val="en-GB"/>
        </w:rPr>
        <w:t xml:space="preserve"> </w:t>
      </w:r>
      <w:r w:rsidR="000D6376">
        <w:rPr>
          <w:lang w:val="en-GB"/>
        </w:rPr>
        <w:t xml:space="preserve">What about his pointed omission of </w:t>
      </w:r>
      <w:r w:rsidR="000D6376" w:rsidRPr="000D6376">
        <w:rPr>
          <w:lang w:val="en-GB"/>
        </w:rPr>
        <w:t>refer</w:t>
      </w:r>
      <w:r w:rsidR="000D6376">
        <w:rPr>
          <w:lang w:val="en-GB"/>
        </w:rPr>
        <w:t>ence</w:t>
      </w:r>
      <w:r w:rsidR="000D6376" w:rsidRPr="000D6376">
        <w:rPr>
          <w:lang w:val="en-GB"/>
        </w:rPr>
        <w:t xml:space="preserve"> to the cleaver</w:t>
      </w:r>
      <w:r w:rsidR="000D6376">
        <w:rPr>
          <w:lang w:val="en-GB"/>
        </w:rPr>
        <w:t>?</w:t>
      </w:r>
      <w:r w:rsidR="000D6376" w:rsidRPr="000D6376">
        <w:rPr>
          <w:lang w:val="en-GB"/>
        </w:rPr>
        <w:t xml:space="preserve"> </w:t>
      </w:r>
      <w:r w:rsidR="000C7EC5">
        <w:rPr>
          <w:lang w:val="en-GB"/>
        </w:rPr>
        <w:t xml:space="preserve">And what does Abraham mean by his </w:t>
      </w:r>
      <w:r w:rsidR="006C3E8B">
        <w:rPr>
          <w:lang w:val="en-GB"/>
        </w:rPr>
        <w:t xml:space="preserve">“classic” </w:t>
      </w:r>
      <w:r w:rsidR="000C7EC5">
        <w:rPr>
          <w:lang w:val="en-GB"/>
        </w:rPr>
        <w:t>answer?</w:t>
      </w:r>
      <w:r w:rsidR="006C3E8B">
        <w:rPr>
          <w:rStyle w:val="FootnoteReference"/>
          <w:lang w:val="en-GB"/>
        </w:rPr>
        <w:footnoteReference w:id="688"/>
      </w:r>
      <w:r w:rsidR="000C7EC5">
        <w:rPr>
          <w:lang w:val="en-GB"/>
        </w:rPr>
        <w:t xml:space="preserve"> D</w:t>
      </w:r>
      <w:r w:rsidR="000C7EC5" w:rsidRPr="000C7EC5">
        <w:rPr>
          <w:lang w:val="en-GB"/>
        </w:rPr>
        <w:t xml:space="preserve">oes he </w:t>
      </w:r>
      <w:r w:rsidR="000C7EC5">
        <w:rPr>
          <w:lang w:val="en-GB"/>
        </w:rPr>
        <w:t xml:space="preserve">again </w:t>
      </w:r>
      <w:r w:rsidR="000C7EC5" w:rsidRPr="000C7EC5">
        <w:rPr>
          <w:lang w:val="en-GB"/>
        </w:rPr>
        <w:t xml:space="preserve">not know what he means? Is it </w:t>
      </w:r>
      <w:r w:rsidR="000C7EC5">
        <w:rPr>
          <w:lang w:val="en-GB"/>
        </w:rPr>
        <w:t>another</w:t>
      </w:r>
      <w:r w:rsidR="000C7EC5" w:rsidRPr="000C7EC5">
        <w:rPr>
          <w:lang w:val="en-GB"/>
        </w:rPr>
        <w:t xml:space="preserve"> of those things that come out of your mouth without you quite having planned it?</w:t>
      </w:r>
      <w:r w:rsidR="004D59C2">
        <w:rPr>
          <w:lang w:val="en-GB"/>
        </w:rPr>
        <w:t xml:space="preserve"> </w:t>
      </w:r>
      <w:r w:rsidR="00931AEC">
        <w:rPr>
          <w:lang w:val="en-GB"/>
        </w:rPr>
        <w:lastRenderedPageBreak/>
        <w:t>Is he indirectly challenging God, who (he implies) is responsible for whatever happens?</w:t>
      </w:r>
      <w:r w:rsidR="00931AEC">
        <w:rPr>
          <w:rStyle w:val="FootnoteReference"/>
          <w:lang w:val="en-GB"/>
        </w:rPr>
        <w:footnoteReference w:id="689"/>
      </w:r>
      <w:r w:rsidR="00931AEC">
        <w:rPr>
          <w:lang w:val="en-GB"/>
        </w:rPr>
        <w:t xml:space="preserve"> </w:t>
      </w:r>
      <w:r w:rsidR="00BE2E67">
        <w:rPr>
          <w:lang w:val="en-GB"/>
        </w:rPr>
        <w:t xml:space="preserve">Or does Abraham “know” that it must be a test and that somehow God will not </w:t>
      </w:r>
      <w:r w:rsidR="004D16C3">
        <w:rPr>
          <w:lang w:val="en-GB"/>
        </w:rPr>
        <w:t>expect him to go through with the killing</w:t>
      </w:r>
      <w:r w:rsidR="00BE2E67">
        <w:rPr>
          <w:lang w:val="en-GB"/>
        </w:rPr>
        <w:t xml:space="preserve">? </w:t>
      </w:r>
      <w:r w:rsidR="004D59C2">
        <w:rPr>
          <w:lang w:val="en-GB"/>
        </w:rPr>
        <w:t>The vocative “my father” and “my son” (to translate more literally) further deepens the e</w:t>
      </w:r>
      <w:r w:rsidR="006841BF">
        <w:rPr>
          <w:lang w:val="en-GB"/>
        </w:rPr>
        <w:t>normity and pathos of the scene (t</w:t>
      </w:r>
      <w:r w:rsidR="006841BF" w:rsidRPr="006841BF">
        <w:rPr>
          <w:lang w:val="en-GB"/>
        </w:rPr>
        <w:t>en</w:t>
      </w:r>
      <w:r w:rsidR="006841BF">
        <w:rPr>
          <w:lang w:val="en-GB"/>
        </w:rPr>
        <w:t xml:space="preserve"> times Gen 22</w:t>
      </w:r>
      <w:r w:rsidR="006841BF" w:rsidRPr="006841BF">
        <w:rPr>
          <w:lang w:val="en-GB"/>
        </w:rPr>
        <w:t xml:space="preserve"> says “your/his/my son”</w:t>
      </w:r>
      <w:r w:rsidR="006841BF">
        <w:rPr>
          <w:lang w:val="en-GB"/>
        </w:rPr>
        <w:t>).</w:t>
      </w:r>
      <w:r w:rsidR="008317C0">
        <w:rPr>
          <w:lang w:val="en-GB"/>
        </w:rPr>
        <w:t xml:space="preserve"> But for the audience, </w:t>
      </w:r>
      <w:r w:rsidR="008317C0" w:rsidRPr="008317C0">
        <w:rPr>
          <w:lang w:val="en-GB"/>
        </w:rPr>
        <w:t xml:space="preserve">Abraham’s statement </w:t>
      </w:r>
      <w:r w:rsidR="008317C0">
        <w:rPr>
          <w:lang w:val="en-GB"/>
        </w:rPr>
        <w:t xml:space="preserve">again </w:t>
      </w:r>
      <w:r w:rsidR="008317C0" w:rsidRPr="008317C0">
        <w:rPr>
          <w:lang w:val="en-GB"/>
        </w:rPr>
        <w:t>foreshadows the good news of the story’s climax and thus functions as a reassurance that everything will turn out okay.</w:t>
      </w:r>
    </w:p>
    <w:p w14:paraId="7F969562" w14:textId="7ACC3433" w:rsidR="00F56CB6" w:rsidRPr="00F56CB6" w:rsidRDefault="000C7EC5" w:rsidP="00F56CB6">
      <w:pPr>
        <w:rPr>
          <w:rFonts w:eastAsiaTheme="minorHAnsi" w:cs="Times New Roman"/>
        </w:rPr>
      </w:pPr>
      <w:r>
        <w:rPr>
          <w:lang w:val="en-GB"/>
        </w:rPr>
        <w:t xml:space="preserve">The </w:t>
      </w:r>
      <w:r w:rsidR="008D037F">
        <w:rPr>
          <w:lang w:val="en-GB"/>
        </w:rPr>
        <w:t xml:space="preserve">disquieting </w:t>
      </w:r>
      <w:r>
        <w:rPr>
          <w:lang w:val="en-GB"/>
        </w:rPr>
        <w:t>story continues (vv. 8b-9).</w:t>
      </w:r>
      <w:r w:rsidR="00CB78FC">
        <w:rPr>
          <w:lang w:val="en-GB"/>
        </w:rPr>
        <w:t xml:space="preserve"> </w:t>
      </w:r>
      <w:r w:rsidR="004D16C3">
        <w:rPr>
          <w:lang w:val="en-GB"/>
        </w:rPr>
        <w:t>The “trusting departure” ha</w:t>
      </w:r>
      <w:r w:rsidR="00AF3551">
        <w:rPr>
          <w:lang w:val="en-GB"/>
        </w:rPr>
        <w:t>d not settle</w:t>
      </w:r>
      <w:r w:rsidR="004D16C3">
        <w:rPr>
          <w:lang w:val="en-GB"/>
        </w:rPr>
        <w:t>d</w:t>
      </w:r>
      <w:r w:rsidR="00AF3551">
        <w:rPr>
          <w:lang w:val="en-GB"/>
        </w:rPr>
        <w:t xml:space="preserve"> the issue</w:t>
      </w:r>
      <w:r w:rsidR="008D037F">
        <w:rPr>
          <w:lang w:val="en-GB"/>
        </w:rPr>
        <w:t xml:space="preserve"> of the test</w:t>
      </w:r>
      <w:r w:rsidR="00AF3551">
        <w:rPr>
          <w:lang w:val="en-GB"/>
        </w:rPr>
        <w:t>. “The question becomes: Will Abraham stay with the journey?”</w:t>
      </w:r>
      <w:r w:rsidR="00AF3551">
        <w:rPr>
          <w:rStyle w:val="FootnoteReference"/>
          <w:lang w:val="en-GB"/>
        </w:rPr>
        <w:footnoteReference w:id="690"/>
      </w:r>
      <w:r w:rsidR="00AF3551">
        <w:rPr>
          <w:lang w:val="en-GB"/>
        </w:rPr>
        <w:t xml:space="preserve"> </w:t>
      </w:r>
      <w:r w:rsidR="00CB78FC">
        <w:rPr>
          <w:lang w:val="en-GB"/>
        </w:rPr>
        <w:t xml:space="preserve">Again </w:t>
      </w:r>
      <w:r w:rsidR="00806234">
        <w:rPr>
          <w:lang w:val="en-GB"/>
        </w:rPr>
        <w:t>Genesis pictures father and son</w:t>
      </w:r>
      <w:r w:rsidR="00CB78FC">
        <w:rPr>
          <w:lang w:val="en-GB"/>
        </w:rPr>
        <w:t xml:space="preserve"> walking together. It seems that both are c</w:t>
      </w:r>
      <w:r w:rsidR="00806234">
        <w:rPr>
          <w:lang w:val="en-GB"/>
        </w:rPr>
        <w:t xml:space="preserve">ommitted to it. Neither </w:t>
      </w:r>
      <w:r w:rsidR="00CB78FC">
        <w:rPr>
          <w:lang w:val="en-GB"/>
        </w:rPr>
        <w:t>really knows what the journey is about but b</w:t>
      </w:r>
      <w:r w:rsidR="00806234">
        <w:rPr>
          <w:lang w:val="en-GB"/>
        </w:rPr>
        <w:t xml:space="preserve">oth </w:t>
      </w:r>
      <w:r w:rsidR="00CB78FC">
        <w:rPr>
          <w:lang w:val="en-GB"/>
        </w:rPr>
        <w:t xml:space="preserve">are operating on the basis of trust and obedience. They have found reason </w:t>
      </w:r>
      <w:r w:rsidR="00806234">
        <w:rPr>
          <w:lang w:val="en-GB"/>
        </w:rPr>
        <w:t>to trust God</w:t>
      </w:r>
      <w:r w:rsidR="00CB78FC">
        <w:rPr>
          <w:lang w:val="en-GB"/>
        </w:rPr>
        <w:t xml:space="preserve"> and that trust provides them with re</w:t>
      </w:r>
      <w:r w:rsidR="00806234">
        <w:rPr>
          <w:lang w:val="en-GB"/>
        </w:rPr>
        <w:t>ason to obey God</w:t>
      </w:r>
      <w:r w:rsidR="00CB78FC">
        <w:rPr>
          <w:lang w:val="en-GB"/>
        </w:rPr>
        <w:t>. “In effect, Isaac trusts that his father’s trust is well-placed. Abraham’s trust in God has become Isaac’s trust: God will provide.”</w:t>
      </w:r>
      <w:r w:rsidR="00CB78FC">
        <w:rPr>
          <w:rStyle w:val="FootnoteReference"/>
          <w:lang w:val="en-GB"/>
        </w:rPr>
        <w:footnoteReference w:id="691"/>
      </w:r>
      <w:r w:rsidR="00CB78FC">
        <w:rPr>
          <w:lang w:val="en-GB"/>
        </w:rPr>
        <w:t xml:space="preserve"> </w:t>
      </w:r>
      <w:r w:rsidR="006F082D">
        <w:rPr>
          <w:lang w:val="en-GB"/>
        </w:rPr>
        <w:t>Although</w:t>
      </w:r>
      <w:r>
        <w:rPr>
          <w:lang w:val="en-GB"/>
        </w:rPr>
        <w:t xml:space="preserve"> the </w:t>
      </w:r>
      <w:r w:rsidR="006F082D">
        <w:rPr>
          <w:lang w:val="en-GB"/>
        </w:rPr>
        <w:t>“</w:t>
      </w:r>
      <w:r>
        <w:rPr>
          <w:lang w:val="en-GB"/>
        </w:rPr>
        <w:t>place</w:t>
      </w:r>
      <w:r w:rsidR="006F082D">
        <w:rPr>
          <w:lang w:val="en-GB"/>
        </w:rPr>
        <w:t>”</w:t>
      </w:r>
      <w:r>
        <w:rPr>
          <w:lang w:val="en-GB"/>
        </w:rPr>
        <w:t xml:space="preserve"> was </w:t>
      </w:r>
      <w:r w:rsidR="006F082D">
        <w:rPr>
          <w:lang w:val="en-GB"/>
        </w:rPr>
        <w:t xml:space="preserve">likely </w:t>
      </w:r>
      <w:r>
        <w:rPr>
          <w:lang w:val="en-GB"/>
        </w:rPr>
        <w:t xml:space="preserve">already a worship site, for one reason or another </w:t>
      </w:r>
      <w:r w:rsidR="00EB7368">
        <w:rPr>
          <w:lang w:val="en-GB"/>
        </w:rPr>
        <w:t xml:space="preserve">(such as the fact that other people worshipped other so-called gods there) </w:t>
      </w:r>
      <w:r>
        <w:rPr>
          <w:lang w:val="en-GB"/>
        </w:rPr>
        <w:t>Ab</w:t>
      </w:r>
      <w:r w:rsidR="006F082D">
        <w:rPr>
          <w:lang w:val="en-GB"/>
        </w:rPr>
        <w:t xml:space="preserve">raham </w:t>
      </w:r>
      <w:r w:rsidR="00355C7B">
        <w:rPr>
          <w:lang w:val="en-GB"/>
        </w:rPr>
        <w:t>build</w:t>
      </w:r>
      <w:r w:rsidR="006F082D">
        <w:rPr>
          <w:lang w:val="en-GB"/>
        </w:rPr>
        <w:t>s</w:t>
      </w:r>
      <w:r w:rsidR="00355C7B">
        <w:rPr>
          <w:lang w:val="en-GB"/>
        </w:rPr>
        <w:t xml:space="preserve"> his own altar, a</w:t>
      </w:r>
      <w:r w:rsidR="00A045DA">
        <w:rPr>
          <w:lang w:val="en-GB"/>
        </w:rPr>
        <w:t>s he did at Shechem</w:t>
      </w:r>
      <w:r w:rsidR="00355C7B">
        <w:rPr>
          <w:lang w:val="en-GB"/>
        </w:rPr>
        <w:t xml:space="preserve"> </w:t>
      </w:r>
      <w:r w:rsidR="00A045DA">
        <w:rPr>
          <w:lang w:val="en-GB"/>
        </w:rPr>
        <w:t>and</w:t>
      </w:r>
      <w:r w:rsidR="001D54D0">
        <w:rPr>
          <w:lang w:val="en-GB"/>
        </w:rPr>
        <w:t xml:space="preserve"> </w:t>
      </w:r>
      <w:r w:rsidR="004A1D37">
        <w:rPr>
          <w:lang w:val="en-GB"/>
        </w:rPr>
        <w:t>near Beth E</w:t>
      </w:r>
      <w:r w:rsidR="00A045DA">
        <w:rPr>
          <w:lang w:val="en-GB"/>
        </w:rPr>
        <w:t>l</w:t>
      </w:r>
      <w:r w:rsidR="006F082D">
        <w:rPr>
          <w:lang w:val="en-GB"/>
        </w:rPr>
        <w:t xml:space="preserve"> (12:7-8). The altar would be</w:t>
      </w:r>
      <w:r w:rsidR="00355C7B">
        <w:rPr>
          <w:lang w:val="en-GB"/>
        </w:rPr>
        <w:t xml:space="preserve"> constructed of stone</w:t>
      </w:r>
      <w:r w:rsidR="006F082D">
        <w:rPr>
          <w:lang w:val="en-GB"/>
        </w:rPr>
        <w:t xml:space="preserve"> or mudbrick, so that a fire could</w:t>
      </w:r>
      <w:r w:rsidR="00355C7B">
        <w:rPr>
          <w:lang w:val="en-GB"/>
        </w:rPr>
        <w:t xml:space="preserve"> be built on it. </w:t>
      </w:r>
      <w:r w:rsidR="00881DBA">
        <w:rPr>
          <w:lang w:val="en-GB"/>
        </w:rPr>
        <w:t xml:space="preserve">Normally </w:t>
      </w:r>
      <w:r w:rsidR="00355C7B">
        <w:rPr>
          <w:lang w:val="en-GB"/>
        </w:rPr>
        <w:t xml:space="preserve">the offerer </w:t>
      </w:r>
      <w:r w:rsidR="00881DBA">
        <w:rPr>
          <w:lang w:val="en-GB"/>
        </w:rPr>
        <w:t xml:space="preserve">first </w:t>
      </w:r>
      <w:r w:rsidR="00355C7B">
        <w:rPr>
          <w:lang w:val="en-GB"/>
        </w:rPr>
        <w:t>kills the creature to be offered, th</w:t>
      </w:r>
      <w:r w:rsidR="00881DBA">
        <w:rPr>
          <w:lang w:val="en-GB"/>
        </w:rPr>
        <w:t xml:space="preserve">en puts its carcase on the fire </w:t>
      </w:r>
      <w:r w:rsidR="00881DBA" w:rsidRPr="00881DBA">
        <w:rPr>
          <w:lang w:val="en-GB"/>
        </w:rPr>
        <w:t xml:space="preserve">so that it goes up in smoke to God. </w:t>
      </w:r>
      <w:r w:rsidR="006F082D" w:rsidRPr="006F082D">
        <w:rPr>
          <w:lang w:val="en-GB"/>
        </w:rPr>
        <w:t>Abraham “goes about his task… with the speechless concentration of a sleepwalker, as if thus to hold off by every possible means the fate that he has no hope of averting.”</w:t>
      </w:r>
      <w:r w:rsidR="006F082D" w:rsidRPr="006F082D">
        <w:rPr>
          <w:vertAlign w:val="superscript"/>
          <w:lang w:val="en-GB"/>
        </w:rPr>
        <w:footnoteReference w:id="692"/>
      </w:r>
      <w:r w:rsidR="006F082D" w:rsidRPr="006F082D">
        <w:rPr>
          <w:lang w:val="en-GB"/>
        </w:rPr>
        <w:t xml:space="preserve"> </w:t>
      </w:r>
      <w:r w:rsidR="006F082D">
        <w:rPr>
          <w:lang w:val="en-GB"/>
        </w:rPr>
        <w:t>He</w:t>
      </w:r>
      <w:r w:rsidR="00881DBA">
        <w:rPr>
          <w:lang w:val="en-GB"/>
        </w:rPr>
        <w:t xml:space="preserve"> makes the fire first, then ties </w:t>
      </w:r>
      <w:r w:rsidR="007F3AA0">
        <w:rPr>
          <w:lang w:val="en-GB"/>
        </w:rPr>
        <w:t xml:space="preserve">Isaac up. The verb is </w:t>
      </w:r>
      <w:r w:rsidR="00881DBA">
        <w:rPr>
          <w:i/>
          <w:lang w:val="en-GB"/>
        </w:rPr>
        <w:t>‘āqad</w:t>
      </w:r>
      <w:r w:rsidR="000B0D60">
        <w:rPr>
          <w:lang w:val="en-GB"/>
        </w:rPr>
        <w:t xml:space="preserve">: </w:t>
      </w:r>
      <w:r w:rsidR="007F3AA0">
        <w:rPr>
          <w:lang w:val="en-GB"/>
        </w:rPr>
        <w:t>hence</w:t>
      </w:r>
      <w:r w:rsidR="00881DBA">
        <w:rPr>
          <w:lang w:val="en-GB"/>
        </w:rPr>
        <w:t xml:space="preserve"> the Jewish name for this event is the </w:t>
      </w:r>
      <w:r w:rsidR="00881DBA">
        <w:rPr>
          <w:i/>
          <w:lang w:val="en-GB"/>
        </w:rPr>
        <w:t xml:space="preserve">Aqedah, </w:t>
      </w:r>
      <w:r w:rsidR="00A045DA">
        <w:rPr>
          <w:lang w:val="en-GB"/>
        </w:rPr>
        <w:t>“the binding</w:t>
      </w:r>
      <w:r w:rsidR="007F3AA0">
        <w:rPr>
          <w:lang w:val="en-GB"/>
        </w:rPr>
        <w:t>.</w:t>
      </w:r>
      <w:r w:rsidR="006F082D">
        <w:rPr>
          <w:lang w:val="en-GB"/>
        </w:rPr>
        <w:t>” O</w:t>
      </w:r>
      <w:r w:rsidR="000B0D60" w:rsidRPr="000B0D60">
        <w:rPr>
          <w:lang w:val="en-GB"/>
        </w:rPr>
        <w:t>ne tied an animal</w:t>
      </w:r>
      <w:r w:rsidR="000B0D60">
        <w:rPr>
          <w:lang w:val="en-GB"/>
        </w:rPr>
        <w:t>’</w:t>
      </w:r>
      <w:r w:rsidR="000B0D60" w:rsidRPr="000B0D60">
        <w:rPr>
          <w:lang w:val="en-GB"/>
        </w:rPr>
        <w:t xml:space="preserve">s </w:t>
      </w:r>
      <w:r w:rsidR="007F3AA0">
        <w:rPr>
          <w:lang w:val="en-GB"/>
        </w:rPr>
        <w:t>legs together before killing it.</w:t>
      </w:r>
      <w:r w:rsidR="000B0D60">
        <w:rPr>
          <w:rStyle w:val="FootnoteReference"/>
          <w:lang w:val="en-GB"/>
        </w:rPr>
        <w:footnoteReference w:id="693"/>
      </w:r>
      <w:r w:rsidR="000B0D60" w:rsidRPr="000B0D60">
        <w:rPr>
          <w:lang w:val="en-GB"/>
        </w:rPr>
        <w:t xml:space="preserve"> </w:t>
      </w:r>
      <w:r w:rsidR="007F3AA0">
        <w:rPr>
          <w:lang w:val="en-GB"/>
        </w:rPr>
        <w:t>M</w:t>
      </w:r>
      <w:r w:rsidR="006F082D">
        <w:rPr>
          <w:lang w:val="en-GB"/>
        </w:rPr>
        <w:t>ight</w:t>
      </w:r>
      <w:r w:rsidR="00881DBA">
        <w:rPr>
          <w:lang w:val="en-GB"/>
        </w:rPr>
        <w:t xml:space="preserve"> Isaac </w:t>
      </w:r>
      <w:r w:rsidR="006F082D">
        <w:rPr>
          <w:lang w:val="en-GB"/>
        </w:rPr>
        <w:t xml:space="preserve">be </w:t>
      </w:r>
      <w:r w:rsidR="00881DBA">
        <w:rPr>
          <w:lang w:val="en-GB"/>
        </w:rPr>
        <w:t>twisting and trying to escape</w:t>
      </w:r>
      <w:r w:rsidR="006F082D">
        <w:rPr>
          <w:lang w:val="en-GB"/>
        </w:rPr>
        <w:t xml:space="preserve">, or might Abraham </w:t>
      </w:r>
      <w:r w:rsidR="004D59C2">
        <w:rPr>
          <w:lang w:val="en-GB"/>
        </w:rPr>
        <w:t xml:space="preserve">imagine him trying </w:t>
      </w:r>
      <w:r w:rsidR="000B0D60">
        <w:rPr>
          <w:lang w:val="en-GB"/>
        </w:rPr>
        <w:t xml:space="preserve">to do so? </w:t>
      </w:r>
      <w:r w:rsidR="00FE5A00">
        <w:rPr>
          <w:lang w:val="en-GB"/>
        </w:rPr>
        <w:t xml:space="preserve">If Isaac is big enough the carry the firewood, he </w:t>
      </w:r>
      <w:r w:rsidR="00FE5A00" w:rsidRPr="00FE5A00">
        <w:rPr>
          <w:lang w:val="en-GB"/>
        </w:rPr>
        <w:t xml:space="preserve">is big enough to resist his </w:t>
      </w:r>
      <w:r w:rsidR="00FE5A00">
        <w:rPr>
          <w:lang w:val="en-GB"/>
        </w:rPr>
        <w:t>centenarian father.</w:t>
      </w:r>
      <w:r w:rsidR="00FE5A00">
        <w:rPr>
          <w:rStyle w:val="FootnoteReference"/>
          <w:lang w:val="en-GB"/>
        </w:rPr>
        <w:footnoteReference w:id="694"/>
      </w:r>
      <w:r w:rsidR="00FE5A00">
        <w:rPr>
          <w:lang w:val="en-GB"/>
        </w:rPr>
        <w:t xml:space="preserve"> </w:t>
      </w:r>
      <w:r w:rsidR="004D59C2">
        <w:rPr>
          <w:lang w:val="en-GB"/>
        </w:rPr>
        <w:t>Or does Isaac</w:t>
      </w:r>
      <w:r w:rsidR="00881DBA">
        <w:rPr>
          <w:lang w:val="en-GB"/>
        </w:rPr>
        <w:t xml:space="preserve"> recognize what is going on and accept it?</w:t>
      </w:r>
      <w:r w:rsidR="00902DE9">
        <w:rPr>
          <w:lang w:val="en-GB"/>
        </w:rPr>
        <w:t xml:space="preserve"> </w:t>
      </w:r>
      <w:r w:rsidR="006F082D">
        <w:rPr>
          <w:lang w:val="en-GB"/>
        </w:rPr>
        <w:t xml:space="preserve">The tying up then </w:t>
      </w:r>
      <w:r w:rsidR="00902DE9">
        <w:rPr>
          <w:lang w:val="en-GB"/>
        </w:rPr>
        <w:t xml:space="preserve">simply </w:t>
      </w:r>
      <w:r w:rsidR="006F082D">
        <w:rPr>
          <w:lang w:val="en-GB"/>
        </w:rPr>
        <w:t xml:space="preserve">means </w:t>
      </w:r>
      <w:r w:rsidR="00902DE9">
        <w:rPr>
          <w:lang w:val="en-GB"/>
        </w:rPr>
        <w:t>that Abraham acts in conformity to the rite of a burnt offering.</w:t>
      </w:r>
      <w:r w:rsidR="00902DE9">
        <w:rPr>
          <w:rStyle w:val="FootnoteReference"/>
          <w:lang w:val="en-GB"/>
        </w:rPr>
        <w:footnoteReference w:id="695"/>
      </w:r>
      <w:r w:rsidR="000A62F6">
        <w:rPr>
          <w:lang w:val="en-GB"/>
        </w:rPr>
        <w:t xml:space="preserve"> The hints in the chapter that Isaac was complicit in what was happening provide a basis </w:t>
      </w:r>
      <w:r w:rsidR="00DD1A56">
        <w:t xml:space="preserve">for </w:t>
      </w:r>
      <w:r w:rsidR="000A62F6" w:rsidRPr="000A62F6">
        <w:t>Jewish interpretation</w:t>
      </w:r>
      <w:r w:rsidR="00DD1A56">
        <w:t>’s</w:t>
      </w:r>
      <w:r w:rsidR="000A62F6">
        <w:t xml:space="preserve"> focus</w:t>
      </w:r>
      <w:r w:rsidR="000A62F6" w:rsidRPr="000A62F6">
        <w:t xml:space="preserve"> on Isaac’</w:t>
      </w:r>
      <w:r w:rsidR="000A62F6">
        <w:t>s willingness to be sacrificed,</w:t>
      </w:r>
      <w:r w:rsidR="00DD1A56">
        <w:t xml:space="preserve"> </w:t>
      </w:r>
      <w:r w:rsidR="00931AEC">
        <w:t>like that of Jephtah’s daughter.</w:t>
      </w:r>
      <w:r w:rsidR="00931AEC">
        <w:rPr>
          <w:rStyle w:val="FootnoteReference"/>
        </w:rPr>
        <w:footnoteReference w:id="696"/>
      </w:r>
      <w:r w:rsidR="00931AEC">
        <w:t xml:space="preserve"> Isaac’s willingness </w:t>
      </w:r>
      <w:r w:rsidR="00DD1A56" w:rsidRPr="00DD1A56">
        <w:t>became an inspiration in the context of the threat of martyrdom</w:t>
      </w:r>
      <w:r w:rsidR="00DD1A56">
        <w:t>,</w:t>
      </w:r>
      <w:r w:rsidR="00DD1A56" w:rsidRPr="00DD1A56">
        <w:rPr>
          <w:vertAlign w:val="superscript"/>
          <w:lang w:val="en-GB"/>
        </w:rPr>
        <w:footnoteReference w:id="697"/>
      </w:r>
      <w:r w:rsidR="000A62F6">
        <w:t xml:space="preserve"> even if t</w:t>
      </w:r>
      <w:r w:rsidR="000A62F6" w:rsidRPr="000A62F6">
        <w:t xml:space="preserve">he story is </w:t>
      </w:r>
      <w:r w:rsidR="000A62F6">
        <w:t xml:space="preserve">mainly </w:t>
      </w:r>
      <w:r w:rsidR="000A62F6" w:rsidRPr="000A62F6">
        <w:t xml:space="preserve">about the testing of Abraham </w:t>
      </w:r>
      <w:r w:rsidR="000A62F6">
        <w:t>rather than</w:t>
      </w:r>
      <w:r w:rsidR="000A62F6" w:rsidRPr="000A62F6">
        <w:t xml:space="preserve"> the offering </w:t>
      </w:r>
      <w:r w:rsidR="00DD1A56">
        <w:t xml:space="preserve">or binding </w:t>
      </w:r>
      <w:r w:rsidR="000A62F6" w:rsidRPr="000A62F6">
        <w:t>of I</w:t>
      </w:r>
      <w:r w:rsidR="00DD1A56">
        <w:t>saac</w:t>
      </w:r>
      <w:r w:rsidR="000A62F6" w:rsidRPr="000A62F6">
        <w:t>.</w:t>
      </w:r>
      <w:r w:rsidR="000A62F6" w:rsidRPr="000A62F6">
        <w:rPr>
          <w:vertAlign w:val="superscript"/>
        </w:rPr>
        <w:footnoteReference w:id="698"/>
      </w:r>
      <w:r w:rsidR="00F56CB6">
        <w:t xml:space="preserve"> The point is similarly more explicit in the Qur’an’s equivalent story about Ishmael: </w:t>
      </w:r>
      <w:r w:rsidR="00F56CB6">
        <w:rPr>
          <w:rFonts w:eastAsiaTheme="minorHAnsi" w:cs="Times New Roman"/>
        </w:rPr>
        <w:t>“He said, ‘</w:t>
      </w:r>
      <w:r w:rsidR="00F56CB6" w:rsidRPr="00F56CB6">
        <w:rPr>
          <w:rFonts w:eastAsiaTheme="minorHAnsi" w:cs="Times New Roman"/>
        </w:rPr>
        <w:t>O my father, do what you are com</w:t>
      </w:r>
      <w:r w:rsidR="00F56CB6">
        <w:rPr>
          <w:rFonts w:eastAsiaTheme="minorHAnsi" w:cs="Times New Roman"/>
        </w:rPr>
        <w:t>manded to do. You will find me, God willing, patient.’</w:t>
      </w:r>
      <w:r w:rsidR="00F56CB6" w:rsidRPr="00F56CB6">
        <w:rPr>
          <w:rFonts w:eastAsiaTheme="minorHAnsi" w:cs="Times New Roman"/>
        </w:rPr>
        <w:t xml:space="preserve"> They both submitted.”</w:t>
      </w:r>
      <w:r w:rsidR="00F56CB6">
        <w:rPr>
          <w:rStyle w:val="FootnoteReference"/>
          <w:rFonts w:eastAsiaTheme="minorHAnsi" w:cs="Times New Roman"/>
        </w:rPr>
        <w:footnoteReference w:id="699"/>
      </w:r>
    </w:p>
    <w:p w14:paraId="4EEDCF4E" w14:textId="77777777" w:rsidR="00881DBA" w:rsidRDefault="00881DBA" w:rsidP="003D0F91">
      <w:pPr>
        <w:rPr>
          <w:lang w:val="en-GB"/>
        </w:rPr>
      </w:pPr>
      <w:r>
        <w:rPr>
          <w:lang w:val="en-GB"/>
        </w:rPr>
        <w:t>The moment of great sacrifice for father and son</w:t>
      </w:r>
      <w:r w:rsidR="006C3E8B">
        <w:rPr>
          <w:lang w:val="en-GB"/>
        </w:rPr>
        <w:t xml:space="preserve">, the </w:t>
      </w:r>
      <w:r w:rsidR="006F082D">
        <w:rPr>
          <w:i/>
          <w:lang w:val="en-GB"/>
        </w:rPr>
        <w:t>k</w:t>
      </w:r>
      <w:r w:rsidR="006C3E8B">
        <w:rPr>
          <w:i/>
          <w:lang w:val="en-GB"/>
        </w:rPr>
        <w:t>airos</w:t>
      </w:r>
      <w:r w:rsidR="006C3E8B">
        <w:rPr>
          <w:lang w:val="en-GB"/>
        </w:rPr>
        <w:t>,</w:t>
      </w:r>
      <w:r w:rsidR="006C3E8B">
        <w:rPr>
          <w:rStyle w:val="FootnoteReference"/>
          <w:lang w:val="en-GB"/>
        </w:rPr>
        <w:footnoteReference w:id="700"/>
      </w:r>
      <w:r>
        <w:rPr>
          <w:lang w:val="en-GB"/>
        </w:rPr>
        <w:t xml:space="preserve"> is about to arrive (v. 10).</w:t>
      </w:r>
      <w:r w:rsidR="006841BF">
        <w:rPr>
          <w:lang w:val="en-GB"/>
        </w:rPr>
        <w:t xml:space="preserve"> </w:t>
      </w:r>
    </w:p>
    <w:p w14:paraId="1436C32C" w14:textId="1CD0CB5B" w:rsidR="004D6FEB" w:rsidRDefault="00E07715" w:rsidP="003D0F91">
      <w:r>
        <w:rPr>
          <w:b/>
          <w:lang w:val="en-GB"/>
        </w:rPr>
        <w:lastRenderedPageBreak/>
        <w:t>22</w:t>
      </w:r>
      <w:r w:rsidR="00881DBA">
        <w:rPr>
          <w:b/>
          <w:lang w:val="en-GB"/>
        </w:rPr>
        <w:t>:11-12</w:t>
      </w:r>
      <w:r w:rsidR="00EF75AF">
        <w:rPr>
          <w:lang w:val="en-GB"/>
        </w:rPr>
        <w:t xml:space="preserve">. </w:t>
      </w:r>
      <w:proofErr w:type="gramStart"/>
      <w:r w:rsidR="00FB77B5">
        <w:t>T</w:t>
      </w:r>
      <w:r w:rsidR="004D6FEB" w:rsidRPr="004D6FEB">
        <w:t>he</w:t>
      </w:r>
      <w:proofErr w:type="gramEnd"/>
      <w:r w:rsidR="004D6FEB" w:rsidRPr="004D6FEB">
        <w:t xml:space="preserve"> nature of a test is that it doesn’t go on forever; it’s a time-limited exercise with a particular aim in view. So the audience needn’t be surprised that God doesn’t intend Abraham to go through with</w:t>
      </w:r>
      <w:r w:rsidR="004D6FEB">
        <w:t xml:space="preserve"> </w:t>
      </w:r>
      <w:r w:rsidR="004D6FEB" w:rsidRPr="004D6FEB">
        <w:t xml:space="preserve">what he asks. </w:t>
      </w:r>
    </w:p>
    <w:p w14:paraId="13EA2EAD" w14:textId="0FA934BA" w:rsidR="00881DBA" w:rsidRDefault="00DD1A56" w:rsidP="003D0F91">
      <w:pPr>
        <w:rPr>
          <w:lang w:val="en-GB"/>
        </w:rPr>
      </w:pPr>
      <w:r>
        <w:rPr>
          <w:lang w:val="en-GB"/>
        </w:rPr>
        <w:t>A</w:t>
      </w:r>
      <w:r w:rsidR="00881DBA">
        <w:rPr>
          <w:lang w:val="en-GB"/>
        </w:rPr>
        <w:t>t the last possible moment God intervenes</w:t>
      </w:r>
      <w:r w:rsidR="004D6FEB">
        <w:rPr>
          <w:lang w:val="en-GB"/>
        </w:rPr>
        <w:t xml:space="preserve"> (v. 11)</w:t>
      </w:r>
      <w:r w:rsidR="00881DBA">
        <w:rPr>
          <w:lang w:val="en-GB"/>
        </w:rPr>
        <w:t xml:space="preserve">. </w:t>
      </w:r>
      <w:r w:rsidR="00471FA3">
        <w:rPr>
          <w:lang w:val="en-GB"/>
        </w:rPr>
        <w:t>“With what unconcern the Divine Majesty toys with death and all the power of death” as Isaac is about to die and Abraham “dies seven times over.”</w:t>
      </w:r>
      <w:r w:rsidR="00471FA3">
        <w:rPr>
          <w:rStyle w:val="FootnoteReference"/>
          <w:lang w:val="en-GB"/>
        </w:rPr>
        <w:footnoteReference w:id="701"/>
      </w:r>
      <w:r w:rsidR="00471FA3">
        <w:rPr>
          <w:lang w:val="en-GB"/>
        </w:rPr>
        <w:t xml:space="preserve"> </w:t>
      </w:r>
      <w:r>
        <w:rPr>
          <w:lang w:val="en-GB"/>
        </w:rPr>
        <w:t>The divine envoy calls</w:t>
      </w:r>
      <w:r w:rsidR="004D6FEB">
        <w:rPr>
          <w:lang w:val="en-GB"/>
        </w:rPr>
        <w:t xml:space="preserve"> to Abraham</w:t>
      </w:r>
      <w:r>
        <w:rPr>
          <w:lang w:val="en-GB"/>
        </w:rPr>
        <w:t xml:space="preserve"> from the heavens: t</w:t>
      </w:r>
      <w:r w:rsidRPr="00DD1A56">
        <w:rPr>
          <w:lang w:val="en-GB"/>
        </w:rPr>
        <w:t>he clause is virtually the same as the one in 21:1</w:t>
      </w:r>
      <w:r w:rsidR="001619A6">
        <w:rPr>
          <w:lang w:val="en-GB"/>
        </w:rPr>
        <w:t>7. T</w:t>
      </w:r>
      <w:r w:rsidR="004D59C2">
        <w:rPr>
          <w:lang w:val="en-GB"/>
        </w:rPr>
        <w:t xml:space="preserve">he </w:t>
      </w:r>
      <w:r w:rsidR="004D59C2" w:rsidRPr="004D59C2">
        <w:rPr>
          <w:lang w:val="en-GB"/>
        </w:rPr>
        <w:t xml:space="preserve">words were audible </w:t>
      </w:r>
      <w:r>
        <w:rPr>
          <w:lang w:val="en-GB"/>
        </w:rPr>
        <w:t xml:space="preserve">and therefore compelling, and </w:t>
      </w:r>
      <w:r w:rsidR="004D59C2">
        <w:rPr>
          <w:lang w:val="en-GB"/>
        </w:rPr>
        <w:t>Abraham was not fooling himself that God had changed his mind.</w:t>
      </w:r>
      <w:r w:rsidR="00A6667E">
        <w:rPr>
          <w:rStyle w:val="FootnoteReference"/>
          <w:lang w:val="en-GB"/>
        </w:rPr>
        <w:footnoteReference w:id="702"/>
      </w:r>
      <w:r w:rsidR="004D59C2">
        <w:rPr>
          <w:lang w:val="en-GB"/>
        </w:rPr>
        <w:t xml:space="preserve"> </w:t>
      </w:r>
      <w:r>
        <w:rPr>
          <w:lang w:val="en-GB"/>
        </w:rPr>
        <w:t>Further, s</w:t>
      </w:r>
      <w:r w:rsidR="000B0D60">
        <w:rPr>
          <w:lang w:val="en-GB"/>
        </w:rPr>
        <w:t>peaking from the heavens rather than making the journey to earth (cf. 28:1</w:t>
      </w:r>
      <w:r w:rsidR="006F082D">
        <w:rPr>
          <w:lang w:val="en-GB"/>
        </w:rPr>
        <w:t xml:space="preserve">2) perhaps suggests urgency. </w:t>
      </w:r>
      <w:r w:rsidR="00783115" w:rsidRPr="00783115">
        <w:rPr>
          <w:lang w:val="en-GB"/>
        </w:rPr>
        <w:t>“If God had blinked, the boy would have died there…. In the teeth of life we seem to die, but God says no—in the teeth of death we live. If He butchers us, He makes us live.”</w:t>
      </w:r>
      <w:r w:rsidR="00783115" w:rsidRPr="00783115">
        <w:rPr>
          <w:vertAlign w:val="superscript"/>
          <w:lang w:val="en-GB"/>
        </w:rPr>
        <w:footnoteReference w:id="703"/>
      </w:r>
      <w:r w:rsidR="00783115">
        <w:rPr>
          <w:lang w:val="en-GB"/>
        </w:rPr>
        <w:t xml:space="preserve"> </w:t>
      </w:r>
      <w:r w:rsidR="00BF647F">
        <w:t>So i</w:t>
      </w:r>
      <w:r w:rsidR="00BF647F" w:rsidRPr="00BF647F">
        <w:t>n the midst of life we are in death, and in the midst of death we are in life.</w:t>
      </w:r>
      <w:r w:rsidR="00BF647F" w:rsidRPr="00BF647F">
        <w:rPr>
          <w:vertAlign w:val="superscript"/>
        </w:rPr>
        <w:footnoteReference w:id="704"/>
      </w:r>
      <w:r w:rsidR="00BF647F" w:rsidRPr="00BF647F">
        <w:rPr>
          <w:lang w:val="en-GB"/>
        </w:rPr>
        <w:t xml:space="preserve"> </w:t>
      </w:r>
      <w:r w:rsidR="006F082D">
        <w:rPr>
          <w:lang w:val="en-GB"/>
        </w:rPr>
        <w:t>Also</w:t>
      </w:r>
      <w:r>
        <w:rPr>
          <w:lang w:val="en-GB"/>
        </w:rPr>
        <w:t xml:space="preserve"> paralleling</w:t>
      </w:r>
      <w:r w:rsidR="00783115">
        <w:rPr>
          <w:lang w:val="en-GB"/>
        </w:rPr>
        <w:t xml:space="preserve"> 21:17</w:t>
      </w:r>
      <w:r w:rsidR="000B0D60">
        <w:rPr>
          <w:lang w:val="en-GB"/>
        </w:rPr>
        <w:t xml:space="preserve">, </w:t>
      </w:r>
      <w:r w:rsidR="00EF75AF">
        <w:rPr>
          <w:lang w:val="en-GB"/>
        </w:rPr>
        <w:t>the envoy goes on to speak with God’s own “I</w:t>
      </w:r>
      <w:r w:rsidR="009128BD">
        <w:rPr>
          <w:lang w:val="en-GB"/>
        </w:rPr>
        <w:t>.</w:t>
      </w:r>
      <w:r w:rsidR="00EF75AF">
        <w:rPr>
          <w:lang w:val="en-GB"/>
        </w:rPr>
        <w:t>”</w:t>
      </w:r>
      <w:r w:rsidR="00C32695">
        <w:rPr>
          <w:rStyle w:val="FootnoteReference"/>
          <w:lang w:val="en-GB"/>
        </w:rPr>
        <w:footnoteReference w:id="705"/>
      </w:r>
      <w:r w:rsidR="009128BD">
        <w:rPr>
          <w:lang w:val="en-GB"/>
        </w:rPr>
        <w:t xml:space="preserve"> </w:t>
      </w:r>
      <w:r w:rsidR="008049DA" w:rsidRPr="008049DA">
        <w:rPr>
          <w:lang w:val="en-GB"/>
        </w:rPr>
        <w:t>Thus God calls, “Abraham,” as he did in v. 1</w:t>
      </w:r>
      <w:r w:rsidR="008049DA">
        <w:rPr>
          <w:lang w:val="en-GB"/>
        </w:rPr>
        <w:t>, t</w:t>
      </w:r>
      <w:r w:rsidR="00267879">
        <w:rPr>
          <w:lang w:val="en-GB"/>
        </w:rPr>
        <w:t>his time</w:t>
      </w:r>
      <w:r w:rsidR="00FE5A00">
        <w:rPr>
          <w:lang w:val="en-GB"/>
        </w:rPr>
        <w:t xml:space="preserve"> </w:t>
      </w:r>
      <w:r w:rsidR="008049DA">
        <w:rPr>
          <w:lang w:val="en-GB"/>
        </w:rPr>
        <w:t>repeating the name, with a further</w:t>
      </w:r>
      <w:r w:rsidR="009128BD">
        <w:rPr>
          <w:lang w:val="en-GB"/>
        </w:rPr>
        <w:t xml:space="preserve"> implication of urgency; he really needs to get Abraham’s attention. </w:t>
      </w:r>
      <w:r>
        <w:rPr>
          <w:lang w:val="en-GB"/>
        </w:rPr>
        <w:t xml:space="preserve">And </w:t>
      </w:r>
      <w:r w:rsidR="009128BD">
        <w:rPr>
          <w:lang w:val="en-GB"/>
        </w:rPr>
        <w:t>Abraham replies in the same way as he did in v.</w:t>
      </w:r>
      <w:r w:rsidR="00AF5109">
        <w:rPr>
          <w:lang w:val="en-GB"/>
        </w:rPr>
        <w:t xml:space="preserve"> 1</w:t>
      </w:r>
      <w:r w:rsidR="009128BD">
        <w:rPr>
          <w:lang w:val="en-GB"/>
        </w:rPr>
        <w:t xml:space="preserve"> and in v. 7, more co</w:t>
      </w:r>
      <w:r w:rsidR="00AF5109">
        <w:rPr>
          <w:lang w:val="en-GB"/>
        </w:rPr>
        <w:t>olly.</w:t>
      </w:r>
      <w:r w:rsidR="00471FA3">
        <w:rPr>
          <w:lang w:val="en-GB"/>
        </w:rPr>
        <w:t xml:space="preserve"> </w:t>
      </w:r>
    </w:p>
    <w:p w14:paraId="1A0D6576" w14:textId="7733E8BD" w:rsidR="00AF5109" w:rsidRDefault="001619A6" w:rsidP="00931AEC">
      <w:pPr>
        <w:rPr>
          <w:lang w:val="en-GB"/>
        </w:rPr>
      </w:pPr>
      <w:r>
        <w:rPr>
          <w:lang w:val="en-GB"/>
        </w:rPr>
        <w:t>He</w:t>
      </w:r>
      <w:r w:rsidR="00C4761C">
        <w:rPr>
          <w:lang w:val="en-GB"/>
        </w:rPr>
        <w:t xml:space="preserve"> is not to lay hands on Isaac after all (v. 12). </w:t>
      </w:r>
      <w:r w:rsidR="00EB7368">
        <w:rPr>
          <w:lang w:val="en-GB"/>
        </w:rPr>
        <w:t>A burnt offering involves laying one’s hand on the animal to be sacrificed</w:t>
      </w:r>
      <w:r w:rsidR="00C4761C">
        <w:rPr>
          <w:lang w:val="en-GB"/>
        </w:rPr>
        <w:t>, b</w:t>
      </w:r>
      <w:r w:rsidR="00DD1A56">
        <w:rPr>
          <w:lang w:val="en-GB"/>
        </w:rPr>
        <w:t xml:space="preserve">ut in a different sense; we </w:t>
      </w:r>
      <w:r w:rsidR="00C4761C">
        <w:rPr>
          <w:lang w:val="en-GB"/>
        </w:rPr>
        <w:t xml:space="preserve">use the same verb in English, but </w:t>
      </w:r>
      <w:r w:rsidR="00DD1A56">
        <w:rPr>
          <w:lang w:val="en-GB"/>
        </w:rPr>
        <w:t xml:space="preserve">Hebrew does not </w:t>
      </w:r>
      <w:r w:rsidR="00C4761C">
        <w:rPr>
          <w:lang w:val="en-GB"/>
        </w:rPr>
        <w:t xml:space="preserve">(the verb in Lev 1:4, </w:t>
      </w:r>
      <w:r w:rsidR="00C4761C">
        <w:rPr>
          <w:i/>
          <w:lang w:val="en-GB"/>
        </w:rPr>
        <w:t>sāmak</w:t>
      </w:r>
      <w:r w:rsidR="00DD1A56">
        <w:rPr>
          <w:lang w:val="en-GB"/>
        </w:rPr>
        <w:t>, means</w:t>
      </w:r>
      <w:r w:rsidR="00C4761C">
        <w:rPr>
          <w:lang w:val="en-GB"/>
        </w:rPr>
        <w:t xml:space="preserve"> “rest your hand”). </w:t>
      </w:r>
      <w:r w:rsidR="00AF5109">
        <w:rPr>
          <w:lang w:val="en-GB"/>
        </w:rPr>
        <w:t xml:space="preserve">God </w:t>
      </w:r>
      <w:r w:rsidR="008049DA">
        <w:rPr>
          <w:lang w:val="en-GB"/>
        </w:rPr>
        <w:t xml:space="preserve">can terminate the test because he </w:t>
      </w:r>
      <w:r w:rsidR="00AF5109">
        <w:rPr>
          <w:lang w:val="en-GB"/>
        </w:rPr>
        <w:t>now “know</w:t>
      </w:r>
      <w:r w:rsidR="008049DA">
        <w:rPr>
          <w:lang w:val="en-GB"/>
        </w:rPr>
        <w:t>s</w:t>
      </w:r>
      <w:r w:rsidR="00AF5109">
        <w:rPr>
          <w:lang w:val="en-GB"/>
        </w:rPr>
        <w:t>” something tha</w:t>
      </w:r>
      <w:r w:rsidR="00C4761C">
        <w:rPr>
          <w:lang w:val="en-GB"/>
        </w:rPr>
        <w:t>t he did not know before</w:t>
      </w:r>
      <w:r w:rsidR="005B0CE7">
        <w:rPr>
          <w:lang w:val="en-GB"/>
        </w:rPr>
        <w:t xml:space="preserve">. In some sense God knew it beforehand, given that God’s being extends through all time. Yet </w:t>
      </w:r>
      <w:r w:rsidR="005B0CE7">
        <w:t>“t</w:t>
      </w:r>
      <w:r w:rsidR="005B0CE7" w:rsidRPr="005B0CE7">
        <w:t>he philosophers teach that there are two kinds of knowledge, knowledge of events prior to their occurrence, and knowledge of what is presently in existence.”</w:t>
      </w:r>
      <w:r w:rsidR="005B0CE7" w:rsidRPr="005B0CE7">
        <w:rPr>
          <w:vertAlign w:val="superscript"/>
        </w:rPr>
        <w:footnoteReference w:id="706"/>
      </w:r>
      <w:r w:rsidR="005B0CE7" w:rsidRPr="005B0CE7">
        <w:t xml:space="preserve"> </w:t>
      </w:r>
      <w:r w:rsidR="009D4596">
        <w:t xml:space="preserve">To know what </w:t>
      </w:r>
      <w:r w:rsidR="00F0761C">
        <w:t>is going to happen</w:t>
      </w:r>
      <w:r w:rsidR="009D4596">
        <w:t xml:space="preserve"> is different from knowing it when it has happened. </w:t>
      </w:r>
      <w:r w:rsidR="005B0CE7">
        <w:t>Th</w:t>
      </w:r>
      <w:r w:rsidR="009D4596">
        <w:t>us th</w:t>
      </w:r>
      <w:r w:rsidR="005B0CE7">
        <w:t>ere is in some sense a “before” and “after” for God, a time sequence.</w:t>
      </w:r>
      <w:r w:rsidR="00727890">
        <w:t xml:space="preserve"> </w:t>
      </w:r>
      <w:r w:rsidR="005B0CE7" w:rsidRPr="005B0CE7">
        <w:t>Luther appeals to Augustine’s distinction between morning knowledge and evening knowledge,</w:t>
      </w:r>
      <w:r w:rsidR="005B0CE7" w:rsidRPr="005B0CE7">
        <w:rPr>
          <w:vertAlign w:val="superscript"/>
        </w:rPr>
        <w:footnoteReference w:id="707"/>
      </w:r>
      <w:r w:rsidR="005B0CE7" w:rsidRPr="005B0CE7">
        <w:t xml:space="preserve"> though he ta</w:t>
      </w:r>
      <w:r w:rsidR="008C58A1">
        <w:t>kes it in a different direction;</w:t>
      </w:r>
      <w:r w:rsidR="005B0CE7" w:rsidRPr="005B0CE7">
        <w:rPr>
          <w:vertAlign w:val="superscript"/>
        </w:rPr>
        <w:footnoteReference w:id="708"/>
      </w:r>
      <w:r w:rsidR="005B0CE7" w:rsidRPr="005B0CE7">
        <w:t xml:space="preserve"> </w:t>
      </w:r>
      <w:r w:rsidR="008C58A1">
        <w:t>Augustine himself thought that here God</w:t>
      </w:r>
      <w:r w:rsidR="008C58A1" w:rsidRPr="008C58A1">
        <w:t xml:space="preserve"> must mean</w:t>
      </w:r>
      <w:r>
        <w:t xml:space="preserve"> “now I have made to be known.”</w:t>
      </w:r>
      <w:r w:rsidR="008C58A1" w:rsidRPr="008C58A1">
        <w:rPr>
          <w:vertAlign w:val="superscript"/>
        </w:rPr>
        <w:footnoteReference w:id="709"/>
      </w:r>
      <w:r w:rsidR="005B0CE7">
        <w:t xml:space="preserve"> </w:t>
      </w:r>
      <w:r w:rsidR="007B416D">
        <w:t xml:space="preserve">But arguably </w:t>
      </w:r>
      <w:r w:rsidR="007B416D" w:rsidRPr="007B416D">
        <w:t>Yahweh’s declaration “</w:t>
      </w:r>
      <w:r w:rsidR="007B416D">
        <w:t>Now I know” taken in its regular meaning is the “piv</w:t>
      </w:r>
      <w:r w:rsidR="0099428B">
        <w:t>ot” of the chapter, the “climax” toward which it moves and from which the rest of it flows.</w:t>
      </w:r>
      <w:r w:rsidR="0099428B">
        <w:rPr>
          <w:rStyle w:val="FootnoteReference"/>
        </w:rPr>
        <w:footnoteReference w:id="710"/>
      </w:r>
      <w:r w:rsidR="0099428B">
        <w:t xml:space="preserve"> </w:t>
      </w:r>
      <w:r w:rsidR="009D4596">
        <w:rPr>
          <w:lang w:val="en-GB"/>
        </w:rPr>
        <w:t>Further, t</w:t>
      </w:r>
      <w:r w:rsidR="00AF5109">
        <w:rPr>
          <w:lang w:val="en-GB"/>
        </w:rPr>
        <w:t>he common connotation of</w:t>
      </w:r>
      <w:r w:rsidR="009D4596">
        <w:rPr>
          <w:lang w:val="en-GB"/>
        </w:rPr>
        <w:t xml:space="preserve"> “acknowledge” carries over in</w:t>
      </w:r>
      <w:r w:rsidR="00AF5109">
        <w:rPr>
          <w:lang w:val="en-GB"/>
        </w:rPr>
        <w:t xml:space="preserve"> the meaning of the verb (</w:t>
      </w:r>
      <w:r w:rsidR="00AF5109">
        <w:rPr>
          <w:i/>
          <w:lang w:val="en-GB"/>
        </w:rPr>
        <w:t>yāda‘</w:t>
      </w:r>
      <w:r w:rsidR="00AF5109">
        <w:rPr>
          <w:lang w:val="en-GB"/>
        </w:rPr>
        <w:t xml:space="preserve">) </w:t>
      </w:r>
      <w:r w:rsidR="009D4596">
        <w:rPr>
          <w:lang w:val="en-GB"/>
        </w:rPr>
        <w:t xml:space="preserve">here </w:t>
      </w:r>
      <w:r w:rsidR="00AF5109">
        <w:rPr>
          <w:lang w:val="en-GB"/>
        </w:rPr>
        <w:t xml:space="preserve">(cf. 18:19, 21; 20:7). </w:t>
      </w:r>
      <w:r w:rsidR="00F0761C">
        <w:rPr>
          <w:lang w:val="en-GB"/>
        </w:rPr>
        <w:t xml:space="preserve">Yahweh acknowledges </w:t>
      </w:r>
      <w:r w:rsidR="00AF5109">
        <w:rPr>
          <w:lang w:val="en-GB"/>
        </w:rPr>
        <w:t xml:space="preserve">that Abraham really does live in awe of God in the sense that he is willing to </w:t>
      </w:r>
      <w:r w:rsidR="00520264">
        <w:rPr>
          <w:lang w:val="en-GB"/>
        </w:rPr>
        <w:t>d</w:t>
      </w:r>
      <w:r w:rsidR="008049DA">
        <w:rPr>
          <w:lang w:val="en-GB"/>
        </w:rPr>
        <w:t>o whatever God tells him to do. H</w:t>
      </w:r>
      <w:r w:rsidR="00520264">
        <w:rPr>
          <w:lang w:val="en-GB"/>
        </w:rPr>
        <w:t>e could as easily have said that Abraham loves him.</w:t>
      </w:r>
      <w:r w:rsidR="00520264">
        <w:rPr>
          <w:rStyle w:val="FootnoteReference"/>
          <w:lang w:val="en-GB"/>
        </w:rPr>
        <w:footnoteReference w:id="711"/>
      </w:r>
      <w:r w:rsidR="00C20E61">
        <w:rPr>
          <w:lang w:val="en-GB"/>
        </w:rPr>
        <w:t xml:space="preserve"> “This fear is love.”</w:t>
      </w:r>
      <w:r w:rsidR="00C20E61">
        <w:rPr>
          <w:rStyle w:val="FootnoteReference"/>
          <w:lang w:val="en-GB"/>
        </w:rPr>
        <w:footnoteReference w:id="712"/>
      </w:r>
      <w:r w:rsidR="008049DA">
        <w:rPr>
          <w:lang w:val="en-GB"/>
        </w:rPr>
        <w:t xml:space="preserve"> </w:t>
      </w:r>
      <w:r w:rsidR="00931AEC">
        <w:rPr>
          <w:lang w:val="en-GB"/>
        </w:rPr>
        <w:t>“</w:t>
      </w:r>
      <w:r w:rsidR="00931AEC">
        <w:t>God and Abraham are now bound together in both being willing to sacrifice their sons.”</w:t>
      </w:r>
      <w:r w:rsidR="00931AEC">
        <w:rPr>
          <w:rStyle w:val="FootnoteReference"/>
        </w:rPr>
        <w:footnoteReference w:id="713"/>
      </w:r>
    </w:p>
    <w:p w14:paraId="0EFA25B4" w14:textId="32718113" w:rsidR="00AF5109" w:rsidRDefault="00AF5109" w:rsidP="003D0F91">
      <w:pPr>
        <w:rPr>
          <w:lang w:val="en-GB"/>
        </w:rPr>
      </w:pPr>
      <w:r>
        <w:rPr>
          <w:b/>
          <w:lang w:val="en-GB"/>
        </w:rPr>
        <w:t>22:13-14</w:t>
      </w:r>
      <w:r w:rsidR="00F25222">
        <w:rPr>
          <w:lang w:val="en-GB"/>
        </w:rPr>
        <w:t xml:space="preserve">. </w:t>
      </w:r>
      <w:r w:rsidR="00CB72BE">
        <w:rPr>
          <w:lang w:val="en-GB"/>
        </w:rPr>
        <w:t>Abraham lifts his eyes, as he did in v. 4, with the same attentiveness, but presumably with a different kind of expectan</w:t>
      </w:r>
      <w:r w:rsidR="00F0761C">
        <w:rPr>
          <w:lang w:val="en-GB"/>
        </w:rPr>
        <w:t xml:space="preserve">cy. </w:t>
      </w:r>
      <w:r w:rsidR="0027646D">
        <w:rPr>
          <w:lang w:val="en-GB"/>
        </w:rPr>
        <w:t xml:space="preserve">Once again the narrative’s “there” invites us to look at the scene with Abraham. </w:t>
      </w:r>
      <w:r w:rsidR="00F0761C">
        <w:rPr>
          <w:lang w:val="en-GB"/>
        </w:rPr>
        <w:t xml:space="preserve">Like Hagar in 21:19, he </w:t>
      </w:r>
      <w:r w:rsidR="00CB72BE">
        <w:rPr>
          <w:lang w:val="en-GB"/>
        </w:rPr>
        <w:t>sees something that might or mi</w:t>
      </w:r>
      <w:r w:rsidR="000920C3">
        <w:rPr>
          <w:lang w:val="en-GB"/>
        </w:rPr>
        <w:t xml:space="preserve">ght not have been there before. </w:t>
      </w:r>
      <w:r w:rsidR="000920C3">
        <w:rPr>
          <w:lang w:val="en-GB"/>
        </w:rPr>
        <w:lastRenderedPageBreak/>
        <w:t>E</w:t>
      </w:r>
      <w:r w:rsidR="00CB72BE">
        <w:rPr>
          <w:lang w:val="en-GB"/>
        </w:rPr>
        <w:t>ither way, it is again God’s provi</w:t>
      </w:r>
      <w:r w:rsidR="000920C3">
        <w:rPr>
          <w:lang w:val="en-GB"/>
        </w:rPr>
        <w:t>sion, fulfilling the prescription Abraham made in vv. 7-8 (the word for “sheep” there is a general term</w:t>
      </w:r>
      <w:r w:rsidR="009B6511">
        <w:rPr>
          <w:lang w:val="en-GB"/>
        </w:rPr>
        <w:t xml:space="preserve"> that can cover other bovids</w:t>
      </w:r>
      <w:r w:rsidR="000920C3">
        <w:rPr>
          <w:lang w:val="en-GB"/>
        </w:rPr>
        <w:t>, and a ram is a subset of that category).</w:t>
      </w:r>
      <w:r w:rsidR="00FE5A00">
        <w:rPr>
          <w:lang w:val="en-GB"/>
        </w:rPr>
        <w:t xml:space="preserve"> </w:t>
      </w:r>
      <w:r w:rsidR="00CB72BE">
        <w:rPr>
          <w:lang w:val="en-GB"/>
        </w:rPr>
        <w:t>Apparen</w:t>
      </w:r>
      <w:r w:rsidR="009B6511">
        <w:rPr>
          <w:lang w:val="en-GB"/>
        </w:rPr>
        <w:t>tly Abraham does not need instruction</w:t>
      </w:r>
      <w:r w:rsidR="00CB72BE">
        <w:rPr>
          <w:lang w:val="en-GB"/>
        </w:rPr>
        <w:t xml:space="preserve"> about what to do with it.</w:t>
      </w:r>
    </w:p>
    <w:p w14:paraId="2D8528F5" w14:textId="4395586A" w:rsidR="0001617E" w:rsidRDefault="009A2F77" w:rsidP="0001617E">
      <w:r>
        <w:rPr>
          <w:lang w:val="en-GB"/>
        </w:rPr>
        <w:t xml:space="preserve">Yahweh </w:t>
      </w:r>
      <w:r w:rsidR="009B6511">
        <w:rPr>
          <w:lang w:val="en-GB"/>
        </w:rPr>
        <w:t>has seen to things</w:t>
      </w:r>
      <w:r>
        <w:rPr>
          <w:lang w:val="en-GB"/>
        </w:rPr>
        <w:t xml:space="preserve"> (v. 14)</w:t>
      </w:r>
      <w:r w:rsidR="009B6511">
        <w:rPr>
          <w:lang w:val="en-GB"/>
        </w:rPr>
        <w:t xml:space="preserve"> and Abraham can therefore say “Yahweh sees,” </w:t>
      </w:r>
      <w:proofErr w:type="gramStart"/>
      <w:r w:rsidR="009B6511">
        <w:rPr>
          <w:i/>
          <w:lang w:val="en-GB"/>
        </w:rPr>
        <w:t>yhwh</w:t>
      </w:r>
      <w:proofErr w:type="gramEnd"/>
      <w:r w:rsidR="009B6511">
        <w:rPr>
          <w:i/>
          <w:lang w:val="en-GB"/>
        </w:rPr>
        <w:t xml:space="preserve"> yir’eh</w:t>
      </w:r>
      <w:r>
        <w:rPr>
          <w:lang w:val="en-GB"/>
        </w:rPr>
        <w:t xml:space="preserve">. </w:t>
      </w:r>
      <w:r w:rsidR="005C0F90">
        <w:rPr>
          <w:lang w:val="en-GB"/>
        </w:rPr>
        <w:t>In effect it is the same experience as Hagar’s (16:13-14).</w:t>
      </w:r>
      <w:r w:rsidR="005C0F90">
        <w:rPr>
          <w:rStyle w:val="FootnoteReference"/>
          <w:lang w:val="en-GB"/>
        </w:rPr>
        <w:footnoteReference w:id="714"/>
      </w:r>
      <w:r w:rsidR="005C0F90">
        <w:rPr>
          <w:lang w:val="en-GB"/>
        </w:rPr>
        <w:t xml:space="preserve"> </w:t>
      </w:r>
      <w:r w:rsidR="007934B4">
        <w:rPr>
          <w:lang w:val="en-GB"/>
        </w:rPr>
        <w:t xml:space="preserve">There continues to </w:t>
      </w:r>
      <w:r w:rsidR="001619A6">
        <w:rPr>
          <w:lang w:val="en-GB"/>
        </w:rPr>
        <w:t>be no direct account of Abraham’</w:t>
      </w:r>
      <w:r w:rsidR="009B6511">
        <w:rPr>
          <w:lang w:val="en-GB"/>
        </w:rPr>
        <w:t>s feelings</w:t>
      </w:r>
      <w:r w:rsidR="001619A6">
        <w:rPr>
          <w:lang w:val="en-GB"/>
        </w:rPr>
        <w:t xml:space="preserve"> (or God’s)</w:t>
      </w:r>
      <w:r w:rsidR="009B6511">
        <w:rPr>
          <w:lang w:val="en-GB"/>
        </w:rPr>
        <w:t xml:space="preserve">, such as joy or relief. </w:t>
      </w:r>
      <w:r w:rsidR="00EF0C96">
        <w:rPr>
          <w:lang w:val="en-GB"/>
        </w:rPr>
        <w:t xml:space="preserve">Here </w:t>
      </w:r>
      <w:r w:rsidR="009B6511">
        <w:rPr>
          <w:lang w:val="en-GB"/>
        </w:rPr>
        <w:t xml:space="preserve">his reaction is </w:t>
      </w:r>
      <w:r w:rsidR="00F0761C">
        <w:rPr>
          <w:lang w:val="en-GB"/>
        </w:rPr>
        <w:t xml:space="preserve">conveyed </w:t>
      </w:r>
      <w:r w:rsidR="009B6511">
        <w:rPr>
          <w:lang w:val="en-GB"/>
        </w:rPr>
        <w:t>through the report of hi</w:t>
      </w:r>
      <w:r w:rsidR="00EF0C96">
        <w:rPr>
          <w:lang w:val="en-GB"/>
        </w:rPr>
        <w:t>s recollecting the conviction he</w:t>
      </w:r>
      <w:r w:rsidR="00CB72BE">
        <w:rPr>
          <w:lang w:val="en-GB"/>
        </w:rPr>
        <w:t xml:space="preserve"> expr</w:t>
      </w:r>
      <w:r>
        <w:rPr>
          <w:lang w:val="en-GB"/>
        </w:rPr>
        <w:t xml:space="preserve">essed in v. 8: “God will see to” </w:t>
      </w:r>
      <w:r w:rsidR="007642E1">
        <w:rPr>
          <w:lang w:val="en-GB"/>
        </w:rPr>
        <w:t>the</w:t>
      </w:r>
      <w:r w:rsidR="00B31304">
        <w:rPr>
          <w:lang w:val="en-GB"/>
        </w:rPr>
        <w:t xml:space="preserve"> sheep for an offering. </w:t>
      </w:r>
      <w:r w:rsidR="00EF0C96">
        <w:rPr>
          <w:lang w:val="en-GB"/>
        </w:rPr>
        <w:t>It has been proved true.</w:t>
      </w:r>
      <w:r w:rsidR="006906D6">
        <w:rPr>
          <w:lang w:val="en-GB"/>
        </w:rPr>
        <w:t xml:space="preserve"> God has passed the test.</w:t>
      </w:r>
      <w:r w:rsidR="00EF0C96">
        <w:rPr>
          <w:lang w:val="en-GB"/>
        </w:rPr>
        <w:t xml:space="preserve"> </w:t>
      </w:r>
      <w:r w:rsidR="00B31304">
        <w:rPr>
          <w:lang w:val="en-GB"/>
        </w:rPr>
        <w:t xml:space="preserve">So it becomes a conviction in the “today” of narrator and listeners </w:t>
      </w:r>
      <w:r w:rsidR="007C5BC3">
        <w:rPr>
          <w:lang w:val="en-GB"/>
        </w:rPr>
        <w:t>that “Yahweh will see to it.” A</w:t>
      </w:r>
      <w:r w:rsidR="00B31304">
        <w:rPr>
          <w:lang w:val="en-GB"/>
        </w:rPr>
        <w:t xml:space="preserve">s they </w:t>
      </w:r>
      <w:r w:rsidR="007C5BC3">
        <w:rPr>
          <w:lang w:val="en-GB"/>
        </w:rPr>
        <w:t xml:space="preserve">themselves </w:t>
      </w:r>
      <w:r w:rsidR="00B31304">
        <w:rPr>
          <w:lang w:val="en-GB"/>
        </w:rPr>
        <w:t>apparently expressed it, “on Yahweh’s mountain it is seen to,” it is provided. “Yahweh’s mountain” is Sinai in Num 10:33</w:t>
      </w:r>
      <w:r w:rsidR="007C5BC3">
        <w:rPr>
          <w:lang w:val="en-GB"/>
        </w:rPr>
        <w:t xml:space="preserve"> and </w:t>
      </w:r>
      <w:r w:rsidR="00B31304">
        <w:rPr>
          <w:lang w:val="en-GB"/>
        </w:rPr>
        <w:t xml:space="preserve">apparently Mount Zion in </w:t>
      </w:r>
      <w:r w:rsidR="007C5BC3">
        <w:rPr>
          <w:lang w:val="en-GB"/>
        </w:rPr>
        <w:t xml:space="preserve">Isa 30:29; </w:t>
      </w:r>
      <w:r w:rsidR="00BF647F">
        <w:rPr>
          <w:lang w:val="en-GB"/>
        </w:rPr>
        <w:t xml:space="preserve">Ps 24:3. More broadly, but </w:t>
      </w:r>
      <w:r w:rsidR="00BF647F">
        <w:t>e</w:t>
      </w:r>
      <w:r w:rsidR="00BF647F" w:rsidRPr="00BF647F">
        <w:t>tymologically, the declaration that God provides and the belief in a doctrine of pro</w:t>
      </w:r>
      <w:r w:rsidR="001619A6">
        <w:t>-</w:t>
      </w:r>
      <w:r w:rsidR="00BF647F" w:rsidRPr="00BF647F">
        <w:t>vidence presuppose that God sees.</w:t>
      </w:r>
      <w:r w:rsidR="00F0761C">
        <w:t xml:space="preserve"> </w:t>
      </w:r>
      <w:r w:rsidR="0001617E">
        <w:rPr>
          <w:lang w:bidi="he-IL"/>
        </w:rPr>
        <w:t>Jerome notes that whenever Jews are in distress and need God’s help, they say “the Lord will be seen on the mountain,” that is, “just as He had pity on Abraham, He will also have pity on us”; and the sounding of the ram’s horn is a reminde</w:t>
      </w:r>
      <w:r w:rsidR="001619A6">
        <w:rPr>
          <w:lang w:bidi="he-IL"/>
        </w:rPr>
        <w:t>r of the ram that was provided.</w:t>
      </w:r>
      <w:r w:rsidR="0001617E">
        <w:rPr>
          <w:rStyle w:val="FootnoteReference"/>
          <w:lang w:bidi="he-IL"/>
        </w:rPr>
        <w:footnoteReference w:id="715"/>
      </w:r>
      <w:r w:rsidR="0001617E">
        <w:rPr>
          <w:lang w:bidi="he-IL"/>
        </w:rPr>
        <w:t xml:space="preserve"> </w:t>
      </w:r>
      <w:r w:rsidR="001619A6">
        <w:rPr>
          <w:lang w:bidi="he-IL"/>
        </w:rPr>
        <w:t>“God not only saw to his own sacrifice, rather he still ‘sees’ in the present and future.”</w:t>
      </w:r>
      <w:r w:rsidR="001619A6">
        <w:rPr>
          <w:rStyle w:val="FootnoteReference"/>
          <w:lang w:bidi="he-IL"/>
        </w:rPr>
        <w:footnoteReference w:id="716"/>
      </w:r>
      <w:r w:rsidR="001619A6">
        <w:rPr>
          <w:lang w:bidi="he-IL"/>
        </w:rPr>
        <w:t xml:space="preserve"> </w:t>
      </w:r>
      <w:r w:rsidR="0001617E">
        <w:rPr>
          <w:lang w:bidi="he-IL"/>
        </w:rPr>
        <w:t>To say that God sees us and sees to things for us</w:t>
      </w:r>
      <w:r w:rsidR="001619A6">
        <w:rPr>
          <w:lang w:bidi="he-IL"/>
        </w:rPr>
        <w:t xml:space="preserve"> is a statement of faith</w:t>
      </w:r>
      <w:r w:rsidR="0001617E">
        <w:rPr>
          <w:lang w:bidi="he-IL"/>
        </w:rPr>
        <w:t xml:space="preserve"> often</w:t>
      </w:r>
      <w:r w:rsidR="001619A6">
        <w:rPr>
          <w:lang w:bidi="he-IL"/>
        </w:rPr>
        <w:t xml:space="preserve"> belied by experience but </w:t>
      </w:r>
      <w:r w:rsidR="0001617E">
        <w:rPr>
          <w:lang w:bidi="he-IL"/>
        </w:rPr>
        <w:t xml:space="preserve">based on the fact that God has seen us and seen to us in spectacular ways. </w:t>
      </w:r>
      <w:r w:rsidR="0001617E" w:rsidRPr="009F245C">
        <w:rPr>
          <w:lang w:bidi="he-IL"/>
        </w:rPr>
        <w:t>“The theodicy evoked by Abraham’s ascent of Mount Moriah is personal, not metaphysical. The binding of Isaac evokes the fear that sacrifice simpl</w:t>
      </w:r>
      <w:r w:rsidR="001619A6">
        <w:rPr>
          <w:lang w:bidi="he-IL"/>
        </w:rPr>
        <w:t>y ends in renunciation and loss,</w:t>
      </w:r>
      <w:r w:rsidR="0001617E" w:rsidRPr="009F245C">
        <w:rPr>
          <w:lang w:bidi="he-IL"/>
        </w:rPr>
        <w:t>”</w:t>
      </w:r>
      <w:r w:rsidR="0001617E" w:rsidRPr="009F245C">
        <w:rPr>
          <w:vertAlign w:val="superscript"/>
          <w:lang w:bidi="he-IL"/>
        </w:rPr>
        <w:footnoteReference w:id="717"/>
      </w:r>
      <w:r w:rsidR="001619A6">
        <w:rPr>
          <w:lang w:bidi="he-IL"/>
        </w:rPr>
        <w:t xml:space="preserve"> b</w:t>
      </w:r>
      <w:r w:rsidR="0001617E">
        <w:rPr>
          <w:lang w:bidi="he-IL"/>
        </w:rPr>
        <w:t>ut it does not.</w:t>
      </w:r>
    </w:p>
    <w:p w14:paraId="27349EF3" w14:textId="3857BBED" w:rsidR="00106814" w:rsidRDefault="007C5BC3" w:rsidP="00682EE6">
      <w:pPr>
        <w:rPr>
          <w:lang w:val="en-GB"/>
        </w:rPr>
      </w:pPr>
      <w:r>
        <w:rPr>
          <w:b/>
          <w:lang w:val="en-GB"/>
        </w:rPr>
        <w:t>22:15-18</w:t>
      </w:r>
      <w:r>
        <w:rPr>
          <w:lang w:val="en-GB"/>
        </w:rPr>
        <w:t>.</w:t>
      </w:r>
      <w:r w:rsidR="00F0761C">
        <w:rPr>
          <w:lang w:val="en-GB"/>
        </w:rPr>
        <w:t xml:space="preserve"> </w:t>
      </w:r>
      <w:proofErr w:type="gramStart"/>
      <w:r w:rsidR="00F0761C">
        <w:rPr>
          <w:lang w:val="en-GB"/>
        </w:rPr>
        <w:t>T</w:t>
      </w:r>
      <w:r w:rsidR="008E5A15">
        <w:rPr>
          <w:lang w:val="en-GB"/>
        </w:rPr>
        <w:t>he</w:t>
      </w:r>
      <w:proofErr w:type="gramEnd"/>
      <w:r w:rsidR="008E5A15">
        <w:rPr>
          <w:lang w:val="en-GB"/>
        </w:rPr>
        <w:t xml:space="preserve"> envoy </w:t>
      </w:r>
      <w:r w:rsidR="00F0761C">
        <w:rPr>
          <w:lang w:val="en-GB"/>
        </w:rPr>
        <w:t xml:space="preserve">again </w:t>
      </w:r>
      <w:r w:rsidR="008E5A15">
        <w:rPr>
          <w:lang w:val="en-GB"/>
        </w:rPr>
        <w:t>speaks, and</w:t>
      </w:r>
      <w:r>
        <w:rPr>
          <w:lang w:val="en-GB"/>
        </w:rPr>
        <w:t xml:space="preserve"> </w:t>
      </w:r>
      <w:r w:rsidR="00A52201">
        <w:rPr>
          <w:lang w:val="en-GB"/>
        </w:rPr>
        <w:t xml:space="preserve">again </w:t>
      </w:r>
      <w:r>
        <w:rPr>
          <w:lang w:val="en-GB"/>
        </w:rPr>
        <w:t xml:space="preserve">speaks as if it </w:t>
      </w:r>
      <w:r w:rsidR="008E5A15">
        <w:rPr>
          <w:lang w:val="en-GB"/>
        </w:rPr>
        <w:t xml:space="preserve">is </w:t>
      </w:r>
      <w:r>
        <w:rPr>
          <w:lang w:val="en-GB"/>
        </w:rPr>
        <w:t>Yahweh hims</w:t>
      </w:r>
      <w:r w:rsidR="008E5A15">
        <w:rPr>
          <w:lang w:val="en-GB"/>
        </w:rPr>
        <w:t>elf speaking. This time he is</w:t>
      </w:r>
      <w:r>
        <w:rPr>
          <w:lang w:val="en-GB"/>
        </w:rPr>
        <w:t xml:space="preserve"> swearing an oath</w:t>
      </w:r>
      <w:r w:rsidR="00437F79">
        <w:rPr>
          <w:lang w:val="en-GB"/>
        </w:rPr>
        <w:t>, the</w:t>
      </w:r>
      <w:r>
        <w:rPr>
          <w:lang w:val="en-GB"/>
        </w:rPr>
        <w:t xml:space="preserve"> </w:t>
      </w:r>
      <w:r w:rsidR="00B42785">
        <w:rPr>
          <w:lang w:val="en-GB"/>
        </w:rPr>
        <w:t xml:space="preserve">kind </w:t>
      </w:r>
      <w:r w:rsidR="00437F79">
        <w:rPr>
          <w:lang w:val="en-GB"/>
        </w:rPr>
        <w:t xml:space="preserve">of </w:t>
      </w:r>
      <w:r>
        <w:rPr>
          <w:lang w:val="en-GB"/>
        </w:rPr>
        <w:t>promise</w:t>
      </w:r>
      <w:r w:rsidR="00F0761C">
        <w:rPr>
          <w:lang w:val="en-GB"/>
        </w:rPr>
        <w:t xml:space="preserve"> </w:t>
      </w:r>
      <w:r w:rsidR="00437F79">
        <w:rPr>
          <w:lang w:val="en-GB"/>
        </w:rPr>
        <w:t>one makes only after serious ref</w:t>
      </w:r>
      <w:r w:rsidR="001619A6">
        <w:rPr>
          <w:lang w:val="en-GB"/>
        </w:rPr>
        <w:t xml:space="preserve">lection and with solemnity and </w:t>
      </w:r>
      <w:r w:rsidR="00437F79">
        <w:rPr>
          <w:lang w:val="en-GB"/>
        </w:rPr>
        <w:t>an awareness that it is not the oath-taker and the recipient alone who are listening</w:t>
      </w:r>
      <w:r>
        <w:rPr>
          <w:lang w:val="en-GB"/>
        </w:rPr>
        <w:t>. In effect Yahweh</w:t>
      </w:r>
      <w:r w:rsidR="0017619C">
        <w:rPr>
          <w:lang w:val="en-GB"/>
        </w:rPr>
        <w:t xml:space="preserve"> swore </w:t>
      </w:r>
      <w:r>
        <w:rPr>
          <w:lang w:val="en-GB"/>
        </w:rPr>
        <w:t>oath</w:t>
      </w:r>
      <w:r w:rsidR="0017619C">
        <w:rPr>
          <w:lang w:val="en-GB"/>
        </w:rPr>
        <w:t>s in Gen 15</w:t>
      </w:r>
      <w:r>
        <w:rPr>
          <w:lang w:val="en-GB"/>
        </w:rPr>
        <w:t xml:space="preserve"> </w:t>
      </w:r>
      <w:r w:rsidR="0017619C">
        <w:rPr>
          <w:lang w:val="en-GB"/>
        </w:rPr>
        <w:t xml:space="preserve">and 17, </w:t>
      </w:r>
      <w:r>
        <w:rPr>
          <w:lang w:val="en-GB"/>
        </w:rPr>
        <w:t>though th</w:t>
      </w:r>
      <w:r w:rsidR="0048461C">
        <w:rPr>
          <w:lang w:val="en-GB"/>
        </w:rPr>
        <w:t>os</w:t>
      </w:r>
      <w:r>
        <w:rPr>
          <w:lang w:val="en-GB"/>
        </w:rPr>
        <w:t>e chapter</w:t>
      </w:r>
      <w:r w:rsidR="0017619C">
        <w:rPr>
          <w:lang w:val="en-GB"/>
        </w:rPr>
        <w:t>s</w:t>
      </w:r>
      <w:r w:rsidR="0048461C">
        <w:rPr>
          <w:lang w:val="en-GB"/>
        </w:rPr>
        <w:t xml:space="preserve"> did not use this</w:t>
      </w:r>
      <w:r>
        <w:rPr>
          <w:lang w:val="en-GB"/>
        </w:rPr>
        <w:t xml:space="preserve"> language</w:t>
      </w:r>
      <w:r w:rsidR="0017619C">
        <w:rPr>
          <w:lang w:val="en-GB"/>
        </w:rPr>
        <w:t xml:space="preserve">. Only human beings have </w:t>
      </w:r>
      <w:r w:rsidR="00D66A20">
        <w:rPr>
          <w:lang w:val="en-GB"/>
        </w:rPr>
        <w:t xml:space="preserve">explicitly </w:t>
      </w:r>
      <w:r w:rsidR="0017619C">
        <w:rPr>
          <w:lang w:val="en-GB"/>
        </w:rPr>
        <w:t>sworn oaths so far in Genesis</w:t>
      </w:r>
      <w:r w:rsidR="008E5A15">
        <w:rPr>
          <w:lang w:val="en-GB"/>
        </w:rPr>
        <w:t xml:space="preserve"> (21:22-32). Now Yahweh</w:t>
      </w:r>
      <w:r w:rsidR="008A6E09">
        <w:rPr>
          <w:lang w:val="en-GB"/>
        </w:rPr>
        <w:t xml:space="preserve"> does so. </w:t>
      </w:r>
      <w:r w:rsidR="00235784">
        <w:rPr>
          <w:lang w:val="en-GB"/>
        </w:rPr>
        <w:t xml:space="preserve">Perhaps the implication is that </w:t>
      </w:r>
      <w:r w:rsidR="00E23FE0">
        <w:rPr>
          <w:lang w:val="en-GB"/>
        </w:rPr>
        <w:t>this was indeed “the last trial</w:t>
      </w:r>
      <w:r w:rsidR="00235784">
        <w:rPr>
          <w:lang w:val="en-GB"/>
        </w:rPr>
        <w:t>”</w:t>
      </w:r>
      <w:r w:rsidR="00E23FE0">
        <w:rPr>
          <w:lang w:val="en-GB"/>
        </w:rPr>
        <w:t xml:space="preserve"> (</w:t>
      </w:r>
      <w:r w:rsidR="00E23FE0">
        <w:t xml:space="preserve">cf. </w:t>
      </w:r>
      <w:r w:rsidR="00E23FE0">
        <w:rPr>
          <w:i/>
        </w:rPr>
        <w:t xml:space="preserve">GenR </w:t>
      </w:r>
      <w:r w:rsidR="00E23FE0">
        <w:t>56:11).</w:t>
      </w:r>
      <w:r w:rsidR="00235784">
        <w:rPr>
          <w:lang w:val="en-GB"/>
        </w:rPr>
        <w:t xml:space="preserve"> </w:t>
      </w:r>
      <w:r w:rsidR="0091096F">
        <w:rPr>
          <w:lang w:val="en-GB"/>
        </w:rPr>
        <w:t>The Tor</w:t>
      </w:r>
      <w:r w:rsidR="001619A6">
        <w:rPr>
          <w:lang w:val="en-GB"/>
        </w:rPr>
        <w:t>ah will often refer back to Yahweh’s</w:t>
      </w:r>
      <w:r w:rsidR="0091096F">
        <w:rPr>
          <w:lang w:val="en-GB"/>
        </w:rPr>
        <w:t xml:space="preserve"> oath</w:t>
      </w:r>
      <w:r w:rsidR="001619A6">
        <w:rPr>
          <w:lang w:val="en-GB"/>
        </w:rPr>
        <w:t>-taking</w:t>
      </w:r>
      <w:r w:rsidR="0091096F" w:rsidRPr="0091096F">
        <w:t xml:space="preserve"> </w:t>
      </w:r>
      <w:r w:rsidR="0091096F">
        <w:t xml:space="preserve">(24:7; 50:24; </w:t>
      </w:r>
      <w:r w:rsidR="0091096F" w:rsidRPr="0091096F">
        <w:t>Exod 13:5, 11; 32:1</w:t>
      </w:r>
      <w:r w:rsidR="0091096F">
        <w:t>3; 33:1, and many times</w:t>
      </w:r>
      <w:r w:rsidR="0091096F" w:rsidRPr="0091096F">
        <w:t xml:space="preserve"> in Deuteronomy)</w:t>
      </w:r>
      <w:r w:rsidR="0091096F">
        <w:rPr>
          <w:lang w:val="en-GB"/>
        </w:rPr>
        <w:t xml:space="preserve">. </w:t>
      </w:r>
      <w:r w:rsidR="00D66A20">
        <w:rPr>
          <w:lang w:val="en-GB"/>
        </w:rPr>
        <w:t>Yahweh</w:t>
      </w:r>
      <w:r w:rsidR="008A6E09">
        <w:rPr>
          <w:lang w:val="en-GB"/>
        </w:rPr>
        <w:t xml:space="preserve"> swears “by himself</w:t>
      </w:r>
      <w:r w:rsidR="008E5A15">
        <w:rPr>
          <w:lang w:val="en-GB"/>
        </w:rPr>
        <w:t xml:space="preserve">” </w:t>
      </w:r>
      <w:r w:rsidR="008A6E09">
        <w:rPr>
          <w:lang w:val="en-GB"/>
        </w:rPr>
        <w:t>(cf. Exod 32:13; Isa 45:13</w:t>
      </w:r>
      <w:r w:rsidR="00D66A20">
        <w:rPr>
          <w:lang w:val="en-GB"/>
        </w:rPr>
        <w:t>; and cf. Heb 6:13-18</w:t>
      </w:r>
      <w:r w:rsidR="008A6E09">
        <w:rPr>
          <w:lang w:val="en-GB"/>
        </w:rPr>
        <w:t xml:space="preserve">). </w:t>
      </w:r>
      <w:r w:rsidR="0062079B">
        <w:rPr>
          <w:lang w:val="en-GB"/>
        </w:rPr>
        <w:t xml:space="preserve">Human beings swear by </w:t>
      </w:r>
      <w:r w:rsidR="00454818">
        <w:rPr>
          <w:lang w:val="en-GB"/>
        </w:rPr>
        <w:t xml:space="preserve">someone or </w:t>
      </w:r>
      <w:r w:rsidR="00D66A20">
        <w:rPr>
          <w:lang w:val="en-GB"/>
        </w:rPr>
        <w:t>something other than themselves, which</w:t>
      </w:r>
      <w:r w:rsidR="00454818">
        <w:rPr>
          <w:lang w:val="en-GB"/>
        </w:rPr>
        <w:t xml:space="preserve"> acts as a</w:t>
      </w:r>
      <w:r w:rsidR="00F0761C">
        <w:rPr>
          <w:lang w:val="en-GB"/>
        </w:rPr>
        <w:t xml:space="preserve"> guarantor of their oath,</w:t>
      </w:r>
      <w:r w:rsidR="00454818">
        <w:rPr>
          <w:lang w:val="en-GB"/>
        </w:rPr>
        <w:t xml:space="preserve"> asking God, in particular, to note</w:t>
      </w:r>
      <w:r w:rsidR="00F0761C">
        <w:rPr>
          <w:lang w:val="en-GB"/>
        </w:rPr>
        <w:t xml:space="preserve"> the oath and to act against them</w:t>
      </w:r>
      <w:r w:rsidR="00454818">
        <w:rPr>
          <w:lang w:val="en-GB"/>
        </w:rPr>
        <w:t xml:space="preserve"> in case of default. </w:t>
      </w:r>
      <w:r w:rsidR="00D66A20">
        <w:rPr>
          <w:lang w:val="en-GB"/>
        </w:rPr>
        <w:t>Yahweh</w:t>
      </w:r>
      <w:r w:rsidR="00197432">
        <w:rPr>
          <w:lang w:val="en-GB"/>
        </w:rPr>
        <w:t xml:space="preserve"> is saying,</w:t>
      </w:r>
      <w:r w:rsidR="00D66A20">
        <w:rPr>
          <w:lang w:val="en-GB"/>
        </w:rPr>
        <w:t xml:space="preserve"> </w:t>
      </w:r>
      <w:r w:rsidR="00F0761C">
        <w:rPr>
          <w:lang w:val="en-GB"/>
        </w:rPr>
        <w:t>“</w:t>
      </w:r>
      <w:r w:rsidR="00682EE6">
        <w:rPr>
          <w:lang w:val="en-GB"/>
        </w:rPr>
        <w:t>I</w:t>
      </w:r>
      <w:r w:rsidR="00D66A20">
        <w:rPr>
          <w:lang w:val="en-GB"/>
        </w:rPr>
        <w:t>t is as if I will punish myself if I fail to do as I say</w:t>
      </w:r>
      <w:r w:rsidR="00682EE6">
        <w:rPr>
          <w:lang w:val="en-GB"/>
        </w:rPr>
        <w:t xml:space="preserve">”; </w:t>
      </w:r>
      <w:r w:rsidR="00D66A20">
        <w:rPr>
          <w:lang w:val="en-GB"/>
        </w:rPr>
        <w:t>or more realistically and profoundly</w:t>
      </w:r>
      <w:r w:rsidR="00682EE6">
        <w:rPr>
          <w:lang w:val="en-GB"/>
        </w:rPr>
        <w:t>, “I</w:t>
      </w:r>
      <w:r w:rsidR="00197432">
        <w:rPr>
          <w:lang w:val="en-GB"/>
        </w:rPr>
        <w:t xml:space="preserve">f I do not keep </w:t>
      </w:r>
      <w:proofErr w:type="gramStart"/>
      <w:r w:rsidR="00197432">
        <w:rPr>
          <w:lang w:val="en-GB"/>
        </w:rPr>
        <w:t>My</w:t>
      </w:r>
      <w:proofErr w:type="gramEnd"/>
      <w:r w:rsidR="00197432">
        <w:rPr>
          <w:lang w:val="en-GB"/>
        </w:rPr>
        <w:t xml:space="preserve"> promises, I shall no longer be He who I am.”</w:t>
      </w:r>
      <w:r w:rsidR="00197432">
        <w:rPr>
          <w:rStyle w:val="FootnoteReference"/>
          <w:lang w:val="en-GB"/>
        </w:rPr>
        <w:footnoteReference w:id="718"/>
      </w:r>
      <w:r w:rsidR="00437F79">
        <w:rPr>
          <w:lang w:val="en-GB"/>
        </w:rPr>
        <w:t xml:space="preserve"> </w:t>
      </w:r>
      <w:r w:rsidR="008E5A15">
        <w:rPr>
          <w:lang w:val="en-GB"/>
        </w:rPr>
        <w:t>As if it were not enough, he adds the phrase “Yahweh’s declaration,” with which</w:t>
      </w:r>
      <w:r w:rsidR="00437F79">
        <w:rPr>
          <w:lang w:val="en-GB"/>
        </w:rPr>
        <w:t xml:space="preserve"> the audience will be</w:t>
      </w:r>
      <w:r w:rsidR="008E5A15">
        <w:rPr>
          <w:lang w:val="en-GB"/>
        </w:rPr>
        <w:t xml:space="preserve"> familiar through the frequency with which it app</w:t>
      </w:r>
      <w:r w:rsidR="00437F79">
        <w:rPr>
          <w:lang w:val="en-GB"/>
        </w:rPr>
        <w:t xml:space="preserve">ears on the lips of prophets. It is </w:t>
      </w:r>
      <w:r w:rsidR="008E5A15">
        <w:rPr>
          <w:lang w:val="en-GB"/>
        </w:rPr>
        <w:t>a way of saying “this really is Yahweh speaking and therefore it really is going to happen” (Num 14:28 is the only other occurrence in the Torah). Yahweh speaks thus on the basis of Abraham</w:t>
      </w:r>
      <w:r w:rsidR="00BC36F3">
        <w:rPr>
          <w:lang w:val="en-GB"/>
        </w:rPr>
        <w:t>’s willingness to give him</w:t>
      </w:r>
      <w:r w:rsidR="008E5A15">
        <w:rPr>
          <w:lang w:val="en-GB"/>
        </w:rPr>
        <w:t xml:space="preserve"> the most important thing he has, the one whom Yahweh himself has designated as the key to the fulfilment of Yahweh’s own promises. </w:t>
      </w:r>
      <w:r w:rsidR="008A0C20">
        <w:rPr>
          <w:lang w:val="en-GB"/>
        </w:rPr>
        <w:t>Yahweh’s command had imperilled these promises; Abraham’s obedience has ope</w:t>
      </w:r>
      <w:r w:rsidR="00BC36F3">
        <w:rPr>
          <w:lang w:val="en-GB"/>
        </w:rPr>
        <w:t>ned the way to their fulfilment, and even their enhancement.</w:t>
      </w:r>
      <w:r w:rsidR="00682EE6">
        <w:rPr>
          <w:lang w:val="en-GB"/>
        </w:rPr>
        <w:t xml:space="preserve"> “You have not spared the son you so longed for…. So take back your son.”</w:t>
      </w:r>
      <w:r w:rsidR="00682EE6">
        <w:rPr>
          <w:rStyle w:val="FootnoteReference"/>
          <w:lang w:val="en-GB"/>
        </w:rPr>
        <w:footnoteReference w:id="719"/>
      </w:r>
    </w:p>
    <w:p w14:paraId="28C2858E" w14:textId="50AE7887" w:rsidR="0025165F" w:rsidRDefault="008E5A15" w:rsidP="003D0F91">
      <w:pPr>
        <w:rPr>
          <w:lang w:val="en-GB"/>
        </w:rPr>
      </w:pPr>
      <w:r>
        <w:rPr>
          <w:lang w:val="en-GB"/>
        </w:rPr>
        <w:t xml:space="preserve">The content of the oath (vv. 17-18) is a variant on the promises </w:t>
      </w:r>
      <w:r w:rsidR="0025165F">
        <w:rPr>
          <w:lang w:val="en-GB"/>
        </w:rPr>
        <w:t xml:space="preserve">Yahweh gave on that first occasion when he said </w:t>
      </w:r>
      <w:r w:rsidR="008E1F8B">
        <w:rPr>
          <w:lang w:val="en-GB"/>
        </w:rPr>
        <w:t>“Get</w:t>
      </w:r>
      <w:r w:rsidR="006B285A">
        <w:rPr>
          <w:lang w:val="en-GB"/>
        </w:rPr>
        <w:t xml:space="preserve"> yourself…” to a place</w:t>
      </w:r>
      <w:r w:rsidR="0025165F">
        <w:rPr>
          <w:lang w:val="en-GB"/>
        </w:rPr>
        <w:t xml:space="preserve"> </w:t>
      </w:r>
      <w:r w:rsidR="006B0CA1">
        <w:rPr>
          <w:lang w:val="en-GB"/>
        </w:rPr>
        <w:t xml:space="preserve">that </w:t>
      </w:r>
      <w:r w:rsidR="0025165F">
        <w:rPr>
          <w:lang w:val="en-GB"/>
        </w:rPr>
        <w:t xml:space="preserve">I </w:t>
      </w:r>
      <w:r w:rsidR="006B0CA1">
        <w:rPr>
          <w:lang w:val="en-GB"/>
        </w:rPr>
        <w:t>will enable you to “see” (12:1</w:t>
      </w:r>
      <w:r w:rsidR="0025165F">
        <w:rPr>
          <w:lang w:val="en-GB"/>
        </w:rPr>
        <w:t>), and on ot</w:t>
      </w:r>
      <w:r w:rsidR="00FA7B8E">
        <w:rPr>
          <w:lang w:val="en-GB"/>
        </w:rPr>
        <w:t>her occasions since:</w:t>
      </w:r>
    </w:p>
    <w:p w14:paraId="498A51AE" w14:textId="77777777" w:rsidR="00176040" w:rsidRDefault="00176040" w:rsidP="003D0F91">
      <w:pPr>
        <w:rPr>
          <w:lang w:val="en-GB"/>
        </w:rPr>
      </w:pPr>
    </w:p>
    <w:p w14:paraId="5A6C69C9" w14:textId="77777777" w:rsidR="00176040" w:rsidRPr="00176040" w:rsidRDefault="00176040" w:rsidP="00176040">
      <w:pPr>
        <w:rPr>
          <w:lang w:val="en-GB"/>
        </w:rPr>
      </w:pPr>
      <w:r w:rsidRPr="00176040">
        <w:rPr>
          <w:lang w:val="en-GB"/>
        </w:rPr>
        <w:t>I will bless you and I intend to make your name big</w:t>
      </w:r>
      <w:r w:rsidR="006B0CA1">
        <w:rPr>
          <w:lang w:val="en-GB"/>
        </w:rPr>
        <w:t>,</w:t>
      </w:r>
      <w:r w:rsidRPr="00176040">
        <w:rPr>
          <w:lang w:val="en-GB"/>
        </w:rPr>
        <w:t xml:space="preserve"> </w:t>
      </w:r>
    </w:p>
    <w:p w14:paraId="0C231B3D" w14:textId="77777777" w:rsidR="00176040" w:rsidRPr="00176040" w:rsidRDefault="00176040" w:rsidP="00176040">
      <w:pPr>
        <w:rPr>
          <w:lang w:val="en-GB"/>
        </w:rPr>
      </w:pPr>
      <w:r w:rsidRPr="00176040">
        <w:rPr>
          <w:lang w:val="en-GB"/>
        </w:rPr>
        <w:tab/>
      </w:r>
      <w:proofErr w:type="gramStart"/>
      <w:r w:rsidRPr="00176040">
        <w:rPr>
          <w:lang w:val="en-GB"/>
        </w:rPr>
        <w:t>and</w:t>
      </w:r>
      <w:proofErr w:type="gramEnd"/>
      <w:r w:rsidRPr="00176040">
        <w:rPr>
          <w:lang w:val="en-GB"/>
        </w:rPr>
        <w:t xml:space="preserve"> you are to become a blessing.</w:t>
      </w:r>
    </w:p>
    <w:p w14:paraId="39D8B71F" w14:textId="77777777" w:rsidR="00176040" w:rsidRPr="00176040" w:rsidRDefault="00176040" w:rsidP="00176040">
      <w:pPr>
        <w:rPr>
          <w:lang w:val="en-GB"/>
        </w:rPr>
      </w:pPr>
      <w:r w:rsidRPr="00176040">
        <w:rPr>
          <w:lang w:val="en-GB"/>
        </w:rPr>
        <w:t xml:space="preserve">I intend to bless the people who bless you, </w:t>
      </w:r>
    </w:p>
    <w:p w14:paraId="49F5F06F" w14:textId="77777777" w:rsidR="00176040" w:rsidRPr="00176040" w:rsidRDefault="00176040" w:rsidP="00176040">
      <w:pPr>
        <w:rPr>
          <w:lang w:val="en-GB"/>
        </w:rPr>
      </w:pPr>
      <w:r w:rsidRPr="00176040">
        <w:rPr>
          <w:lang w:val="en-GB"/>
        </w:rPr>
        <w:tab/>
      </w:r>
      <w:proofErr w:type="gramStart"/>
      <w:r w:rsidRPr="00176040">
        <w:rPr>
          <w:lang w:val="en-GB"/>
        </w:rPr>
        <w:t>but</w:t>
      </w:r>
      <w:proofErr w:type="gramEnd"/>
      <w:r w:rsidRPr="00176040">
        <w:rPr>
          <w:lang w:val="en-GB"/>
        </w:rPr>
        <w:t xml:space="preserve"> the person who diminishes you I will curse. </w:t>
      </w:r>
    </w:p>
    <w:p w14:paraId="7B15B9CC" w14:textId="77777777" w:rsidR="00176040" w:rsidRPr="00176040" w:rsidRDefault="00176040" w:rsidP="00176040">
      <w:pPr>
        <w:rPr>
          <w:lang w:val="en-GB"/>
        </w:rPr>
      </w:pPr>
      <w:r w:rsidRPr="00176040">
        <w:rPr>
          <w:lang w:val="en-GB"/>
        </w:rPr>
        <w:t xml:space="preserve">All the kin-groups on the earth </w:t>
      </w:r>
    </w:p>
    <w:p w14:paraId="0B85C165" w14:textId="77777777" w:rsidR="00176040" w:rsidRPr="00176040" w:rsidRDefault="00326405" w:rsidP="00176040">
      <w:pPr>
        <w:rPr>
          <w:lang w:val="en-GB"/>
        </w:rPr>
      </w:pPr>
      <w:r>
        <w:rPr>
          <w:lang w:val="en-GB"/>
        </w:rPr>
        <w:tab/>
      </w:r>
      <w:proofErr w:type="gramStart"/>
      <w:r>
        <w:rPr>
          <w:lang w:val="en-GB"/>
        </w:rPr>
        <w:t>will</w:t>
      </w:r>
      <w:proofErr w:type="gramEnd"/>
      <w:r>
        <w:rPr>
          <w:lang w:val="en-GB"/>
        </w:rPr>
        <w:t xml:space="preserve"> gain bless</w:t>
      </w:r>
      <w:r w:rsidR="0091096F">
        <w:rPr>
          <w:lang w:val="en-GB"/>
        </w:rPr>
        <w:t>ing</w:t>
      </w:r>
      <w:r w:rsidR="00176040" w:rsidRPr="00176040">
        <w:rPr>
          <w:lang w:val="en-GB"/>
        </w:rPr>
        <w:t xml:space="preserve"> by you. </w:t>
      </w:r>
      <w:r w:rsidR="00176040">
        <w:rPr>
          <w:lang w:val="en-GB"/>
        </w:rPr>
        <w:t>(12:2-3)</w:t>
      </w:r>
    </w:p>
    <w:p w14:paraId="255903F4" w14:textId="77777777" w:rsidR="00176040" w:rsidRDefault="00176040" w:rsidP="003D0F91">
      <w:pPr>
        <w:rPr>
          <w:lang w:val="en-GB"/>
        </w:rPr>
      </w:pPr>
    </w:p>
    <w:p w14:paraId="62F96D52" w14:textId="77777777" w:rsidR="00176040" w:rsidRDefault="00176040" w:rsidP="00927C4A">
      <w:pPr>
        <w:pStyle w:val="Quote"/>
        <w:rPr>
          <w:lang w:val="en-GB"/>
        </w:rPr>
      </w:pPr>
      <w:r w:rsidRPr="00176040">
        <w:rPr>
          <w:lang w:val="en-GB"/>
        </w:rPr>
        <w:t>Look at the heavens, please, and count th</w:t>
      </w:r>
      <w:r w:rsidR="00FA7B8E">
        <w:rPr>
          <w:lang w:val="en-GB"/>
        </w:rPr>
        <w:t>e stars, if you can co</w:t>
      </w:r>
      <w:r w:rsidR="0091096F">
        <w:rPr>
          <w:lang w:val="en-GB"/>
        </w:rPr>
        <w:t>unt them…. T</w:t>
      </w:r>
      <w:r w:rsidRPr="00176040">
        <w:rPr>
          <w:lang w:val="en-GB"/>
        </w:rPr>
        <w:t>hat’s wh</w:t>
      </w:r>
      <w:r w:rsidR="00FA7B8E">
        <w:rPr>
          <w:lang w:val="en-GB"/>
        </w:rPr>
        <w:t>at your offspring will be like.</w:t>
      </w:r>
      <w:r>
        <w:rPr>
          <w:lang w:val="en-GB"/>
        </w:rPr>
        <w:t xml:space="preserve"> (15:5)</w:t>
      </w:r>
    </w:p>
    <w:p w14:paraId="15E3E026" w14:textId="77777777" w:rsidR="00FA7B8E" w:rsidRDefault="00FA7B8E" w:rsidP="00927C4A">
      <w:pPr>
        <w:pStyle w:val="Quote"/>
        <w:rPr>
          <w:lang w:val="en-GB"/>
        </w:rPr>
      </w:pPr>
    </w:p>
    <w:p w14:paraId="621AC0DC" w14:textId="7EB72225" w:rsidR="00FA7B8E" w:rsidRDefault="00FA7B8E" w:rsidP="00927C4A">
      <w:pPr>
        <w:pStyle w:val="Quote"/>
        <w:rPr>
          <w:lang w:val="en-GB"/>
        </w:rPr>
      </w:pPr>
      <w:r w:rsidRPr="00FA7B8E">
        <w:rPr>
          <w:lang w:val="en-GB"/>
        </w:rPr>
        <w:t>I am Yahweh who got you out from Ur of the</w:t>
      </w:r>
      <w:r w:rsidR="0067741C">
        <w:t xml:space="preserve"> Ka</w:t>
      </w:r>
      <w:r w:rsidR="0067741C">
        <w:rPr>
          <w:rFonts w:cs="Calibri"/>
        </w:rPr>
        <w:t>ś</w:t>
      </w:r>
      <w:r w:rsidRPr="00FA7B8E">
        <w:t>dites</w:t>
      </w:r>
      <w:r w:rsidRPr="00FA7B8E">
        <w:rPr>
          <w:lang w:val="en-GB"/>
        </w:rPr>
        <w:t xml:space="preserve"> to give you this country as a possession.</w:t>
      </w:r>
      <w:r>
        <w:rPr>
          <w:lang w:val="en-GB"/>
        </w:rPr>
        <w:t xml:space="preserve"> (15:7)</w:t>
      </w:r>
    </w:p>
    <w:p w14:paraId="37659476" w14:textId="77777777" w:rsidR="00FA7B8E" w:rsidRDefault="00FA7B8E" w:rsidP="00927C4A">
      <w:pPr>
        <w:pStyle w:val="Quote"/>
        <w:rPr>
          <w:lang w:val="en-GB"/>
        </w:rPr>
      </w:pPr>
    </w:p>
    <w:p w14:paraId="4EFD32DB" w14:textId="77777777" w:rsidR="00EF6005" w:rsidRPr="00EF6005" w:rsidRDefault="00EF6005" w:rsidP="00927C4A">
      <w:pPr>
        <w:pStyle w:val="Quote"/>
        <w:rPr>
          <w:lang w:val="en-GB"/>
        </w:rPr>
      </w:pPr>
      <w:r w:rsidRPr="00EF6005">
        <w:rPr>
          <w:lang w:val="en-GB"/>
        </w:rPr>
        <w:t>I will m</w:t>
      </w:r>
      <w:r w:rsidR="006B0CA1">
        <w:rPr>
          <w:lang w:val="en-GB"/>
        </w:rPr>
        <w:t>ake your offspring really</w:t>
      </w:r>
      <w:r>
        <w:rPr>
          <w:lang w:val="en-GB"/>
        </w:rPr>
        <w:t xml:space="preserve"> numerous</w:t>
      </w:r>
      <w:r w:rsidRPr="00EF6005">
        <w:rPr>
          <w:lang w:val="en-GB"/>
        </w:rPr>
        <w:t xml:space="preserve">, </w:t>
      </w:r>
    </w:p>
    <w:p w14:paraId="6294DA0B" w14:textId="61BD85D2" w:rsidR="00EF6005" w:rsidRPr="00EF6005" w:rsidRDefault="00EF6005" w:rsidP="00EF6005">
      <w:pPr>
        <w:rPr>
          <w:lang w:val="en-GB"/>
        </w:rPr>
      </w:pPr>
      <w:r w:rsidRPr="00EF6005">
        <w:rPr>
          <w:lang w:val="en-GB"/>
        </w:rPr>
        <w:tab/>
      </w:r>
      <w:proofErr w:type="gramStart"/>
      <w:r w:rsidRPr="00EF6005">
        <w:rPr>
          <w:lang w:val="en-GB"/>
        </w:rPr>
        <w:t>and</w:t>
      </w:r>
      <w:proofErr w:type="gramEnd"/>
      <w:r w:rsidRPr="00EF6005">
        <w:rPr>
          <w:lang w:val="en-GB"/>
        </w:rPr>
        <w:t xml:space="preserve"> they won’t be able to be cou</w:t>
      </w:r>
      <w:r>
        <w:rPr>
          <w:lang w:val="en-GB"/>
        </w:rPr>
        <w:t xml:space="preserve">nted </w:t>
      </w:r>
      <w:r w:rsidR="00682EE6">
        <w:rPr>
          <w:lang w:val="en-GB"/>
        </w:rPr>
        <w:t xml:space="preserve">up </w:t>
      </w:r>
      <w:r>
        <w:rPr>
          <w:lang w:val="en-GB"/>
        </w:rPr>
        <w:t>because of the number</w:t>
      </w:r>
      <w:r w:rsidRPr="00EF6005">
        <w:rPr>
          <w:lang w:val="en-GB"/>
        </w:rPr>
        <w:t>.</w:t>
      </w:r>
      <w:r>
        <w:rPr>
          <w:lang w:val="en-GB"/>
        </w:rPr>
        <w:t xml:space="preserve"> (16:10)</w:t>
      </w:r>
    </w:p>
    <w:p w14:paraId="037DB3B6" w14:textId="77777777" w:rsidR="00EF6005" w:rsidRPr="007C5BC3" w:rsidRDefault="00EF6005" w:rsidP="003D0F91">
      <w:pPr>
        <w:rPr>
          <w:lang w:val="en-GB"/>
        </w:rPr>
      </w:pPr>
    </w:p>
    <w:p w14:paraId="08640D2F" w14:textId="77777777" w:rsidR="005D06CE" w:rsidRDefault="005D06CE" w:rsidP="00927C4A">
      <w:pPr>
        <w:pStyle w:val="Quote"/>
      </w:pPr>
      <w:r w:rsidRPr="005D06CE">
        <w:rPr>
          <w:lang w:val="en-GB"/>
        </w:rPr>
        <w:t xml:space="preserve">Abraham is indeed to become a big, numerous nation, and all the nations on the earth are to </w:t>
      </w:r>
      <w:r w:rsidR="0091096F">
        <w:rPr>
          <w:lang w:val="en-GB"/>
        </w:rPr>
        <w:t>gain blessing</w:t>
      </w:r>
      <w:r w:rsidRPr="005D06CE">
        <w:rPr>
          <w:lang w:val="en-GB"/>
        </w:rPr>
        <w:t xml:space="preserve"> by him</w:t>
      </w:r>
      <w:r>
        <w:rPr>
          <w:lang w:val="en-GB"/>
        </w:rPr>
        <w:t>. (18:18)</w:t>
      </w:r>
    </w:p>
    <w:p w14:paraId="015A832B" w14:textId="77777777" w:rsidR="005D06CE" w:rsidRDefault="005D06CE" w:rsidP="003D0F91">
      <w:pPr>
        <w:rPr>
          <w:lang w:bidi="he-IL"/>
        </w:rPr>
      </w:pPr>
    </w:p>
    <w:p w14:paraId="0866B9DA" w14:textId="77777777" w:rsidR="001C0E3F" w:rsidRDefault="006B0CA1" w:rsidP="002C4149">
      <w:pPr>
        <w:pStyle w:val="NoSpacing"/>
        <w:rPr>
          <w:lang w:bidi="he-IL"/>
        </w:rPr>
      </w:pPr>
      <w:r>
        <w:rPr>
          <w:lang w:bidi="he-IL"/>
        </w:rPr>
        <w:t xml:space="preserve">“I will bless you” becomes “I will really bless you.” </w:t>
      </w:r>
      <w:r w:rsidR="006C7EF0">
        <w:rPr>
          <w:lang w:bidi="he-IL"/>
        </w:rPr>
        <w:t xml:space="preserve">The image of the sand on the seashore complements the image of the stars in the sky. </w:t>
      </w:r>
      <w:r w:rsidR="005D06CE">
        <w:rPr>
          <w:lang w:bidi="he-IL"/>
        </w:rPr>
        <w:t xml:space="preserve">The reference to possession becomes the promise that Abraham’s offspring will take possession of </w:t>
      </w:r>
      <w:r w:rsidR="001A3891">
        <w:rPr>
          <w:lang w:bidi="he-IL"/>
        </w:rPr>
        <w:t>their opponent</w:t>
      </w:r>
      <w:r w:rsidR="001C0E3F">
        <w:rPr>
          <w:lang w:bidi="he-IL"/>
        </w:rPr>
        <w:t xml:space="preserve">s’ gateway. </w:t>
      </w:r>
      <w:r w:rsidR="001A3891">
        <w:rPr>
          <w:lang w:bidi="he-IL"/>
        </w:rPr>
        <w:t xml:space="preserve">The talk of victory over people who are hostile to them corresponds to the promise that Yahweh will curse anyone who diminishes them. </w:t>
      </w:r>
      <w:r w:rsidR="001C0E3F">
        <w:rPr>
          <w:lang w:bidi="he-IL"/>
        </w:rPr>
        <w:t xml:space="preserve">Whereas </w:t>
      </w:r>
      <w:r w:rsidR="0091096F">
        <w:rPr>
          <w:lang w:bidi="he-IL"/>
        </w:rPr>
        <w:t>the gateway was literal in 19:1</w:t>
      </w:r>
      <w:r w:rsidR="001C0E3F">
        <w:rPr>
          <w:lang w:bidi="he-IL"/>
        </w:rPr>
        <w:t xml:space="preserve">, here it has become a metaphor: the gateway stands for the town </w:t>
      </w:r>
      <w:r w:rsidR="00051509">
        <w:rPr>
          <w:lang w:bidi="he-IL"/>
        </w:rPr>
        <w:t>to which the gateway leads</w:t>
      </w:r>
      <w:r w:rsidR="001C0E3F">
        <w:rPr>
          <w:lang w:bidi="he-IL"/>
        </w:rPr>
        <w:t>.</w:t>
      </w:r>
      <w:r w:rsidR="00051509">
        <w:rPr>
          <w:lang w:bidi="he-IL"/>
        </w:rPr>
        <w:t xml:space="preserve"> And </w:t>
      </w:r>
      <w:r w:rsidR="005D06CE">
        <w:rPr>
          <w:lang w:bidi="he-IL"/>
        </w:rPr>
        <w:t>“</w:t>
      </w:r>
      <w:r w:rsidR="002C4149">
        <w:rPr>
          <w:lang w:bidi="he-IL"/>
        </w:rPr>
        <w:t>gain blessing</w:t>
      </w:r>
      <w:r w:rsidR="005D06CE">
        <w:rPr>
          <w:lang w:bidi="he-IL"/>
        </w:rPr>
        <w:t>” beco</w:t>
      </w:r>
      <w:r w:rsidR="000C5FE9">
        <w:rPr>
          <w:lang w:bidi="he-IL"/>
        </w:rPr>
        <w:t xml:space="preserve">mes </w:t>
      </w:r>
      <w:r w:rsidR="002C4149">
        <w:rPr>
          <w:lang w:bidi="he-IL"/>
        </w:rPr>
        <w:t>“bless themselves,” which</w:t>
      </w:r>
      <w:r w:rsidR="000C5FE9">
        <w:rPr>
          <w:lang w:bidi="he-IL"/>
        </w:rPr>
        <w:t xml:space="preserve"> suggests the idea of praying to be blessed as Abraham is blessed. </w:t>
      </w:r>
      <w:r w:rsidR="002C4149">
        <w:rPr>
          <w:lang w:bidi="he-IL"/>
        </w:rPr>
        <w:t>Apparently there i</w:t>
      </w:r>
      <w:r w:rsidR="00106814" w:rsidRPr="00106814">
        <w:rPr>
          <w:lang w:bidi="he-IL"/>
        </w:rPr>
        <w:t>s no conflict between Abraham’s offspring ta</w:t>
      </w:r>
      <w:r w:rsidR="001A3891">
        <w:rPr>
          <w:lang w:bidi="he-IL"/>
        </w:rPr>
        <w:t>king possession of their attackers</w:t>
      </w:r>
      <w:r w:rsidR="00106814" w:rsidRPr="00106814">
        <w:rPr>
          <w:lang w:bidi="he-IL"/>
        </w:rPr>
        <w:t>’ towns and all the nations of the earth finding blessing through these offspring</w:t>
      </w:r>
      <w:r w:rsidR="001A3891">
        <w:rPr>
          <w:lang w:bidi="he-IL"/>
        </w:rPr>
        <w:t>: nations will choose wheth</w:t>
      </w:r>
      <w:r w:rsidR="002C0952">
        <w:rPr>
          <w:lang w:bidi="he-IL"/>
        </w:rPr>
        <w:t>er they open themselves to bless</w:t>
      </w:r>
      <w:r w:rsidR="001A3891">
        <w:rPr>
          <w:lang w:bidi="he-IL"/>
        </w:rPr>
        <w:t>ing or cursing</w:t>
      </w:r>
      <w:r w:rsidR="00106814" w:rsidRPr="00106814">
        <w:rPr>
          <w:lang w:bidi="he-IL"/>
        </w:rPr>
        <w:t>.</w:t>
      </w:r>
      <w:r w:rsidR="002C4149">
        <w:rPr>
          <w:lang w:bidi="he-IL"/>
        </w:rPr>
        <w:t xml:space="preserve"> </w:t>
      </w:r>
      <w:r w:rsidR="002C4149" w:rsidRPr="002C4149">
        <w:rPr>
          <w:lang w:bidi="he-IL"/>
        </w:rPr>
        <w:t>There are further parallels with the promises regarding Ishmael in Gen 17.</w:t>
      </w:r>
      <w:r w:rsidR="002C4149">
        <w:rPr>
          <w:lang w:bidi="he-IL"/>
        </w:rPr>
        <w:t xml:space="preserve"> And i</w:t>
      </w:r>
      <w:r w:rsidR="001C0E3F">
        <w:rPr>
          <w:lang w:bidi="he-IL"/>
        </w:rPr>
        <w:t>t is all because Abraham heeded without question the imperious</w:t>
      </w:r>
      <w:r w:rsidR="000C5FE9">
        <w:rPr>
          <w:lang w:bidi="he-IL"/>
        </w:rPr>
        <w:t xml:space="preserve"> demand in vv. 1-2 (v. 18b).</w:t>
      </w:r>
    </w:p>
    <w:p w14:paraId="67F4A0A2" w14:textId="77777777" w:rsidR="00A367F2" w:rsidRDefault="00A367F2" w:rsidP="003D0F91">
      <w:pPr>
        <w:rPr>
          <w:lang w:bidi="he-IL"/>
        </w:rPr>
      </w:pPr>
      <w:r>
        <w:rPr>
          <w:lang w:bidi="he-IL"/>
        </w:rPr>
        <w:t xml:space="preserve">The test is over (v. 19). </w:t>
      </w:r>
      <w:r w:rsidR="00CF2606">
        <w:rPr>
          <w:lang w:bidi="he-IL"/>
        </w:rPr>
        <w:t>Presumably I</w:t>
      </w:r>
      <w:r w:rsidR="00051509">
        <w:rPr>
          <w:lang w:bidi="he-IL"/>
        </w:rPr>
        <w:t>saac returned</w:t>
      </w:r>
      <w:r w:rsidR="00CF2606">
        <w:rPr>
          <w:lang w:bidi="he-IL"/>
        </w:rPr>
        <w:t xml:space="preserve"> too, unless he went off to study Torah </w:t>
      </w:r>
      <w:r w:rsidR="000721E0">
        <w:rPr>
          <w:lang w:bidi="he-IL"/>
        </w:rPr>
        <w:t xml:space="preserve">(cf. TgPsJ) </w:t>
      </w:r>
      <w:r w:rsidR="00CF2606">
        <w:rPr>
          <w:lang w:bidi="he-IL"/>
        </w:rPr>
        <w:t>or to get counseling for post-traumatic stress diso</w:t>
      </w:r>
      <w:r w:rsidR="00A24572">
        <w:rPr>
          <w:lang w:bidi="he-IL"/>
        </w:rPr>
        <w:t xml:space="preserve">rder or to think about the marriage for which he is now ready </w:t>
      </w:r>
      <w:r w:rsidR="00A24572" w:rsidRPr="00A24572">
        <w:rPr>
          <w:lang w:bidi="he-IL"/>
        </w:rPr>
        <w:t>(cf. Gen 24) because he has faced his own death.</w:t>
      </w:r>
      <w:r w:rsidR="00A24572" w:rsidRPr="00A24572">
        <w:rPr>
          <w:vertAlign w:val="superscript"/>
          <w:lang w:bidi="he-IL"/>
        </w:rPr>
        <w:footnoteReference w:id="720"/>
      </w:r>
      <w:r w:rsidR="00A24572">
        <w:rPr>
          <w:lang w:bidi="he-IL"/>
        </w:rPr>
        <w:t xml:space="preserve"> B</w:t>
      </w:r>
      <w:r w:rsidR="00CF2606">
        <w:rPr>
          <w:lang w:bidi="he-IL"/>
        </w:rPr>
        <w:t>ut this story is abou</w:t>
      </w:r>
      <w:r w:rsidR="002F78D1">
        <w:rPr>
          <w:lang w:bidi="he-IL"/>
        </w:rPr>
        <w:t>t Abraham,</w:t>
      </w:r>
      <w:r w:rsidR="00CF2606" w:rsidRPr="00CF2606">
        <w:rPr>
          <w:vertAlign w:val="superscript"/>
          <w:lang w:bidi="he-IL"/>
        </w:rPr>
        <w:footnoteReference w:id="721"/>
      </w:r>
      <w:r w:rsidR="002F78D1">
        <w:rPr>
          <w:lang w:bidi="he-IL"/>
        </w:rPr>
        <w:t xml:space="preserve"> and the omission of reference to Isaac perhaps reflects Abraham’s really having given up Isaac.</w:t>
      </w:r>
      <w:r w:rsidR="002F78D1">
        <w:rPr>
          <w:rStyle w:val="FootnoteReference"/>
          <w:lang w:bidi="he-IL"/>
        </w:rPr>
        <w:footnoteReference w:id="722"/>
      </w:r>
      <w:r w:rsidR="00CF2606" w:rsidRPr="00CF2606">
        <w:rPr>
          <w:lang w:bidi="he-IL"/>
        </w:rPr>
        <w:t xml:space="preserve"> </w:t>
      </w:r>
      <w:r w:rsidR="002C4149">
        <w:rPr>
          <w:lang w:bidi="he-IL"/>
        </w:rPr>
        <w:t>E</w:t>
      </w:r>
      <w:r w:rsidR="008A0C20">
        <w:rPr>
          <w:lang w:bidi="he-IL"/>
        </w:rPr>
        <w:t>veryone just goes home and life continues</w:t>
      </w:r>
      <w:r w:rsidR="00185F08">
        <w:rPr>
          <w:lang w:bidi="he-IL"/>
        </w:rPr>
        <w:t>; Abraham, Isaac, and Sarah lived happily ever after, Josephus more or less says (</w:t>
      </w:r>
      <w:r w:rsidR="00185F08">
        <w:rPr>
          <w:i/>
          <w:lang w:bidi="he-IL"/>
        </w:rPr>
        <w:t xml:space="preserve">Antiquities </w:t>
      </w:r>
      <w:r w:rsidR="00051509">
        <w:rPr>
          <w:lang w:bidi="he-IL"/>
        </w:rPr>
        <w:t>I</w:t>
      </w:r>
      <w:r w:rsidR="00185F08">
        <w:rPr>
          <w:lang w:bidi="he-IL"/>
        </w:rPr>
        <w:t>, 13:4)</w:t>
      </w:r>
      <w:r w:rsidR="008A0C20">
        <w:rPr>
          <w:lang w:bidi="he-IL"/>
        </w:rPr>
        <w:t xml:space="preserve">. </w:t>
      </w:r>
      <w:r w:rsidR="00E07715">
        <w:rPr>
          <w:lang w:bidi="he-IL"/>
        </w:rPr>
        <w:t xml:space="preserve">Except that Sarah has not been mentioned, and Abraham returns to Beer Sheba, whereas Sarah dies in Hebron. “Thus the text reads as though husband and wife were never </w:t>
      </w:r>
      <w:r w:rsidR="0023119A">
        <w:rPr>
          <w:lang w:bidi="he-IL"/>
        </w:rPr>
        <w:t>reunited in life.”</w:t>
      </w:r>
      <w:r w:rsidR="0023119A">
        <w:rPr>
          <w:rStyle w:val="FootnoteReference"/>
          <w:lang w:bidi="he-IL"/>
        </w:rPr>
        <w:footnoteReference w:id="723"/>
      </w:r>
      <w:r w:rsidR="0023119A">
        <w:rPr>
          <w:lang w:bidi="he-IL"/>
        </w:rPr>
        <w:t xml:space="preserve"> </w:t>
      </w:r>
      <w:r>
        <w:rPr>
          <w:lang w:bidi="he-IL"/>
        </w:rPr>
        <w:t xml:space="preserve">As there was no </w:t>
      </w:r>
      <w:r w:rsidR="00051509">
        <w:rPr>
          <w:lang w:bidi="he-IL"/>
        </w:rPr>
        <w:t xml:space="preserve">direct </w:t>
      </w:r>
      <w:r>
        <w:rPr>
          <w:lang w:bidi="he-IL"/>
        </w:rPr>
        <w:t>indication of Abraham’s feeling</w:t>
      </w:r>
      <w:r w:rsidR="00051509">
        <w:rPr>
          <w:lang w:bidi="he-IL"/>
        </w:rPr>
        <w:t>s</w:t>
      </w:r>
      <w:r>
        <w:rPr>
          <w:lang w:bidi="he-IL"/>
        </w:rPr>
        <w:t xml:space="preserve"> about the </w:t>
      </w:r>
      <w:r w:rsidR="00051509">
        <w:rPr>
          <w:lang w:bidi="he-IL"/>
        </w:rPr>
        <w:t xml:space="preserve">original </w:t>
      </w:r>
      <w:r>
        <w:rPr>
          <w:lang w:bidi="he-IL"/>
        </w:rPr>
        <w:t xml:space="preserve">command, </w:t>
      </w:r>
      <w:r>
        <w:rPr>
          <w:lang w:bidi="he-IL"/>
        </w:rPr>
        <w:lastRenderedPageBreak/>
        <w:t>so there is no indication of his feelings about the deliverance, nor any indication of Isaac’s feelings</w:t>
      </w:r>
      <w:r w:rsidR="00533DEB">
        <w:rPr>
          <w:lang w:bidi="he-IL"/>
        </w:rPr>
        <w:t>, still less any indication of Sarah’s, which became a</w:t>
      </w:r>
      <w:r w:rsidR="00051509">
        <w:rPr>
          <w:lang w:bidi="he-IL"/>
        </w:rPr>
        <w:t>nother</w:t>
      </w:r>
      <w:r w:rsidR="00533DEB">
        <w:rPr>
          <w:lang w:bidi="he-IL"/>
        </w:rPr>
        <w:t xml:space="preserve"> focus of Jewish reflection</w:t>
      </w:r>
      <w:r>
        <w:rPr>
          <w:lang w:bidi="he-IL"/>
        </w:rPr>
        <w:t>.</w:t>
      </w:r>
      <w:r w:rsidR="00533DEB">
        <w:rPr>
          <w:rStyle w:val="FootnoteReference"/>
          <w:lang w:bidi="he-IL"/>
        </w:rPr>
        <w:footnoteReference w:id="724"/>
      </w:r>
      <w:r w:rsidR="00051509">
        <w:rPr>
          <w:lang w:bidi="he-IL"/>
        </w:rPr>
        <w:t xml:space="preserve"> S</w:t>
      </w:r>
      <w:r>
        <w:rPr>
          <w:lang w:bidi="he-IL"/>
        </w:rPr>
        <w:t xml:space="preserve">uch considerations are not the </w:t>
      </w:r>
      <w:r w:rsidR="00051509">
        <w:rPr>
          <w:lang w:bidi="he-IL"/>
        </w:rPr>
        <w:t>story’s point</w:t>
      </w:r>
      <w:r>
        <w:rPr>
          <w:lang w:bidi="he-IL"/>
        </w:rPr>
        <w:t xml:space="preserve">. </w:t>
      </w:r>
      <w:r w:rsidR="00051509">
        <w:rPr>
          <w:lang w:bidi="he-IL"/>
        </w:rPr>
        <w:t>“T</w:t>
      </w:r>
      <w:r w:rsidR="0025290A">
        <w:rPr>
          <w:lang w:bidi="he-IL"/>
        </w:rPr>
        <w:t>he question whe</w:t>
      </w:r>
      <w:r w:rsidR="00051509">
        <w:rPr>
          <w:lang w:bidi="he-IL"/>
        </w:rPr>
        <w:t>ther Isaac will be sacrificed” wa</w:t>
      </w:r>
      <w:r w:rsidR="0025290A">
        <w:rPr>
          <w:lang w:bidi="he-IL"/>
        </w:rPr>
        <w:t>s less important than the question “whether Abraham will stand up to the test.”</w:t>
      </w:r>
      <w:r w:rsidR="0025290A">
        <w:rPr>
          <w:rStyle w:val="FootnoteReference"/>
          <w:lang w:bidi="he-IL"/>
        </w:rPr>
        <w:footnoteReference w:id="725"/>
      </w:r>
      <w:r w:rsidR="0025290A">
        <w:rPr>
          <w:lang w:bidi="he-IL"/>
        </w:rPr>
        <w:t xml:space="preserve"> </w:t>
      </w:r>
      <w:r>
        <w:rPr>
          <w:lang w:bidi="he-IL"/>
        </w:rPr>
        <w:t>The point is that Yahweh issues a command, that Abraham obeys it, and that Yahweh declares his commitment to fulfilling his promises.</w:t>
      </w:r>
    </w:p>
    <w:p w14:paraId="2EC35449" w14:textId="77777777" w:rsidR="003A5710" w:rsidRDefault="00F2653F" w:rsidP="003A5710">
      <w:pPr>
        <w:pStyle w:val="Heading2"/>
        <w:rPr>
          <w:lang w:bidi="he-IL"/>
        </w:rPr>
      </w:pPr>
      <w:r>
        <w:rPr>
          <w:lang w:bidi="he-IL"/>
        </w:rPr>
        <w:t>Reason,</w:t>
      </w:r>
      <w:r w:rsidR="002C4149">
        <w:rPr>
          <w:lang w:bidi="he-IL"/>
        </w:rPr>
        <w:t xml:space="preserve"> Trust</w:t>
      </w:r>
      <w:r>
        <w:rPr>
          <w:lang w:bidi="he-IL"/>
        </w:rPr>
        <w:t>, Submis</w:t>
      </w:r>
      <w:r w:rsidR="003139AB">
        <w:rPr>
          <w:lang w:bidi="he-IL"/>
        </w:rPr>
        <w:t>s</w:t>
      </w:r>
      <w:r>
        <w:rPr>
          <w:lang w:bidi="he-IL"/>
        </w:rPr>
        <w:t>ion</w:t>
      </w:r>
    </w:p>
    <w:p w14:paraId="16854632" w14:textId="77777777" w:rsidR="00E01DD1" w:rsidRDefault="00957247" w:rsidP="00E01DD1">
      <w:pPr>
        <w:rPr>
          <w:lang w:bidi="he-IL"/>
        </w:rPr>
      </w:pPr>
      <w:r>
        <w:rPr>
          <w:lang w:bidi="he-IL"/>
        </w:rPr>
        <w:t>“</w:t>
      </w:r>
      <w:r w:rsidR="00C0490A">
        <w:rPr>
          <w:lang w:bidi="he-IL"/>
        </w:rPr>
        <w:t>In the earliest stages of commentary on, or allusion to, the Abraham story, it was not experienced as particularly prominent or problematic.”</w:t>
      </w:r>
      <w:r w:rsidR="00C0490A">
        <w:rPr>
          <w:rStyle w:val="FootnoteReference"/>
          <w:lang w:bidi="he-IL"/>
        </w:rPr>
        <w:footnoteReference w:id="726"/>
      </w:r>
      <w:r>
        <w:rPr>
          <w:lang w:bidi="he-IL"/>
        </w:rPr>
        <w:t xml:space="preserve"> </w:t>
      </w:r>
      <w:r w:rsidR="002C1884">
        <w:rPr>
          <w:lang w:bidi="he-IL"/>
        </w:rPr>
        <w:t>Calvin, for instance, gives the chapter similar space to the chapters that precede.</w:t>
      </w:r>
      <w:r w:rsidR="002C1884">
        <w:rPr>
          <w:rStyle w:val="FootnoteReference"/>
          <w:lang w:bidi="he-IL"/>
        </w:rPr>
        <w:footnoteReference w:id="727"/>
      </w:r>
      <w:r w:rsidR="002C1884">
        <w:rPr>
          <w:lang w:bidi="he-IL"/>
        </w:rPr>
        <w:t xml:space="preserve"> </w:t>
      </w:r>
      <w:r w:rsidR="000A62F6">
        <w:rPr>
          <w:lang w:bidi="he-IL"/>
        </w:rPr>
        <w:t>I</w:t>
      </w:r>
      <w:r w:rsidR="00A06FC4">
        <w:rPr>
          <w:lang w:bidi="he-IL"/>
        </w:rPr>
        <w:t>n contrast, i</w:t>
      </w:r>
      <w:r w:rsidR="00CE48A2">
        <w:rPr>
          <w:lang w:bidi="he-IL"/>
        </w:rPr>
        <w:t xml:space="preserve">ts omission from the </w:t>
      </w:r>
      <w:r w:rsidR="00CE48A2">
        <w:rPr>
          <w:i/>
          <w:lang w:bidi="he-IL"/>
        </w:rPr>
        <w:t xml:space="preserve">Revised Common Lectionary </w:t>
      </w:r>
      <w:r w:rsidR="00CE48A2">
        <w:rPr>
          <w:lang w:bidi="he-IL"/>
        </w:rPr>
        <w:t>perhaps reflects the extent to which in a modern Western contex</w:t>
      </w:r>
      <w:r w:rsidR="002C1884">
        <w:rPr>
          <w:lang w:bidi="he-IL"/>
        </w:rPr>
        <w:t>t</w:t>
      </w:r>
      <w:r w:rsidR="00CE48A2">
        <w:rPr>
          <w:lang w:bidi="he-IL"/>
        </w:rPr>
        <w:t xml:space="preserve"> it seems “disturbing.”</w:t>
      </w:r>
      <w:r w:rsidR="00CE48A2">
        <w:rPr>
          <w:rStyle w:val="FootnoteReference"/>
          <w:lang w:bidi="he-IL"/>
        </w:rPr>
        <w:footnoteReference w:id="728"/>
      </w:r>
      <w:r w:rsidR="00CE48A2">
        <w:rPr>
          <w:lang w:bidi="he-IL"/>
        </w:rPr>
        <w:t xml:space="preserve"> </w:t>
      </w:r>
    </w:p>
    <w:p w14:paraId="11E29F32" w14:textId="33C94791" w:rsidR="00C13CCC" w:rsidRDefault="00150498" w:rsidP="00E01DD1">
      <w:pPr>
        <w:rPr>
          <w:lang w:bidi="he-IL"/>
        </w:rPr>
      </w:pPr>
      <w:r>
        <w:rPr>
          <w:lang w:bidi="he-IL"/>
        </w:rPr>
        <w:t xml:space="preserve">In </w:t>
      </w:r>
      <w:r w:rsidR="000354A2">
        <w:rPr>
          <w:lang w:bidi="he-IL"/>
        </w:rPr>
        <w:t>the eighteenth century</w:t>
      </w:r>
      <w:r w:rsidR="00C13CCC">
        <w:rPr>
          <w:lang w:bidi="he-IL"/>
        </w:rPr>
        <w:t xml:space="preserve"> </w:t>
      </w:r>
      <w:r w:rsidR="000354A2" w:rsidRPr="00A01D96">
        <w:rPr>
          <w:lang w:bidi="he-IL"/>
        </w:rPr>
        <w:t>Immanuel Kant</w:t>
      </w:r>
      <w:r w:rsidR="00C13CCC">
        <w:rPr>
          <w:lang w:bidi="he-IL"/>
        </w:rPr>
        <w:t xml:space="preserve"> </w:t>
      </w:r>
      <w:r w:rsidR="00A01D96">
        <w:rPr>
          <w:lang w:bidi="he-IL"/>
        </w:rPr>
        <w:t>comments on its unreasonableness</w:t>
      </w:r>
      <w:r>
        <w:rPr>
          <w:lang w:bidi="he-IL"/>
        </w:rPr>
        <w:t xml:space="preserve"> in </w:t>
      </w:r>
      <w:r w:rsidRPr="00150498">
        <w:rPr>
          <w:i/>
          <w:lang w:bidi="he-IL"/>
        </w:rPr>
        <w:t>Religion within the Boundaries of Mere Reason</w:t>
      </w:r>
      <w:r w:rsidR="00F61581">
        <w:rPr>
          <w:lang w:bidi="he-IL"/>
        </w:rPr>
        <w:t xml:space="preserve">, and </w:t>
      </w:r>
      <w:r>
        <w:rPr>
          <w:lang w:bidi="he-IL"/>
        </w:rPr>
        <w:t xml:space="preserve">defends his view </w:t>
      </w:r>
      <w:r w:rsidR="00C13CCC">
        <w:rPr>
          <w:lang w:bidi="he-IL"/>
        </w:rPr>
        <w:t xml:space="preserve">in </w:t>
      </w:r>
      <w:r w:rsidR="003576C2">
        <w:rPr>
          <w:lang w:bidi="he-IL"/>
        </w:rPr>
        <w:t>a paper arguing that the philosophy faculty in the university should be free to question the teachings of the theology faculty. “If God should really speak to a human being, the latter could still nev</w:t>
      </w:r>
      <w:r w:rsidR="00783115">
        <w:rPr>
          <w:lang w:bidi="he-IL"/>
        </w:rPr>
        <w:t>e</w:t>
      </w:r>
      <w:r w:rsidR="003576C2">
        <w:rPr>
          <w:lang w:bidi="he-IL"/>
        </w:rPr>
        <w:t xml:space="preserve">r </w:t>
      </w:r>
      <w:r w:rsidR="003576C2">
        <w:rPr>
          <w:i/>
          <w:lang w:bidi="he-IL"/>
        </w:rPr>
        <w:t>know</w:t>
      </w:r>
      <w:r w:rsidR="003576C2">
        <w:rPr>
          <w:lang w:bidi="he-IL"/>
        </w:rPr>
        <w:t xml:space="preserve"> that it was God speaking. It is quite impossible for a human being to apprehend the infinite by his senses…. But in some cases the human being can be sure that the voice he hears is </w:t>
      </w:r>
      <w:r w:rsidR="003576C2">
        <w:rPr>
          <w:i/>
          <w:lang w:bidi="he-IL"/>
        </w:rPr>
        <w:t>not</w:t>
      </w:r>
      <w:r w:rsidR="003576C2">
        <w:rPr>
          <w:lang w:bidi="he-IL"/>
        </w:rPr>
        <w:t xml:space="preserve"> God’s; for if the voice commands him to do something contrary to the moral law…, he mus</w:t>
      </w:r>
      <w:r w:rsidR="00783115">
        <w:rPr>
          <w:lang w:bidi="he-IL"/>
        </w:rPr>
        <w:t xml:space="preserve">t consider it an illusion.” </w:t>
      </w:r>
      <w:r w:rsidR="003576C2">
        <w:rPr>
          <w:lang w:bidi="he-IL"/>
        </w:rPr>
        <w:t>Gen 22 would be an example.</w:t>
      </w:r>
      <w:r w:rsidR="003576C2">
        <w:rPr>
          <w:rStyle w:val="FootnoteReference"/>
          <w:lang w:bidi="he-IL"/>
        </w:rPr>
        <w:footnoteReference w:id="729"/>
      </w:r>
    </w:p>
    <w:p w14:paraId="3E01E907" w14:textId="7FDD5696" w:rsidR="000354A2" w:rsidRPr="000354A2" w:rsidRDefault="0001617E" w:rsidP="000354A2">
      <w:r>
        <w:t xml:space="preserve">The distinctiveness of Kant’s work emerges from the title of </w:t>
      </w:r>
      <w:r w:rsidRPr="0001617E">
        <w:rPr>
          <w:i/>
        </w:rPr>
        <w:t>Religion within the Boundaries of Mere Reason</w:t>
      </w:r>
      <w:r>
        <w:t>.</w:t>
      </w:r>
      <w:r w:rsidRPr="0001617E">
        <w:rPr>
          <w:i/>
        </w:rPr>
        <w:t xml:space="preserve"> </w:t>
      </w:r>
      <w:r>
        <w:t>Given that constraint, Kant could not work with the way</w:t>
      </w:r>
      <w:r w:rsidRPr="0001617E">
        <w:t xml:space="preserve"> the story belongs in the context of a relationship of trust be</w:t>
      </w:r>
      <w:r w:rsidR="00150498">
        <w:t>tween God and Abraham. A</w:t>
      </w:r>
      <w:r w:rsidR="00F61581">
        <w:t>nd</w:t>
      </w:r>
      <w:r w:rsidR="00A01D96">
        <w:t xml:space="preserve"> </w:t>
      </w:r>
      <w:r w:rsidR="00150498">
        <w:t>one</w:t>
      </w:r>
      <w:r>
        <w:t xml:space="preserve"> cannot</w:t>
      </w:r>
      <w:r w:rsidRPr="0001617E">
        <w:t xml:space="preserve"> abstract the word from the one who spoke it.</w:t>
      </w:r>
      <w:r w:rsidRPr="0001617E">
        <w:rPr>
          <w:vertAlign w:val="superscript"/>
        </w:rPr>
        <w:footnoteReference w:id="730"/>
      </w:r>
      <w:r w:rsidRPr="0001617E">
        <w:t xml:space="preserve"> </w:t>
      </w:r>
      <w:r w:rsidR="00161D16" w:rsidRPr="00161D16">
        <w:t>As God</w:t>
      </w:r>
      <w:r w:rsidR="00161D16">
        <w:t xml:space="preserve"> begins the story with </w:t>
      </w:r>
      <w:r w:rsidR="00161D16" w:rsidRPr="00161D16">
        <w:t>some as</w:t>
      </w:r>
      <w:r w:rsidR="00161D16">
        <w:t>sumptions about Abraham</w:t>
      </w:r>
      <w:r w:rsidR="00161D16" w:rsidRPr="00161D16">
        <w:t>, so Abraham has some assumptions about God. He knows God is trustworthy, if mysterious in some of the things he asks, and he knows God has made promises to him, and he knows that God has squared a circle before, not le</w:t>
      </w:r>
      <w:r w:rsidR="00161D16">
        <w:t>ast in Gen 21. It is</w:t>
      </w:r>
      <w:r w:rsidR="00161D16" w:rsidRPr="00161D16">
        <w:t xml:space="preserve"> </w:t>
      </w:r>
      <w:r w:rsidR="00A01D96">
        <w:t xml:space="preserve">in </w:t>
      </w:r>
      <w:r w:rsidR="00161D16" w:rsidRPr="00161D16">
        <w:t>this framework that he hears God speak.</w:t>
      </w:r>
      <w:r w:rsidR="000354A2">
        <w:t xml:space="preserve"> The more the story of Israel continues, </w:t>
      </w:r>
      <w:r w:rsidR="00F019BC">
        <w:t>into the story of the exodus,</w:t>
      </w:r>
      <w:r w:rsidR="000354A2">
        <w:t xml:space="preserve"> the people’s arriv</w:t>
      </w:r>
      <w:r w:rsidR="00F019BC">
        <w:t>al and flourishing in Canaan,</w:t>
      </w:r>
      <w:r w:rsidR="000354A2">
        <w:t xml:space="preserve"> the building of the temple</w:t>
      </w:r>
      <w:r w:rsidR="00F019BC">
        <w:t xml:space="preserve">, </w:t>
      </w:r>
      <w:r w:rsidR="000354A2">
        <w:t>the re</w:t>
      </w:r>
      <w:r w:rsidR="00F019BC">
        <w:t xml:space="preserve">storation of the people and </w:t>
      </w:r>
      <w:r w:rsidR="000354A2">
        <w:t>rebuilding of the temple after the exile</w:t>
      </w:r>
      <w:r w:rsidR="00F019BC">
        <w:t>,</w:t>
      </w:r>
      <w:r w:rsidR="00A01D96">
        <w:t xml:space="preserve"> and the deliverance from Antiochus</w:t>
      </w:r>
      <w:r w:rsidR="000354A2">
        <w:t>, the more they would listen to this story in the context of their relationship with a God whom they can trust. The trustworthiness of this Go</w:t>
      </w:r>
      <w:r w:rsidR="00F019BC">
        <w:t xml:space="preserve">d is </w:t>
      </w:r>
      <w:r w:rsidR="000354A2">
        <w:t xml:space="preserve">newly embodied when God gives up his own son </w:t>
      </w:r>
      <w:r w:rsidR="00F019BC">
        <w:t>for his people and for the world, actually doing what he did not in the end require of Abraham (</w:t>
      </w:r>
      <w:r w:rsidR="000354A2">
        <w:t>Mark 1:11</w:t>
      </w:r>
      <w:r w:rsidR="000354A2" w:rsidRPr="000354A2">
        <w:t>; Rom 8:31-32</w:t>
      </w:r>
      <w:r w:rsidR="000354A2">
        <w:t>).</w:t>
      </w:r>
      <w:r w:rsidR="00132FEC">
        <w:rPr>
          <w:rStyle w:val="FootnoteReference"/>
        </w:rPr>
        <w:footnoteReference w:id="731"/>
      </w:r>
    </w:p>
    <w:p w14:paraId="48F24678" w14:textId="77777777" w:rsidR="00F61581" w:rsidRDefault="000354A2" w:rsidP="00F61581">
      <w:pPr>
        <w:rPr>
          <w:rFonts w:eastAsia="Times New Roman" w:cs="Arial"/>
        </w:rPr>
      </w:pPr>
      <w:r>
        <w:t xml:space="preserve">In the nineteenth </w:t>
      </w:r>
      <w:r w:rsidR="00B75425">
        <w:t xml:space="preserve">century, </w:t>
      </w:r>
      <w:r w:rsidR="00783115">
        <w:t>Søren</w:t>
      </w:r>
      <w:r w:rsidR="00783115">
        <w:rPr>
          <w:lang w:bidi="he-IL"/>
        </w:rPr>
        <w:t xml:space="preserve"> </w:t>
      </w:r>
      <w:r w:rsidR="00B75425">
        <w:rPr>
          <w:lang w:bidi="he-IL"/>
        </w:rPr>
        <w:t>Kierkegaard retold</w:t>
      </w:r>
      <w:r w:rsidR="00B91D99">
        <w:rPr>
          <w:lang w:bidi="he-IL"/>
        </w:rPr>
        <w:t xml:space="preserve"> the </w:t>
      </w:r>
      <w:r w:rsidR="00675608">
        <w:rPr>
          <w:lang w:bidi="he-IL"/>
        </w:rPr>
        <w:t xml:space="preserve">Genesis 22 </w:t>
      </w:r>
      <w:r w:rsidR="00B91D99">
        <w:rPr>
          <w:lang w:bidi="he-IL"/>
        </w:rPr>
        <w:t>story seve</w:t>
      </w:r>
      <w:r w:rsidR="00675608">
        <w:rPr>
          <w:lang w:bidi="he-IL"/>
        </w:rPr>
        <w:t>ral times in ways that begin by bringing it to life but go</w:t>
      </w:r>
      <w:r w:rsidR="00B91D99">
        <w:rPr>
          <w:lang w:bidi="he-IL"/>
        </w:rPr>
        <w:t xml:space="preserve"> on to make it a different story.</w:t>
      </w:r>
      <w:r w:rsidR="00C64876">
        <w:rPr>
          <w:rStyle w:val="FootnoteReference"/>
          <w:lang w:bidi="he-IL"/>
        </w:rPr>
        <w:footnoteReference w:id="732"/>
      </w:r>
      <w:r w:rsidR="00B91D99">
        <w:rPr>
          <w:lang w:bidi="he-IL"/>
        </w:rPr>
        <w:t xml:space="preserve"> In his first version Isaac pleads with Abraham fo</w:t>
      </w:r>
      <w:r w:rsidR="007A5A4F">
        <w:rPr>
          <w:lang w:bidi="he-IL"/>
        </w:rPr>
        <w:t>r his life and Abraham urges him</w:t>
      </w:r>
      <w:r w:rsidR="00B91D99">
        <w:rPr>
          <w:lang w:bidi="he-IL"/>
        </w:rPr>
        <w:t xml:space="preserve"> to recognize that really he himself is an idolater. “Do </w:t>
      </w:r>
      <w:r w:rsidR="00B91D99">
        <w:rPr>
          <w:lang w:bidi="he-IL"/>
        </w:rPr>
        <w:lastRenderedPageBreak/>
        <w:t>you think it is God’s comm</w:t>
      </w:r>
      <w:r w:rsidR="00B75425">
        <w:rPr>
          <w:lang w:bidi="he-IL"/>
        </w:rPr>
        <w:t>and? No, it is my desire.” T</w:t>
      </w:r>
      <w:r w:rsidR="00B91D99">
        <w:rPr>
          <w:lang w:bidi="he-IL"/>
        </w:rPr>
        <w:t xml:space="preserve">hen Abraham thanks God that Isaac believes him </w:t>
      </w:r>
      <w:r w:rsidR="00B75425">
        <w:rPr>
          <w:lang w:bidi="he-IL"/>
        </w:rPr>
        <w:t xml:space="preserve">to be </w:t>
      </w:r>
      <w:r w:rsidR="00B91D99">
        <w:rPr>
          <w:lang w:bidi="he-IL"/>
        </w:rPr>
        <w:t xml:space="preserve">a monster </w:t>
      </w:r>
      <w:r w:rsidR="00B75425">
        <w:rPr>
          <w:lang w:bidi="he-IL"/>
        </w:rPr>
        <w:t xml:space="preserve">rather </w:t>
      </w:r>
      <w:r w:rsidR="00B91D99">
        <w:rPr>
          <w:lang w:bidi="he-IL"/>
        </w:rPr>
        <w:t xml:space="preserve">than that he should lose faith in God. In another version he asks God for forgiveness that he was willing to sacrifice his son. In another version Isaac sees what his father is prepared to do and “loses the faith.” </w:t>
      </w:r>
      <w:r w:rsidR="00F019BC">
        <w:rPr>
          <w:lang w:bidi="he-IL"/>
        </w:rPr>
        <w:t>Yet a</w:t>
      </w:r>
      <w:r w:rsidR="007A5A4F">
        <w:rPr>
          <w:lang w:bidi="he-IL"/>
        </w:rPr>
        <w:t>no</w:t>
      </w:r>
      <w:r w:rsidR="00B75425">
        <w:rPr>
          <w:lang w:bidi="he-IL"/>
        </w:rPr>
        <w:t>ther version marvels at Abraham’s having</w:t>
      </w:r>
      <w:r w:rsidR="007A5A4F">
        <w:rPr>
          <w:lang w:bidi="he-IL"/>
        </w:rPr>
        <w:t xml:space="preserve"> kept the faith all those years of living with God’s implausible promise but then exper</w:t>
      </w:r>
      <w:r w:rsidR="00B75425">
        <w:rPr>
          <w:lang w:bidi="he-IL"/>
        </w:rPr>
        <w:t>iencing</w:t>
      </w:r>
      <w:r w:rsidR="007A5A4F">
        <w:rPr>
          <w:lang w:bidi="he-IL"/>
        </w:rPr>
        <w:t xml:space="preserve"> God apparently mocking him by</w:t>
      </w:r>
      <w:r w:rsidR="00F019BC">
        <w:rPr>
          <w:lang w:bidi="he-IL"/>
        </w:rPr>
        <w:t xml:space="preserve"> fulfilling the promise and subsequently</w:t>
      </w:r>
      <w:r w:rsidR="007A5A4F">
        <w:rPr>
          <w:lang w:bidi="he-IL"/>
        </w:rPr>
        <w:t xml:space="preserve"> requiring him to slay Isaac. “But Abraham had faith and did not doubt; he believed the preposterous.” Otherwise he would have offered himself to God instead of his son. But “he did not pray for himself” as he had for Sodom and G</w:t>
      </w:r>
      <w:r w:rsidR="00CB5705">
        <w:rPr>
          <w:lang w:bidi="he-IL"/>
        </w:rPr>
        <w:t>omorrah. Many a father has despaired of the future through losing a child; Abraham was bidden to take his own child’s life, and he readily agreed. “There were countless generations who knew the story of Abraham by heart…, but how many did it render sleepless?”</w:t>
      </w:r>
      <w:r w:rsidR="008A02BE">
        <w:rPr>
          <w:lang w:bidi="he-IL"/>
        </w:rPr>
        <w:t xml:space="preserve"> </w:t>
      </w:r>
      <w:r w:rsidR="00B75425">
        <w:rPr>
          <w:lang w:bidi="he-IL"/>
        </w:rPr>
        <w:t>O</w:t>
      </w:r>
      <w:r w:rsidR="00C64876" w:rsidRPr="00C64876">
        <w:rPr>
          <w:lang w:bidi="he-IL"/>
        </w:rPr>
        <w:t xml:space="preserve">ne </w:t>
      </w:r>
      <w:r w:rsidR="00C64876">
        <w:rPr>
          <w:lang w:bidi="he-IL"/>
        </w:rPr>
        <w:t>can understand</w:t>
      </w:r>
      <w:r w:rsidR="00B75425">
        <w:rPr>
          <w:lang w:bidi="he-IL"/>
        </w:rPr>
        <w:t xml:space="preserve"> Hegel</w:t>
      </w:r>
      <w:r w:rsidR="00C64876">
        <w:rPr>
          <w:lang w:bidi="he-IL"/>
        </w:rPr>
        <w:t>, but not Abraham, and the Abraham story presupposes “a teleological suspension of the ethical.”</w:t>
      </w:r>
      <w:r w:rsidR="00F019BC">
        <w:rPr>
          <w:lang w:bidi="he-IL"/>
        </w:rPr>
        <w:t xml:space="preserve"> Kierkegaard speaks of God </w:t>
      </w:r>
      <w:r w:rsidR="006D2186">
        <w:rPr>
          <w:lang w:bidi="he-IL"/>
        </w:rPr>
        <w:t>testing Abraham’s faith, h</w:t>
      </w:r>
      <w:r w:rsidR="00024847">
        <w:rPr>
          <w:lang w:bidi="he-IL"/>
        </w:rPr>
        <w:t>is trust in him.</w:t>
      </w:r>
      <w:r w:rsidR="00F019BC">
        <w:rPr>
          <w:lang w:bidi="he-IL"/>
        </w:rPr>
        <w:t xml:space="preserve"> Ye</w:t>
      </w:r>
      <w:r w:rsidR="006D2186">
        <w:rPr>
          <w:lang w:bidi="he-IL"/>
        </w:rPr>
        <w:t xml:space="preserve">t there is </w:t>
      </w:r>
      <w:r w:rsidR="006D2186" w:rsidRPr="006D2186">
        <w:rPr>
          <w:lang w:bidi="he-IL"/>
        </w:rPr>
        <w:t xml:space="preserve">no reference to faith or trust in Gen 22. </w:t>
      </w:r>
      <w:r w:rsidR="0017026C">
        <w:rPr>
          <w:lang w:bidi="he-IL"/>
        </w:rPr>
        <w:t xml:space="preserve">It’s obedience that’s the issue. </w:t>
      </w:r>
      <w:r w:rsidR="006D2186">
        <w:rPr>
          <w:lang w:bidi="he-IL"/>
        </w:rPr>
        <w:t xml:space="preserve">Arguably, Abraham passed the faith test back in Gen 15. </w:t>
      </w:r>
      <w:r w:rsidR="00A01D96" w:rsidRPr="00A01D96">
        <w:rPr>
          <w:lang w:bidi="he-IL"/>
        </w:rPr>
        <w:t xml:space="preserve">In the twentieth century, </w:t>
      </w:r>
      <w:r w:rsidR="009C1DD6">
        <w:rPr>
          <w:lang w:bidi="he-IL"/>
        </w:rPr>
        <w:t xml:space="preserve">Jacques Derrida entered into conversation with Kierkegaard in </w:t>
      </w:r>
      <w:r w:rsidR="009C1DD6">
        <w:rPr>
          <w:i/>
          <w:lang w:bidi="he-IL"/>
        </w:rPr>
        <w:t>The Gift of Death</w:t>
      </w:r>
      <w:r w:rsidR="009C1DD6">
        <w:rPr>
          <w:lang w:bidi="he-IL"/>
        </w:rPr>
        <w:t xml:space="preserve">. Like Kierkegaard, he is concerned with the question whether there is such a thing as a selfless, disinterested act; paradoxically, Abraham’s willingness to offer his son’s life (as opposed to his own) is such an act, because he is sacrificing his future. But it is a challenge unique to him. It cannot be turned into an ethical generalization. </w:t>
      </w:r>
      <w:r w:rsidR="00F61581">
        <w:rPr>
          <w:rFonts w:eastAsia="Times New Roman" w:cs="Arial"/>
        </w:rPr>
        <w:t>It’s a command not a law.</w:t>
      </w:r>
      <w:r w:rsidR="00F61581">
        <w:rPr>
          <w:rStyle w:val="FootnoteReference"/>
          <w:rFonts w:eastAsia="Times New Roman" w:cs="Arial"/>
        </w:rPr>
        <w:footnoteReference w:id="733"/>
      </w:r>
    </w:p>
    <w:p w14:paraId="6CB49896" w14:textId="317A6033" w:rsidR="00E33A63" w:rsidRDefault="00743E10" w:rsidP="00A24572">
      <w:pPr>
        <w:rPr>
          <w:lang w:bidi="he-IL"/>
        </w:rPr>
      </w:pPr>
      <w:r>
        <w:rPr>
          <w:lang w:bidi="he-IL"/>
        </w:rPr>
        <w:t xml:space="preserve">In the twentieth century </w:t>
      </w:r>
      <w:r w:rsidR="00A01D96" w:rsidRPr="00A01D96">
        <w:rPr>
          <w:lang w:bidi="he-IL"/>
        </w:rPr>
        <w:t>child abuse provided another focus for concern</w:t>
      </w:r>
      <w:r w:rsidR="00183FB1">
        <w:rPr>
          <w:lang w:bidi="he-IL"/>
        </w:rPr>
        <w:t xml:space="preserve"> about Gen 22.</w:t>
      </w:r>
      <w:r w:rsidR="00733049">
        <w:rPr>
          <w:rStyle w:val="FootnoteReference"/>
          <w:lang w:bidi="he-IL"/>
        </w:rPr>
        <w:footnoteReference w:id="734"/>
      </w:r>
      <w:r w:rsidR="00BF0376">
        <w:rPr>
          <w:lang w:bidi="he-IL"/>
        </w:rPr>
        <w:t xml:space="preserve"> </w:t>
      </w:r>
      <w:r w:rsidR="00183FB1" w:rsidRPr="00183FB1">
        <w:rPr>
          <w:lang w:bidi="he-IL"/>
        </w:rPr>
        <w:t>“What kind of God would command the sacrifice of a child?”</w:t>
      </w:r>
      <w:r w:rsidR="00183FB1" w:rsidRPr="00183FB1">
        <w:rPr>
          <w:vertAlign w:val="superscript"/>
          <w:lang w:bidi="he-IL"/>
        </w:rPr>
        <w:footnoteReference w:id="735"/>
      </w:r>
      <w:r w:rsidR="00183FB1" w:rsidRPr="00183FB1">
        <w:rPr>
          <w:lang w:bidi="he-IL"/>
        </w:rPr>
        <w:t xml:space="preserve"> </w:t>
      </w:r>
      <w:r w:rsidR="00183FB1">
        <w:rPr>
          <w:lang w:bidi="he-IL"/>
        </w:rPr>
        <w:t>H</w:t>
      </w:r>
      <w:r w:rsidR="00BF0376">
        <w:rPr>
          <w:lang w:bidi="he-IL"/>
        </w:rPr>
        <w:t xml:space="preserve">ere </w:t>
      </w:r>
      <w:r w:rsidR="00F61581">
        <w:rPr>
          <w:lang w:bidi="he-IL"/>
        </w:rPr>
        <w:t xml:space="preserve">one </w:t>
      </w:r>
      <w:r w:rsidR="00A01D96" w:rsidRPr="00A01D96">
        <w:rPr>
          <w:lang w:bidi="he-IL"/>
        </w:rPr>
        <w:t>difficulty arises from the assumption that Isaac was a child,</w:t>
      </w:r>
      <w:r w:rsidR="00F019BC">
        <w:rPr>
          <w:lang w:bidi="he-IL"/>
        </w:rPr>
        <w:t xml:space="preserve"> whereas we have seen that he</w:t>
      </w:r>
      <w:r w:rsidR="00A01D96" w:rsidRPr="00A01D96">
        <w:rPr>
          <w:lang w:bidi="he-IL"/>
        </w:rPr>
        <w:t xml:space="preserve"> seems to h</w:t>
      </w:r>
      <w:r w:rsidR="00183FB1">
        <w:rPr>
          <w:lang w:bidi="he-IL"/>
        </w:rPr>
        <w:t>ave been at least a teenager,</w:t>
      </w:r>
      <w:r w:rsidR="00A01D96" w:rsidRPr="00A01D96">
        <w:rPr>
          <w:lang w:bidi="he-IL"/>
        </w:rPr>
        <w:t xml:space="preserve"> </w:t>
      </w:r>
      <w:r w:rsidR="00F61581">
        <w:rPr>
          <w:lang w:bidi="he-IL"/>
        </w:rPr>
        <w:t xml:space="preserve">and </w:t>
      </w:r>
      <w:r w:rsidR="00A01D96" w:rsidRPr="00A01D96">
        <w:rPr>
          <w:lang w:bidi="he-IL"/>
        </w:rPr>
        <w:t xml:space="preserve">not </w:t>
      </w:r>
      <w:r w:rsidR="00F61581">
        <w:rPr>
          <w:lang w:bidi="he-IL"/>
        </w:rPr>
        <w:t xml:space="preserve">someone </w:t>
      </w:r>
      <w:r w:rsidR="00A01D96" w:rsidRPr="00A01D96">
        <w:rPr>
          <w:lang w:bidi="he-IL"/>
        </w:rPr>
        <w:t>capable of being physically overwhelmed by his centenarian father.</w:t>
      </w:r>
      <w:r w:rsidR="00A01D96" w:rsidRPr="00A01D96">
        <w:rPr>
          <w:vertAlign w:val="superscript"/>
          <w:lang w:bidi="he-IL"/>
        </w:rPr>
        <w:footnoteReference w:id="736"/>
      </w:r>
      <w:r w:rsidR="00A01D96">
        <w:rPr>
          <w:lang w:bidi="he-IL"/>
        </w:rPr>
        <w:t xml:space="preserve"> </w:t>
      </w:r>
      <w:r w:rsidR="00E33A63">
        <w:rPr>
          <w:lang w:bidi="he-IL"/>
        </w:rPr>
        <w:t>But anyway,</w:t>
      </w:r>
      <w:r w:rsidR="00183FB1" w:rsidRPr="00183FB1">
        <w:rPr>
          <w:lang w:bidi="he-IL"/>
        </w:rPr>
        <w:t xml:space="preserve"> Isaac is no ordinar</w:t>
      </w:r>
      <w:r w:rsidR="00E33A63">
        <w:rPr>
          <w:lang w:bidi="he-IL"/>
        </w:rPr>
        <w:t>y child, and Abraham’s testing</w:t>
      </w:r>
      <w:r w:rsidR="00183FB1" w:rsidRPr="00183FB1">
        <w:rPr>
          <w:lang w:bidi="he-IL"/>
        </w:rPr>
        <w:t xml:space="preserve"> is a “patriarchal temptation” which is “non-repeatable within the Bible.”</w:t>
      </w:r>
      <w:r w:rsidR="00183FB1" w:rsidRPr="00183FB1">
        <w:rPr>
          <w:vertAlign w:val="superscript"/>
          <w:lang w:bidi="he-IL"/>
        </w:rPr>
        <w:footnoteReference w:id="737"/>
      </w:r>
      <w:r w:rsidR="00183FB1" w:rsidRPr="00183FB1">
        <w:rPr>
          <w:lang w:bidi="he-IL"/>
        </w:rPr>
        <w:t xml:space="preserve"> </w:t>
      </w:r>
      <w:r w:rsidR="00E33A63" w:rsidRPr="00E33A63">
        <w:rPr>
          <w:lang w:bidi="he-IL"/>
        </w:rPr>
        <w:t>Gen 22 becomes a problem when taken out of context</w:t>
      </w:r>
      <w:r w:rsidR="00186673">
        <w:rPr>
          <w:lang w:bidi="he-IL"/>
        </w:rPr>
        <w:t>. Ye</w:t>
      </w:r>
      <w:r w:rsidR="00E33A63">
        <w:rPr>
          <w:lang w:bidi="he-IL"/>
        </w:rPr>
        <w:t>t</w:t>
      </w:r>
      <w:r w:rsidR="00183FB1" w:rsidRPr="00183FB1">
        <w:rPr>
          <w:lang w:bidi="he-IL"/>
        </w:rPr>
        <w:t xml:space="preserve"> historically, Gen 22 has not led to a rash of child sacrifice</w:t>
      </w:r>
      <w:r w:rsidR="00F61581">
        <w:rPr>
          <w:lang w:bidi="he-IL"/>
        </w:rPr>
        <w:t>,</w:t>
      </w:r>
      <w:r w:rsidR="00183FB1" w:rsidRPr="00183FB1">
        <w:rPr>
          <w:lang w:bidi="he-IL"/>
        </w:rPr>
        <w:t xml:space="preserve"> as Deut 7 has not led to a rash of genocide.</w:t>
      </w:r>
      <w:r w:rsidR="00E33A63">
        <w:rPr>
          <w:lang w:bidi="he-IL"/>
        </w:rPr>
        <w:t xml:space="preserve"> </w:t>
      </w:r>
      <w:r w:rsidR="00F019BC">
        <w:rPr>
          <w:lang w:bidi="he-IL"/>
        </w:rPr>
        <w:t>The picture of</w:t>
      </w:r>
      <w:r w:rsidR="006D2186">
        <w:rPr>
          <w:lang w:bidi="he-IL"/>
        </w:rPr>
        <w:t xml:space="preserve"> Isaac </w:t>
      </w:r>
      <w:r w:rsidR="00F019BC">
        <w:rPr>
          <w:lang w:bidi="he-IL"/>
        </w:rPr>
        <w:t xml:space="preserve">as a young man </w:t>
      </w:r>
      <w:r w:rsidR="006D2186">
        <w:rPr>
          <w:lang w:bidi="he-IL"/>
        </w:rPr>
        <w:t xml:space="preserve">fits the </w:t>
      </w:r>
      <w:r w:rsidR="00F019BC">
        <w:rPr>
          <w:lang w:bidi="he-IL"/>
        </w:rPr>
        <w:t xml:space="preserve">story’s retellings </w:t>
      </w:r>
      <w:r w:rsidR="006D2186">
        <w:rPr>
          <w:lang w:bidi="he-IL"/>
        </w:rPr>
        <w:t>in the context of</w:t>
      </w:r>
      <w:r w:rsidR="00A01D96">
        <w:rPr>
          <w:lang w:bidi="he-IL"/>
        </w:rPr>
        <w:t xml:space="preserve"> the First World War and the Vietnam </w:t>
      </w:r>
      <w:r w:rsidR="006D2186">
        <w:rPr>
          <w:lang w:bidi="he-IL"/>
        </w:rPr>
        <w:t>War,</w:t>
      </w:r>
      <w:r w:rsidR="00F019BC">
        <w:rPr>
          <w:lang w:bidi="he-IL"/>
        </w:rPr>
        <w:t xml:space="preserve"> by Wilfred Owen </w:t>
      </w:r>
      <w:r w:rsidR="00024847">
        <w:rPr>
          <w:lang w:bidi="he-IL"/>
        </w:rPr>
        <w:t xml:space="preserve">in </w:t>
      </w:r>
      <w:r w:rsidR="00A01D96">
        <w:rPr>
          <w:lang w:bidi="he-IL"/>
        </w:rPr>
        <w:t>“The Parable of the Old Man and the Young” and by</w:t>
      </w:r>
      <w:r w:rsidR="00727890">
        <w:rPr>
          <w:lang w:bidi="he-IL"/>
        </w:rPr>
        <w:t xml:space="preserve"> </w:t>
      </w:r>
      <w:r w:rsidR="00A01D96">
        <w:rPr>
          <w:lang w:bidi="he-IL"/>
        </w:rPr>
        <w:t xml:space="preserve">Leonard </w:t>
      </w:r>
      <w:r w:rsidR="00F019BC">
        <w:rPr>
          <w:lang w:bidi="he-IL"/>
        </w:rPr>
        <w:t xml:space="preserve">Cohen in </w:t>
      </w:r>
      <w:r w:rsidR="00804B8D">
        <w:rPr>
          <w:lang w:bidi="he-IL"/>
        </w:rPr>
        <w:t>“Story of Isaac</w:t>
      </w:r>
      <w:r w:rsidR="006D2186">
        <w:rPr>
          <w:lang w:bidi="he-IL"/>
        </w:rPr>
        <w:t>.</w:t>
      </w:r>
      <w:r w:rsidR="00804B8D">
        <w:rPr>
          <w:lang w:bidi="he-IL"/>
        </w:rPr>
        <w:t xml:space="preserve">” </w:t>
      </w:r>
      <w:r w:rsidR="00F019BC">
        <w:rPr>
          <w:lang w:bidi="he-IL"/>
        </w:rPr>
        <w:t>They treat</w:t>
      </w:r>
      <w:r w:rsidR="006D2186">
        <w:rPr>
          <w:lang w:bidi="he-IL"/>
        </w:rPr>
        <w:t xml:space="preserve"> the story</w:t>
      </w:r>
      <w:r w:rsidR="00A01D96">
        <w:rPr>
          <w:lang w:bidi="he-IL"/>
        </w:rPr>
        <w:t xml:space="preserve"> as an asset rather than a liability in connection wi</w:t>
      </w:r>
      <w:r w:rsidR="00804B8D">
        <w:rPr>
          <w:lang w:bidi="he-IL"/>
        </w:rPr>
        <w:t>th concern about abuse. After all, Abraham was lowly or submissive enough to give up the idea of killing Isaac, unlike the people who sent off their nations’ offspring to their de</w:t>
      </w:r>
      <w:r w:rsidR="006D2186">
        <w:rPr>
          <w:lang w:bidi="he-IL"/>
        </w:rPr>
        <w:t>ath in those wars.</w:t>
      </w:r>
      <w:r w:rsidR="00BF0376">
        <w:rPr>
          <w:lang w:bidi="he-IL"/>
        </w:rPr>
        <w:t xml:space="preserve"> </w:t>
      </w:r>
    </w:p>
    <w:p w14:paraId="674E935F" w14:textId="77777777" w:rsidR="007B416D" w:rsidRDefault="006D2186" w:rsidP="00A24572">
      <w:pPr>
        <w:rPr>
          <w:rFonts w:eastAsia="Times New Roman" w:cs="Arial"/>
        </w:rPr>
      </w:pPr>
      <w:r w:rsidRPr="006D2186">
        <w:rPr>
          <w:lang w:bidi="he-IL"/>
        </w:rPr>
        <w:t xml:space="preserve">When God says that Abraham has passed the test, he does not refer to </w:t>
      </w:r>
      <w:r w:rsidR="00BF0376">
        <w:rPr>
          <w:lang w:bidi="he-IL"/>
        </w:rPr>
        <w:t>his having shown faith or trust but to his having shown that he was in awe of God.</w:t>
      </w:r>
      <w:r w:rsidR="00A24572">
        <w:rPr>
          <w:rStyle w:val="FootnoteReference"/>
          <w:lang w:bidi="he-IL"/>
        </w:rPr>
        <w:footnoteReference w:id="738"/>
      </w:r>
      <w:r w:rsidR="00183FB1">
        <w:rPr>
          <w:lang w:bidi="he-IL"/>
        </w:rPr>
        <w:t xml:space="preserve"> Awe of God does not mean a</w:t>
      </w:r>
      <w:r w:rsidR="00BF0376">
        <w:rPr>
          <w:lang w:bidi="he-IL"/>
        </w:rPr>
        <w:t xml:space="preserve"> sense of being overwhelmed in one’s inner being by the awesome mystery of the supernatural God—or it does </w:t>
      </w:r>
      <w:r w:rsidR="00183FB1">
        <w:rPr>
          <w:lang w:bidi="he-IL"/>
        </w:rPr>
        <w:t xml:space="preserve">not </w:t>
      </w:r>
      <w:r w:rsidR="00024847">
        <w:rPr>
          <w:lang w:bidi="he-IL"/>
        </w:rPr>
        <w:t>mean simply that sens</w:t>
      </w:r>
      <w:r w:rsidR="00BF0376">
        <w:rPr>
          <w:lang w:bidi="he-IL"/>
        </w:rPr>
        <w:t>e. It means being submissive to God. It means “m</w:t>
      </w:r>
      <w:r w:rsidR="00BF0376" w:rsidRPr="00BF0376">
        <w:rPr>
          <w:lang w:bidi="he-IL"/>
        </w:rPr>
        <w:t>oral restraint out of respect for God.”</w:t>
      </w:r>
      <w:r w:rsidR="00BF0376" w:rsidRPr="00BF0376">
        <w:rPr>
          <w:vertAlign w:val="superscript"/>
          <w:lang w:bidi="he-IL"/>
        </w:rPr>
        <w:footnoteReference w:id="739"/>
      </w:r>
      <w:r w:rsidR="00BF0376" w:rsidRPr="00BF0376">
        <w:rPr>
          <w:lang w:bidi="he-IL"/>
        </w:rPr>
        <w:t xml:space="preserve"> </w:t>
      </w:r>
      <w:r w:rsidR="002A247D">
        <w:rPr>
          <w:lang w:bidi="he-IL"/>
        </w:rPr>
        <w:t xml:space="preserve">And it means </w:t>
      </w:r>
      <w:r w:rsidR="00024847">
        <w:rPr>
          <w:lang w:bidi="he-IL"/>
        </w:rPr>
        <w:t xml:space="preserve">Abraham </w:t>
      </w:r>
      <w:r w:rsidR="002A247D">
        <w:rPr>
          <w:lang w:bidi="he-IL"/>
        </w:rPr>
        <w:t xml:space="preserve">not loving Isaac more than he loves God (in the sense of being </w:t>
      </w:r>
      <w:r w:rsidR="002A247D">
        <w:rPr>
          <w:lang w:bidi="he-IL"/>
        </w:rPr>
        <w:lastRenderedPageBreak/>
        <w:t xml:space="preserve">committed to God). </w:t>
      </w:r>
      <w:r w:rsidR="00BF0376">
        <w:rPr>
          <w:lang w:bidi="he-IL"/>
        </w:rPr>
        <w:t>Abraham</w:t>
      </w:r>
      <w:r w:rsidR="00BF0376" w:rsidRPr="00BF0376">
        <w:rPr>
          <w:lang w:bidi="he-IL"/>
        </w:rPr>
        <w:t xml:space="preserve"> was prepared to sacrifice his son, his future, his eternity. </w:t>
      </w:r>
      <w:r w:rsidR="00BF0376">
        <w:rPr>
          <w:lang w:bidi="he-IL"/>
        </w:rPr>
        <w:t>But the story</w:t>
      </w:r>
      <w:r w:rsidR="00BF0376" w:rsidRPr="00BF0376">
        <w:rPr>
          <w:lang w:bidi="he-IL"/>
        </w:rPr>
        <w:t xml:space="preserve"> then provokes the question, “Are you never prepare</w:t>
      </w:r>
      <w:r w:rsidR="00183FB1">
        <w:rPr>
          <w:lang w:bidi="he-IL"/>
        </w:rPr>
        <w:t>d—ever—</w:t>
      </w:r>
      <w:r w:rsidR="00BF0376" w:rsidRPr="00BF0376">
        <w:rPr>
          <w:lang w:bidi="he-IL"/>
        </w:rPr>
        <w:t>to do so</w:t>
      </w:r>
      <w:proofErr w:type="gramStart"/>
      <w:r w:rsidR="00BF0376" w:rsidRPr="00BF0376">
        <w:rPr>
          <w:lang w:bidi="he-IL"/>
        </w:rPr>
        <w:t>?...</w:t>
      </w:r>
      <w:proofErr w:type="gramEnd"/>
      <w:r w:rsidR="00BF0376" w:rsidRPr="00BF0376">
        <w:rPr>
          <w:lang w:bidi="he-IL"/>
        </w:rPr>
        <w:t xml:space="preserve"> Abraham's readiness was in response to the God who is Ultimate Reality, who calls us into being and gives meaning to our existence. When and where, to the call of what authority, in loyalty to what cause, in the name of what values, is it your wont to sacrifice your children</w:t>
      </w:r>
      <w:r w:rsidR="00A24572">
        <w:rPr>
          <w:lang w:bidi="he-IL"/>
        </w:rPr>
        <w:t>—</w:t>
      </w:r>
      <w:r w:rsidR="00BF0376" w:rsidRPr="00BF0376">
        <w:rPr>
          <w:lang w:bidi="he-IL"/>
        </w:rPr>
        <w:t>and yourself?"</w:t>
      </w:r>
      <w:r w:rsidR="00BF0376" w:rsidRPr="00BF0376">
        <w:rPr>
          <w:vertAlign w:val="superscript"/>
          <w:lang w:bidi="he-IL"/>
        </w:rPr>
        <w:footnoteReference w:id="740"/>
      </w:r>
      <w:r w:rsidR="00BF0376">
        <w:rPr>
          <w:lang w:bidi="he-IL"/>
        </w:rPr>
        <w:t xml:space="preserve"> </w:t>
      </w:r>
      <w:r w:rsidR="00FA5E59">
        <w:rPr>
          <w:lang w:bidi="he-IL"/>
        </w:rPr>
        <w:t>“Through the aqedah, Abraham surrenders his beloved son to the God who made his miraculous conception possible</w:t>
      </w:r>
      <w:r w:rsidR="00BF0376">
        <w:rPr>
          <w:lang w:bidi="he-IL"/>
        </w:rPr>
        <w:t>,” though</w:t>
      </w:r>
      <w:r w:rsidR="00FA5E59">
        <w:rPr>
          <w:lang w:bidi="he-IL"/>
        </w:rPr>
        <w:t xml:space="preserve"> </w:t>
      </w:r>
      <w:r w:rsidR="00024847">
        <w:rPr>
          <w:lang w:bidi="he-IL"/>
        </w:rPr>
        <w:t xml:space="preserve">then </w:t>
      </w:r>
      <w:r w:rsidR="00FA5E59">
        <w:rPr>
          <w:lang w:bidi="he-IL"/>
        </w:rPr>
        <w:t>“the divine father exercises his prerogative to decline the offering he demanded</w:t>
      </w:r>
      <w:r w:rsidR="00A24572">
        <w:rPr>
          <w:lang w:bidi="he-IL"/>
        </w:rPr>
        <w:t>.”</w:t>
      </w:r>
      <w:r w:rsidR="0095139A">
        <w:rPr>
          <w:rStyle w:val="FootnoteReference"/>
          <w:lang w:bidi="he-IL"/>
        </w:rPr>
        <w:footnoteReference w:id="741"/>
      </w:r>
      <w:r w:rsidR="00183FB1">
        <w:rPr>
          <w:lang w:bidi="he-IL"/>
        </w:rPr>
        <w:t xml:space="preserve"> Thus </w:t>
      </w:r>
      <w:r w:rsidR="002F78D1">
        <w:rPr>
          <w:rFonts w:eastAsia="Times New Roman" w:cs="Arial"/>
        </w:rPr>
        <w:t>“</w:t>
      </w:r>
      <w:r w:rsidR="002F78D1" w:rsidRPr="002F78D1">
        <w:rPr>
          <w:rFonts w:eastAsia="Times New Roman" w:cs="Arial"/>
        </w:rPr>
        <w:t>Abraham loved Isaac his son, the text says, but he placed the love of God before love of the flesh</w:t>
      </w:r>
      <w:r w:rsidR="002F78D1">
        <w:rPr>
          <w:rFonts w:eastAsia="Times New Roman" w:cs="Arial"/>
        </w:rPr>
        <w:t>…. U</w:t>
      </w:r>
      <w:r w:rsidR="002F78D1" w:rsidRPr="002F78D1">
        <w:rPr>
          <w:rFonts w:eastAsia="Times New Roman" w:cs="Arial"/>
        </w:rPr>
        <w:t>nless you shall be obedient to all the commands, even the more difficult ones, unless you shall offer sacrifice and show that you place neither father nor mother nor sons before God,</w:t>
      </w:r>
      <w:r w:rsidR="002F78D1">
        <w:rPr>
          <w:rFonts w:eastAsia="Times New Roman" w:cs="Arial"/>
        </w:rPr>
        <w:t xml:space="preserve"> </w:t>
      </w:r>
      <w:r w:rsidR="002F78D1" w:rsidRPr="002F78D1">
        <w:rPr>
          <w:rFonts w:eastAsia="Times New Roman" w:cs="Arial"/>
        </w:rPr>
        <w:t>you will not know that you fear God nor will it be said of you: "Now I know that you fear Go</w:t>
      </w:r>
      <w:r w:rsidR="002F78D1">
        <w:rPr>
          <w:rFonts w:eastAsia="Times New Roman" w:cs="Arial"/>
        </w:rPr>
        <w:t>d.”</w:t>
      </w:r>
      <w:r w:rsidR="002F78D1">
        <w:rPr>
          <w:rStyle w:val="FootnoteReference"/>
          <w:rFonts w:eastAsia="Times New Roman" w:cs="Arial"/>
        </w:rPr>
        <w:footnoteReference w:id="742"/>
      </w:r>
      <w:r w:rsidR="007B416D">
        <w:rPr>
          <w:rFonts w:eastAsia="Times New Roman" w:cs="Arial"/>
        </w:rPr>
        <w:t xml:space="preserve"> </w:t>
      </w:r>
    </w:p>
    <w:p w14:paraId="4A643E34" w14:textId="77777777" w:rsidR="00143EC4" w:rsidRPr="00E33A63" w:rsidRDefault="00143EC4" w:rsidP="00A24572">
      <w:pPr>
        <w:rPr>
          <w:lang w:bidi="he-IL"/>
        </w:rPr>
      </w:pPr>
      <w:r>
        <w:rPr>
          <w:lang w:bidi="he-IL"/>
        </w:rPr>
        <w:br w:type="page"/>
      </w:r>
    </w:p>
    <w:p w14:paraId="02B33E37" w14:textId="3A5CFDE4" w:rsidR="00143EC4" w:rsidRDefault="00177952" w:rsidP="00143EC4">
      <w:pPr>
        <w:pStyle w:val="Heading1"/>
        <w:rPr>
          <w:lang w:bidi="he-IL"/>
        </w:rPr>
      </w:pPr>
      <w:r>
        <w:rPr>
          <w:lang w:bidi="he-IL"/>
        </w:rPr>
        <w:lastRenderedPageBreak/>
        <w:t xml:space="preserve">Genesis 22:20—23:20—Birth </w:t>
      </w:r>
      <w:proofErr w:type="gramStart"/>
      <w:r>
        <w:rPr>
          <w:lang w:bidi="he-IL"/>
        </w:rPr>
        <w:t>and  Death</w:t>
      </w:r>
      <w:proofErr w:type="gramEnd"/>
    </w:p>
    <w:p w14:paraId="316677FB" w14:textId="77777777" w:rsidR="00A53627" w:rsidRDefault="00A53627" w:rsidP="00A53627">
      <w:pPr>
        <w:rPr>
          <w:lang w:bidi="he-IL"/>
        </w:rPr>
      </w:pPr>
    </w:p>
    <w:p w14:paraId="4315B446" w14:textId="77777777" w:rsidR="00141055" w:rsidRPr="00DA695A" w:rsidRDefault="00141055" w:rsidP="00141055">
      <w:pPr>
        <w:pStyle w:val="Heading2"/>
        <w:rPr>
          <w:lang w:bidi="he-IL"/>
        </w:rPr>
      </w:pPr>
      <w:r>
        <w:rPr>
          <w:lang w:bidi="he-IL"/>
        </w:rPr>
        <w:t>Overview</w:t>
      </w:r>
    </w:p>
    <w:p w14:paraId="32B1B4FA" w14:textId="70818C52" w:rsidR="00BB4E2F" w:rsidRDefault="00BB4E2F" w:rsidP="00BB4E2F">
      <w:pPr>
        <w:rPr>
          <w:lang w:bidi="he-IL"/>
        </w:rPr>
      </w:pPr>
      <w:r>
        <w:t>“With the sacrifice of Isaac the test of Abraham's faith was now complete, and the purpose of his divine calling answered: the history of his life, therefore, now hastens to its termination.”</w:t>
      </w:r>
      <w:r>
        <w:rPr>
          <w:rStyle w:val="FootnoteReference"/>
        </w:rPr>
        <w:footnoteReference w:id="743"/>
      </w:r>
      <w:r w:rsidR="00627721">
        <w:t xml:space="preserve"> First there is some news of</w:t>
      </w:r>
      <w:r w:rsidR="00EB3D3E">
        <w:t xml:space="preserve"> his wider extended family which (among other things) trailers the existence of a young woman called Rebekah who will become important in Gen 24. Then there is news of Sarah’s death, which leads into Abraham’s acquisition of a final resting place for her an</w:t>
      </w:r>
      <w:r w:rsidR="00771BAF">
        <w:t>d for himself and for</w:t>
      </w:r>
      <w:r w:rsidR="00EB3D3E">
        <w:t xml:space="preserve"> </w:t>
      </w:r>
      <w:r w:rsidR="00771BAF">
        <w:t>Isaac, Rebekah, Leah, and Jacob.</w:t>
      </w:r>
    </w:p>
    <w:p w14:paraId="6678A299" w14:textId="77777777" w:rsidR="00143EC4" w:rsidRDefault="00143EC4" w:rsidP="00143EC4">
      <w:pPr>
        <w:pStyle w:val="Heading2"/>
        <w:tabs>
          <w:tab w:val="left" w:pos="6690"/>
        </w:tabs>
      </w:pPr>
      <w:r w:rsidRPr="00DA695A">
        <w:rPr>
          <w:lang w:bidi="he-IL"/>
        </w:rPr>
        <w:t>Translation</w:t>
      </w:r>
    </w:p>
    <w:p w14:paraId="3D02C83C" w14:textId="7543A380" w:rsidR="00A53627" w:rsidRPr="00A53627" w:rsidRDefault="00E33A63" w:rsidP="00A53627">
      <w:pPr>
        <w:rPr>
          <w:lang w:val="en-GB" w:bidi="he-IL"/>
        </w:rPr>
      </w:pPr>
      <w:r>
        <w:rPr>
          <w:vertAlign w:val="superscript"/>
          <w:lang w:val="en-GB" w:bidi="he-IL"/>
        </w:rPr>
        <w:t>22:</w:t>
      </w:r>
      <w:r w:rsidR="00A53627" w:rsidRPr="00A53627">
        <w:rPr>
          <w:vertAlign w:val="superscript"/>
          <w:lang w:val="en-GB" w:bidi="he-IL"/>
        </w:rPr>
        <w:t>20</w:t>
      </w:r>
      <w:r w:rsidR="00A53627" w:rsidRPr="00A53627">
        <w:rPr>
          <w:lang w:val="en-GB" w:bidi="he-IL"/>
        </w:rPr>
        <w:t>Subseque</w:t>
      </w:r>
      <w:r w:rsidR="00771BAF">
        <w:rPr>
          <w:lang w:val="en-GB" w:bidi="he-IL"/>
        </w:rPr>
        <w:t>ntly,</w:t>
      </w:r>
      <w:r w:rsidR="005230F8">
        <w:rPr>
          <w:rStyle w:val="FootnoteReference"/>
          <w:lang w:val="en-GB" w:bidi="he-IL"/>
        </w:rPr>
        <w:footnoteReference w:id="744"/>
      </w:r>
      <w:r w:rsidR="00771BAF">
        <w:rPr>
          <w:lang w:val="en-GB" w:bidi="he-IL"/>
        </w:rPr>
        <w:t xml:space="preserve"> it was told to Abraham: “There, Milkah</w:t>
      </w:r>
      <w:r w:rsidR="00A53627" w:rsidRPr="00A53627">
        <w:rPr>
          <w:lang w:val="en-GB" w:bidi="he-IL"/>
        </w:rPr>
        <w:t xml:space="preserve"> has given birth to children for your brother Nahor, too: </w:t>
      </w:r>
      <w:r w:rsidR="00A53627" w:rsidRPr="00A53627">
        <w:rPr>
          <w:vertAlign w:val="superscript"/>
          <w:lang w:val="en-GB" w:bidi="he-IL"/>
        </w:rPr>
        <w:t>21</w:t>
      </w:r>
      <w:r w:rsidR="00A53627" w:rsidRPr="00A53627">
        <w:rPr>
          <w:lang w:val="en-GB" w:bidi="he-IL"/>
        </w:rPr>
        <w:t>Uṣ his firstborn, Buz his brother,</w:t>
      </w:r>
      <w:r w:rsidR="00884061">
        <w:rPr>
          <w:lang w:val="en-GB" w:bidi="he-IL"/>
        </w:rPr>
        <w:t xml:space="preserve"> Qemu’el the father of Aram, </w:t>
      </w:r>
      <w:r w:rsidR="00884061">
        <w:rPr>
          <w:vertAlign w:val="superscript"/>
          <w:lang w:val="en-GB" w:bidi="he-IL"/>
        </w:rPr>
        <w:t>22</w:t>
      </w:r>
      <w:r w:rsidR="00A53627" w:rsidRPr="00A53627">
        <w:rPr>
          <w:lang w:val="en-GB" w:bidi="he-IL"/>
        </w:rPr>
        <w:t>Kesed, Haz</w:t>
      </w:r>
      <w:r w:rsidR="00143EC4">
        <w:rPr>
          <w:lang w:val="en-GB" w:bidi="he-IL"/>
        </w:rPr>
        <w:t>o</w:t>
      </w:r>
      <w:r w:rsidR="000438B1">
        <w:rPr>
          <w:lang w:val="en-GB" w:bidi="he-IL"/>
        </w:rPr>
        <w:t>, Pilda</w:t>
      </w:r>
      <w:r w:rsidR="000438B1">
        <w:rPr>
          <w:rFonts w:cstheme="minorHAnsi"/>
          <w:lang w:val="en-GB" w:bidi="he-IL"/>
        </w:rPr>
        <w:t>š</w:t>
      </w:r>
      <w:r w:rsidR="00BC36F3">
        <w:rPr>
          <w:lang w:val="en-GB" w:bidi="he-IL"/>
        </w:rPr>
        <w:t>, Yidlap, and Betu’el</w:t>
      </w:r>
      <w:r w:rsidR="00884061">
        <w:rPr>
          <w:lang w:val="en-GB" w:bidi="he-IL"/>
        </w:rPr>
        <w:t xml:space="preserve">; </w:t>
      </w:r>
      <w:r w:rsidR="00884061">
        <w:rPr>
          <w:vertAlign w:val="superscript"/>
          <w:lang w:val="en-GB" w:bidi="he-IL"/>
        </w:rPr>
        <w:t>23</w:t>
      </w:r>
      <w:r w:rsidR="00A53627" w:rsidRPr="00A53627">
        <w:rPr>
          <w:lang w:val="en-GB" w:bidi="he-IL"/>
        </w:rPr>
        <w:t xml:space="preserve">and Betu’el </w:t>
      </w:r>
      <w:r w:rsidR="00BC36F3">
        <w:rPr>
          <w:lang w:val="en-GB" w:bidi="he-IL"/>
        </w:rPr>
        <w:t xml:space="preserve">has </w:t>
      </w:r>
      <w:r w:rsidR="00A53627" w:rsidRPr="00A53627">
        <w:rPr>
          <w:lang w:val="en-GB" w:bidi="he-IL"/>
        </w:rPr>
        <w:t>fathered Ribqah.</w:t>
      </w:r>
      <w:r w:rsidR="00771BAF">
        <w:rPr>
          <w:lang w:val="en-GB" w:bidi="he-IL"/>
        </w:rPr>
        <w:t>”</w:t>
      </w:r>
      <w:r w:rsidR="00A53627" w:rsidRPr="00A53627">
        <w:rPr>
          <w:lang w:val="en-GB" w:bidi="he-IL"/>
        </w:rPr>
        <w:t xml:space="preserve"> To these eight Milkah gave birth f</w:t>
      </w:r>
      <w:r w:rsidR="00884061">
        <w:rPr>
          <w:lang w:val="en-GB" w:bidi="he-IL"/>
        </w:rPr>
        <w:t xml:space="preserve">or Nahor, Abraham’s brother. </w:t>
      </w:r>
      <w:r w:rsidR="00884061">
        <w:rPr>
          <w:vertAlign w:val="superscript"/>
          <w:lang w:val="en-GB" w:bidi="he-IL"/>
        </w:rPr>
        <w:t>24</w:t>
      </w:r>
      <w:r w:rsidR="00A53627" w:rsidRPr="00A53627">
        <w:rPr>
          <w:lang w:val="en-GB" w:bidi="he-IL"/>
        </w:rPr>
        <w:t>His secondary wife, her name was Re’umah, also ga</w:t>
      </w:r>
      <w:r w:rsidR="000438B1">
        <w:rPr>
          <w:lang w:val="en-GB" w:bidi="he-IL"/>
        </w:rPr>
        <w:t>ve birth to Tebah, Gaham, Taha</w:t>
      </w:r>
      <w:r w:rsidR="000438B1">
        <w:rPr>
          <w:rFonts w:cstheme="minorHAnsi"/>
          <w:lang w:val="en-GB" w:bidi="he-IL"/>
        </w:rPr>
        <w:t>š</w:t>
      </w:r>
      <w:r w:rsidR="00A53627" w:rsidRPr="00A53627">
        <w:rPr>
          <w:lang w:val="en-GB" w:bidi="he-IL"/>
        </w:rPr>
        <w:t>, and Ma’akah.</w:t>
      </w:r>
    </w:p>
    <w:p w14:paraId="5C204A08" w14:textId="209386E2" w:rsidR="00840C74" w:rsidRPr="00840C74" w:rsidRDefault="00C32A71" w:rsidP="00627721">
      <w:pPr>
        <w:rPr>
          <w:rFonts w:ascii="Calibri" w:eastAsia="Times New Roman" w:hAnsi="Calibri" w:cs="Times New Roman"/>
          <w:lang w:val="en-GB" w:bidi="he-IL"/>
        </w:rPr>
      </w:pPr>
      <w:r>
        <w:rPr>
          <w:rFonts w:ascii="Calibri" w:eastAsia="Times New Roman" w:hAnsi="Calibri" w:cs="Times New Roman"/>
          <w:vertAlign w:val="superscript"/>
          <w:lang w:val="en-GB" w:bidi="he-IL"/>
        </w:rPr>
        <w:t>23</w:t>
      </w:r>
      <w:r w:rsidR="00840C74">
        <w:rPr>
          <w:rFonts w:ascii="Calibri" w:eastAsia="Times New Roman" w:hAnsi="Calibri" w:cs="Times New Roman"/>
          <w:vertAlign w:val="superscript"/>
          <w:lang w:val="en-GB" w:bidi="he-IL"/>
        </w:rPr>
        <w:t>:1</w:t>
      </w:r>
      <w:r w:rsidR="00840C74">
        <w:rPr>
          <w:rFonts w:ascii="Calibri" w:eastAsia="Times New Roman" w:hAnsi="Calibri" w:cs="Times New Roman"/>
          <w:lang w:val="en-GB" w:bidi="he-IL"/>
        </w:rPr>
        <w:t>Sa</w:t>
      </w:r>
      <w:r w:rsidR="00840C74" w:rsidRPr="00840C74">
        <w:rPr>
          <w:rFonts w:ascii="Calibri" w:eastAsia="Times New Roman" w:hAnsi="Calibri" w:cs="Times New Roman"/>
          <w:lang w:val="en-GB" w:bidi="he-IL"/>
        </w:rPr>
        <w:t xml:space="preserve">rah’s lifetime was 127 years (the years of Sarah’s life). </w:t>
      </w:r>
      <w:r w:rsidR="00840C74">
        <w:rPr>
          <w:rFonts w:ascii="Calibri" w:eastAsia="Times New Roman" w:hAnsi="Calibri" w:cs="Times New Roman"/>
          <w:vertAlign w:val="superscript"/>
          <w:lang w:val="en-GB" w:bidi="he-IL"/>
        </w:rPr>
        <w:t>2</w:t>
      </w:r>
      <w:r w:rsidR="00840C74" w:rsidRPr="00840C74">
        <w:rPr>
          <w:rFonts w:ascii="Calibri" w:eastAsia="Times New Roman" w:hAnsi="Calibri" w:cs="Times New Roman"/>
          <w:lang w:val="en-GB" w:bidi="he-IL"/>
        </w:rPr>
        <w:t>Sarah died at Arba Township (i.e.</w:t>
      </w:r>
      <w:r w:rsidR="00550E1B">
        <w:rPr>
          <w:rFonts w:ascii="Calibri" w:eastAsia="Times New Roman" w:hAnsi="Calibri" w:cs="Times New Roman"/>
          <w:lang w:val="en-GB" w:bidi="he-IL"/>
        </w:rPr>
        <w:t>, Hebron) in the country of Kena‘</w:t>
      </w:r>
      <w:r w:rsidR="00840C74" w:rsidRPr="00840C74">
        <w:rPr>
          <w:rFonts w:ascii="Calibri" w:eastAsia="Times New Roman" w:hAnsi="Calibri" w:cs="Times New Roman"/>
          <w:lang w:val="en-GB" w:bidi="he-IL"/>
        </w:rPr>
        <w:t>an. Abraham cam</w:t>
      </w:r>
      <w:r w:rsidR="00550E1B">
        <w:rPr>
          <w:rFonts w:ascii="Calibri" w:eastAsia="Times New Roman" w:hAnsi="Calibri" w:cs="Times New Roman"/>
          <w:lang w:val="en-GB" w:bidi="he-IL"/>
        </w:rPr>
        <w:t>e to lament for Sarah and cry for</w:t>
      </w:r>
      <w:r w:rsidR="00627721">
        <w:rPr>
          <w:rFonts w:ascii="Calibri" w:eastAsia="Times New Roman" w:hAnsi="Calibri" w:cs="Times New Roman"/>
          <w:lang w:val="en-GB" w:bidi="he-IL"/>
        </w:rPr>
        <w:t xml:space="preserve"> her. </w:t>
      </w:r>
      <w:r w:rsidR="00840C74">
        <w:rPr>
          <w:rFonts w:ascii="Calibri" w:eastAsia="Times New Roman" w:hAnsi="Calibri" w:cs="Times New Roman"/>
          <w:vertAlign w:val="superscript"/>
          <w:lang w:val="en-GB" w:bidi="he-IL"/>
        </w:rPr>
        <w:t>3</w:t>
      </w:r>
      <w:r w:rsidR="00E33A63">
        <w:rPr>
          <w:rFonts w:ascii="Calibri" w:eastAsia="Times New Roman" w:hAnsi="Calibri" w:cs="Times New Roman"/>
          <w:lang w:val="en-GB" w:bidi="he-IL"/>
        </w:rPr>
        <w:t>Then A</w:t>
      </w:r>
      <w:r w:rsidR="00840C74" w:rsidRPr="00840C74">
        <w:rPr>
          <w:rFonts w:ascii="Calibri" w:eastAsia="Times New Roman" w:hAnsi="Calibri" w:cs="Times New Roman"/>
          <w:lang w:val="en-GB" w:bidi="he-IL"/>
        </w:rPr>
        <w:t>braham set off from being in the presence of</w:t>
      </w:r>
      <w:r w:rsidR="00A87026">
        <w:rPr>
          <w:rFonts w:ascii="Calibri" w:eastAsia="Times New Roman" w:hAnsi="Calibri" w:cs="Times New Roman"/>
          <w:lang w:val="en-GB" w:bidi="he-IL"/>
        </w:rPr>
        <w:t xml:space="preserve"> his dead and spoke to the </w:t>
      </w:r>
      <w:r w:rsidR="00A87026" w:rsidRPr="00A87026">
        <w:rPr>
          <w:rFonts w:ascii="Calibri" w:eastAsia="Times New Roman" w:hAnsi="Calibri" w:cs="Times New Roman"/>
          <w:lang w:val="en-GB" w:bidi="he-IL"/>
        </w:rPr>
        <w:t>Ḥētites</w:t>
      </w:r>
      <w:r w:rsidR="00840C74">
        <w:rPr>
          <w:rFonts w:ascii="Calibri" w:eastAsia="Times New Roman" w:hAnsi="Calibri" w:cs="Times New Roman"/>
          <w:lang w:val="en-GB" w:bidi="he-IL"/>
        </w:rPr>
        <w:t>:</w:t>
      </w:r>
      <w:r w:rsidR="00044E3D">
        <w:rPr>
          <w:rStyle w:val="FootnoteReference"/>
          <w:rFonts w:ascii="Calibri" w:eastAsia="Times New Roman" w:hAnsi="Calibri" w:cs="Times New Roman"/>
          <w:lang w:val="en-GB" w:bidi="he-IL"/>
        </w:rPr>
        <w:footnoteReference w:id="745"/>
      </w:r>
      <w:r w:rsidR="00840C74">
        <w:rPr>
          <w:rFonts w:ascii="Calibri" w:eastAsia="Times New Roman" w:hAnsi="Calibri" w:cs="Times New Roman"/>
          <w:lang w:val="en-GB" w:bidi="he-IL"/>
        </w:rPr>
        <w:t xml:space="preserve"> </w:t>
      </w:r>
      <w:r w:rsidR="00840C74">
        <w:rPr>
          <w:rFonts w:ascii="Calibri" w:eastAsia="Times New Roman" w:hAnsi="Calibri" w:cs="Times New Roman"/>
          <w:vertAlign w:val="superscript"/>
          <w:lang w:val="en-GB" w:bidi="he-IL"/>
        </w:rPr>
        <w:t>4</w:t>
      </w:r>
      <w:r w:rsidR="00840C74">
        <w:rPr>
          <w:rFonts w:ascii="Calibri" w:eastAsia="Times New Roman" w:hAnsi="Calibri" w:cs="Times New Roman"/>
          <w:lang w:val="en-GB" w:bidi="he-IL"/>
        </w:rPr>
        <w:t>”I’</w:t>
      </w:r>
      <w:r w:rsidR="00840C74" w:rsidRPr="00840C74">
        <w:rPr>
          <w:rFonts w:ascii="Calibri" w:eastAsia="Times New Roman" w:hAnsi="Calibri" w:cs="Times New Roman"/>
          <w:lang w:val="en-GB" w:bidi="he-IL"/>
        </w:rPr>
        <w:t>m a resident</w:t>
      </w:r>
      <w:r w:rsidR="00122B80">
        <w:rPr>
          <w:rFonts w:ascii="Calibri" w:eastAsia="Times New Roman" w:hAnsi="Calibri" w:cs="Times New Roman"/>
          <w:lang w:val="en-GB" w:bidi="he-IL"/>
        </w:rPr>
        <w:t xml:space="preserve"> alien</w:t>
      </w:r>
      <w:r w:rsidR="00840C74" w:rsidRPr="00840C74">
        <w:rPr>
          <w:rFonts w:ascii="Calibri" w:eastAsia="Times New Roman" w:hAnsi="Calibri" w:cs="Times New Roman"/>
          <w:lang w:val="en-GB" w:bidi="he-IL"/>
        </w:rPr>
        <w:t>, a settler, living with you. Give me a burial holding with you, so I may bury my dead away from my presence.</w:t>
      </w:r>
      <w:r w:rsidR="00840C74">
        <w:rPr>
          <w:rFonts w:ascii="Calibri" w:eastAsia="Times New Roman" w:hAnsi="Calibri" w:cs="Times New Roman"/>
          <w:lang w:val="en-GB" w:bidi="he-IL"/>
        </w:rPr>
        <w:t>”</w:t>
      </w:r>
      <w:r w:rsidR="00840C74" w:rsidRPr="00840C74">
        <w:rPr>
          <w:rFonts w:ascii="Calibri" w:eastAsia="Times New Roman" w:hAnsi="Calibri" w:cs="Times New Roman"/>
          <w:lang w:val="en-GB" w:bidi="he-IL"/>
        </w:rPr>
        <w:t xml:space="preserve"> </w:t>
      </w:r>
      <w:r w:rsidR="00840C74">
        <w:rPr>
          <w:rFonts w:ascii="Calibri" w:eastAsia="Times New Roman" w:hAnsi="Calibri" w:cs="Times New Roman"/>
          <w:vertAlign w:val="superscript"/>
          <w:lang w:val="en-GB" w:bidi="he-IL"/>
        </w:rPr>
        <w:t>5</w:t>
      </w:r>
      <w:r w:rsidR="00943B64">
        <w:rPr>
          <w:rFonts w:ascii="Calibri" w:eastAsia="Times New Roman" w:hAnsi="Calibri" w:cs="Times New Roman"/>
          <w:lang w:val="en-GB" w:bidi="he-IL"/>
        </w:rPr>
        <w:t>The Ḥēt</w:t>
      </w:r>
      <w:r w:rsidR="00840C74" w:rsidRPr="00840C74">
        <w:rPr>
          <w:rFonts w:ascii="Calibri" w:eastAsia="Times New Roman" w:hAnsi="Calibri" w:cs="Times New Roman"/>
          <w:lang w:val="en-GB" w:bidi="he-IL"/>
        </w:rPr>
        <w:t>ites answered Abraham</w:t>
      </w:r>
      <w:r w:rsidR="00840C74">
        <w:rPr>
          <w:rFonts w:ascii="Calibri" w:eastAsia="Times New Roman" w:hAnsi="Calibri" w:cs="Times New Roman"/>
          <w:lang w:val="en-GB" w:bidi="he-IL"/>
        </w:rPr>
        <w:t>,</w:t>
      </w:r>
      <w:r w:rsidR="00560618">
        <w:rPr>
          <w:rFonts w:ascii="Calibri" w:eastAsia="Times New Roman" w:hAnsi="Calibri" w:cs="Times New Roman"/>
          <w:lang w:val="en-GB" w:bidi="he-IL"/>
        </w:rPr>
        <w:t xml:space="preserve"> saying to him,</w:t>
      </w:r>
      <w:r w:rsidR="00621B76">
        <w:rPr>
          <w:rStyle w:val="FootnoteReference"/>
          <w:rFonts w:ascii="Calibri" w:eastAsia="Times New Roman" w:hAnsi="Calibri" w:cs="Times New Roman"/>
          <w:lang w:val="en-GB" w:bidi="he-IL"/>
        </w:rPr>
        <w:footnoteReference w:id="746"/>
      </w:r>
      <w:r w:rsidR="00840C74">
        <w:rPr>
          <w:rFonts w:ascii="Calibri" w:eastAsia="Times New Roman" w:hAnsi="Calibri" w:cs="Times New Roman"/>
          <w:lang w:val="en-GB" w:bidi="he-IL"/>
        </w:rPr>
        <w:t xml:space="preserve"> </w:t>
      </w:r>
      <w:r w:rsidR="00840C74">
        <w:rPr>
          <w:rFonts w:ascii="Calibri" w:eastAsia="Times New Roman" w:hAnsi="Calibri" w:cs="Times New Roman"/>
          <w:vertAlign w:val="superscript"/>
          <w:lang w:val="en-GB" w:bidi="he-IL"/>
        </w:rPr>
        <w:t>6</w:t>
      </w:r>
      <w:r w:rsidR="00840C74">
        <w:rPr>
          <w:rFonts w:ascii="Calibri" w:eastAsia="Times New Roman" w:hAnsi="Calibri" w:cs="Times New Roman"/>
          <w:lang w:val="en-GB" w:bidi="he-IL"/>
        </w:rPr>
        <w:t>“</w:t>
      </w:r>
      <w:r w:rsidR="00981255">
        <w:rPr>
          <w:rFonts w:ascii="Calibri" w:eastAsia="Times New Roman" w:hAnsi="Calibri" w:cs="Times New Roman"/>
          <w:lang w:val="en-GB" w:bidi="he-IL"/>
        </w:rPr>
        <w:t>Listen to</w:t>
      </w:r>
      <w:r w:rsidR="00840C74" w:rsidRPr="00840C74">
        <w:rPr>
          <w:rFonts w:ascii="Calibri" w:eastAsia="Times New Roman" w:hAnsi="Calibri" w:cs="Times New Roman"/>
          <w:lang w:val="en-GB" w:bidi="he-IL"/>
        </w:rPr>
        <w:t xml:space="preserve"> us, sir. You’re an almighty leader</w:t>
      </w:r>
      <w:r w:rsidR="008E0B31">
        <w:rPr>
          <w:rStyle w:val="FootnoteReference"/>
          <w:rFonts w:ascii="Calibri" w:eastAsia="Times New Roman" w:hAnsi="Calibri" w:cs="Times New Roman"/>
          <w:lang w:val="en-GB" w:bidi="he-IL"/>
        </w:rPr>
        <w:footnoteReference w:id="747"/>
      </w:r>
      <w:r w:rsidR="00840C74" w:rsidRPr="00840C74">
        <w:rPr>
          <w:rFonts w:ascii="Calibri" w:eastAsia="Times New Roman" w:hAnsi="Calibri" w:cs="Times New Roman"/>
          <w:lang w:val="en-GB" w:bidi="he-IL"/>
        </w:rPr>
        <w:t xml:space="preserve"> among us. Bury your dead in the choicest of our burial places. None of us would withhold his burial place from you for burying your dead.</w:t>
      </w:r>
      <w:r w:rsidR="00840C74">
        <w:rPr>
          <w:rFonts w:ascii="Calibri" w:eastAsia="Times New Roman" w:hAnsi="Calibri" w:cs="Times New Roman"/>
          <w:lang w:val="en-GB" w:bidi="he-IL"/>
        </w:rPr>
        <w:t>”</w:t>
      </w:r>
      <w:r w:rsidR="00840C74" w:rsidRPr="00840C74">
        <w:rPr>
          <w:rFonts w:ascii="Calibri" w:eastAsia="Times New Roman" w:hAnsi="Calibri" w:cs="Times New Roman"/>
          <w:lang w:val="en-GB" w:bidi="he-IL"/>
        </w:rPr>
        <w:t xml:space="preserve"> </w:t>
      </w:r>
    </w:p>
    <w:p w14:paraId="5DC50BBE" w14:textId="114A5B35" w:rsidR="00840C74" w:rsidRPr="00840C74" w:rsidRDefault="00840C74" w:rsidP="00840C74">
      <w:pPr>
        <w:rPr>
          <w:rFonts w:ascii="Calibri" w:eastAsia="Times New Roman" w:hAnsi="Calibri" w:cs="Times New Roman"/>
          <w:lang w:val="en-GB" w:bidi="he-IL"/>
        </w:rPr>
      </w:pPr>
      <w:r>
        <w:rPr>
          <w:rFonts w:ascii="Calibri" w:eastAsia="Times New Roman" w:hAnsi="Calibri" w:cs="Times New Roman"/>
          <w:vertAlign w:val="superscript"/>
          <w:lang w:val="en-GB" w:bidi="he-IL"/>
        </w:rPr>
        <w:t>7</w:t>
      </w:r>
      <w:r w:rsidRPr="00840C74">
        <w:rPr>
          <w:rFonts w:ascii="Calibri" w:eastAsia="Times New Roman" w:hAnsi="Calibri" w:cs="Times New Roman"/>
          <w:lang w:val="en-GB" w:bidi="he-IL"/>
        </w:rPr>
        <w:t xml:space="preserve">Abraham got up and bowed low to the people of the country, to </w:t>
      </w:r>
      <w:r w:rsidR="00A87026">
        <w:rPr>
          <w:rFonts w:ascii="Calibri" w:eastAsia="Times New Roman" w:hAnsi="Calibri" w:cs="Times New Roman"/>
          <w:lang w:val="en-GB" w:bidi="he-IL"/>
        </w:rPr>
        <w:t xml:space="preserve">the </w:t>
      </w:r>
      <w:r w:rsidR="00A87026" w:rsidRPr="00A87026">
        <w:rPr>
          <w:rFonts w:ascii="Calibri" w:eastAsia="Times New Roman" w:hAnsi="Calibri" w:cs="Times New Roman"/>
          <w:lang w:val="en-GB" w:bidi="he-IL"/>
        </w:rPr>
        <w:t>Ḥētites</w:t>
      </w:r>
      <w:r>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8</w:t>
      </w:r>
      <w:r w:rsidRPr="00840C74">
        <w:rPr>
          <w:rFonts w:ascii="Calibri" w:eastAsia="Times New Roman" w:hAnsi="Calibri" w:cs="Times New Roman"/>
          <w:lang w:val="en-GB" w:bidi="he-IL"/>
        </w:rPr>
        <w:t>and spoke with them:</w:t>
      </w:r>
      <w:r>
        <w:rPr>
          <w:rFonts w:ascii="Calibri" w:eastAsia="Times New Roman" w:hAnsi="Calibri" w:cs="Times New Roman"/>
          <w:lang w:val="en-GB" w:bidi="he-IL"/>
        </w:rPr>
        <w:t xml:space="preserve"> “</w:t>
      </w:r>
      <w:r w:rsidRPr="00840C74">
        <w:rPr>
          <w:rFonts w:ascii="Calibri" w:eastAsia="Times New Roman" w:hAnsi="Calibri" w:cs="Times New Roman"/>
          <w:lang w:val="en-GB" w:bidi="he-IL"/>
        </w:rPr>
        <w:t>If it’s your desire that I should bury my dead away f</w:t>
      </w:r>
      <w:r w:rsidR="007D58A7">
        <w:rPr>
          <w:rFonts w:ascii="Calibri" w:eastAsia="Times New Roman" w:hAnsi="Calibri" w:cs="Times New Roman"/>
          <w:lang w:val="en-GB" w:bidi="he-IL"/>
        </w:rPr>
        <w:t>rom</w:t>
      </w:r>
      <w:r w:rsidR="00981255">
        <w:rPr>
          <w:rFonts w:ascii="Calibri" w:eastAsia="Times New Roman" w:hAnsi="Calibri" w:cs="Times New Roman"/>
          <w:lang w:val="en-GB" w:bidi="he-IL"/>
        </w:rPr>
        <w:t xml:space="preserve"> my presence, listen to</w:t>
      </w:r>
      <w:r w:rsidR="00E809DC">
        <w:rPr>
          <w:rFonts w:ascii="Calibri" w:eastAsia="Times New Roman" w:hAnsi="Calibri" w:cs="Times New Roman"/>
          <w:lang w:val="en-GB" w:bidi="he-IL"/>
        </w:rPr>
        <w:t xml:space="preserve"> me and meet </w:t>
      </w:r>
      <w:r w:rsidR="00627721">
        <w:rPr>
          <w:rFonts w:ascii="Calibri" w:eastAsia="Times New Roman" w:hAnsi="Calibri" w:cs="Times New Roman"/>
          <w:lang w:val="en-GB" w:bidi="he-IL"/>
        </w:rPr>
        <w:t>with Ep</w:t>
      </w:r>
      <w:r w:rsidR="008E6E41">
        <w:rPr>
          <w:rFonts w:ascii="Calibri" w:eastAsia="Times New Roman" w:hAnsi="Calibri" w:cs="Times New Roman"/>
          <w:lang w:val="en-GB" w:bidi="he-IL"/>
        </w:rPr>
        <w:t xml:space="preserve">ron ben </w:t>
      </w:r>
      <w:r w:rsidR="008E6E41" w:rsidRPr="008E6E41">
        <w:rPr>
          <w:rFonts w:ascii="Calibri" w:eastAsia="Times New Roman" w:hAnsi="Calibri" w:cs="Times New Roman"/>
          <w:lang w:val="en-GB" w:bidi="he-IL"/>
        </w:rPr>
        <w:t>Ṣ</w:t>
      </w:r>
      <w:r>
        <w:rPr>
          <w:rFonts w:ascii="Calibri" w:eastAsia="Times New Roman" w:hAnsi="Calibri" w:cs="Times New Roman"/>
          <w:lang w:val="en-GB" w:bidi="he-IL"/>
        </w:rPr>
        <w:t>ohar</w:t>
      </w:r>
      <w:r w:rsidR="00E809DC">
        <w:rPr>
          <w:rFonts w:ascii="Calibri" w:eastAsia="Times New Roman" w:hAnsi="Calibri" w:cs="Times New Roman"/>
          <w:lang w:val="en-GB" w:bidi="he-IL"/>
        </w:rPr>
        <w:t xml:space="preserve"> for me</w:t>
      </w:r>
      <w:r>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9</w:t>
      </w:r>
      <w:r w:rsidRPr="00840C74">
        <w:rPr>
          <w:rFonts w:ascii="Calibri" w:eastAsia="Times New Roman" w:hAnsi="Calibri" w:cs="Times New Roman"/>
          <w:lang w:val="en-GB" w:bidi="he-IL"/>
        </w:rPr>
        <w:t xml:space="preserve">so he may give me the </w:t>
      </w:r>
      <w:r w:rsidR="00683178">
        <w:rPr>
          <w:rFonts w:ascii="Calibri" w:eastAsia="Times New Roman" w:hAnsi="Calibri" w:cs="Times New Roman"/>
          <w:lang w:val="en-GB" w:bidi="he-IL"/>
        </w:rPr>
        <w:t>Double Cave</w:t>
      </w:r>
      <w:r w:rsidR="00BC2C58">
        <w:rPr>
          <w:rStyle w:val="FootnoteReference"/>
          <w:rFonts w:ascii="Calibri" w:eastAsia="Times New Roman" w:hAnsi="Calibri" w:cs="Times New Roman"/>
          <w:lang w:val="en-GB" w:bidi="he-IL"/>
        </w:rPr>
        <w:footnoteReference w:id="748"/>
      </w:r>
      <w:r w:rsidRPr="00840C74">
        <w:rPr>
          <w:rFonts w:ascii="Calibri" w:eastAsia="Times New Roman" w:hAnsi="Calibri" w:cs="Times New Roman"/>
          <w:lang w:val="en-GB" w:bidi="he-IL"/>
        </w:rPr>
        <w:t xml:space="preserve"> which is his and which is at the edge of his field. </w:t>
      </w:r>
      <w:r w:rsidR="00D83637">
        <w:rPr>
          <w:rFonts w:ascii="Calibri" w:eastAsia="Times New Roman" w:hAnsi="Calibri" w:cs="Times New Roman"/>
          <w:lang w:val="en-GB" w:bidi="he-IL"/>
        </w:rPr>
        <w:t>F</w:t>
      </w:r>
      <w:r w:rsidR="00D83637" w:rsidRPr="00D83637">
        <w:rPr>
          <w:rFonts w:ascii="Calibri" w:eastAsia="Times New Roman" w:hAnsi="Calibri" w:cs="Times New Roman"/>
          <w:lang w:val="en-GB" w:bidi="he-IL"/>
        </w:rPr>
        <w:t xml:space="preserve">or the full silver </w:t>
      </w:r>
      <w:r w:rsidR="00D83637">
        <w:rPr>
          <w:rFonts w:ascii="Calibri" w:eastAsia="Times New Roman" w:hAnsi="Calibri" w:cs="Times New Roman"/>
          <w:lang w:val="en-GB" w:bidi="he-IL"/>
        </w:rPr>
        <w:t>m</w:t>
      </w:r>
      <w:r w:rsidRPr="00840C74">
        <w:rPr>
          <w:rFonts w:ascii="Calibri" w:eastAsia="Times New Roman" w:hAnsi="Calibri" w:cs="Times New Roman"/>
          <w:lang w:val="en-GB" w:bidi="he-IL"/>
        </w:rPr>
        <w:t xml:space="preserve">ay he give it to me </w:t>
      </w:r>
      <w:r w:rsidR="00D83637" w:rsidRPr="00D83637">
        <w:rPr>
          <w:rFonts w:ascii="Calibri" w:eastAsia="Times New Roman" w:hAnsi="Calibri" w:cs="Times New Roman"/>
          <w:lang w:val="en-GB" w:bidi="he-IL"/>
        </w:rPr>
        <w:t xml:space="preserve">among you </w:t>
      </w:r>
      <w:r w:rsidRPr="00840C74">
        <w:rPr>
          <w:rFonts w:ascii="Calibri" w:eastAsia="Times New Roman" w:hAnsi="Calibri" w:cs="Times New Roman"/>
          <w:lang w:val="en-GB" w:bidi="he-IL"/>
        </w:rPr>
        <w:t xml:space="preserve">as a burial </w:t>
      </w:r>
      <w:proofErr w:type="gramStart"/>
      <w:r w:rsidRPr="00840C74">
        <w:rPr>
          <w:rFonts w:ascii="Calibri" w:eastAsia="Times New Roman" w:hAnsi="Calibri" w:cs="Times New Roman"/>
          <w:lang w:val="en-GB" w:bidi="he-IL"/>
        </w:rPr>
        <w:t>holding.</w:t>
      </w:r>
      <w:proofErr w:type="gramEnd"/>
      <w:r>
        <w:rPr>
          <w:rFonts w:ascii="Calibri" w:eastAsia="Times New Roman" w:hAnsi="Calibri" w:cs="Times New Roman"/>
          <w:lang w:val="en-GB" w:bidi="he-IL"/>
        </w:rPr>
        <w:t>”</w:t>
      </w:r>
      <w:r w:rsidRPr="00840C74">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10</w:t>
      </w:r>
      <w:r w:rsidR="00CB2E68">
        <w:rPr>
          <w:rFonts w:ascii="Calibri" w:eastAsia="Times New Roman" w:hAnsi="Calibri" w:cs="Times New Roman"/>
          <w:lang w:val="en-GB" w:bidi="he-IL"/>
        </w:rPr>
        <w:t>E</w:t>
      </w:r>
      <w:r w:rsidR="00627721">
        <w:rPr>
          <w:rFonts w:ascii="Calibri" w:eastAsia="Times New Roman" w:hAnsi="Calibri" w:cs="Times New Roman"/>
          <w:lang w:val="en-GB" w:bidi="he-IL"/>
        </w:rPr>
        <w:t>p</w:t>
      </w:r>
      <w:r w:rsidRPr="00840C74">
        <w:rPr>
          <w:rFonts w:ascii="Calibri" w:eastAsia="Times New Roman" w:hAnsi="Calibri" w:cs="Times New Roman"/>
          <w:lang w:val="en-GB" w:bidi="he-IL"/>
        </w:rPr>
        <w:t>ro</w:t>
      </w:r>
      <w:r w:rsidR="00A87026">
        <w:rPr>
          <w:rFonts w:ascii="Calibri" w:eastAsia="Times New Roman" w:hAnsi="Calibri" w:cs="Times New Roman"/>
          <w:lang w:val="en-GB" w:bidi="he-IL"/>
        </w:rPr>
        <w:t xml:space="preserve">n was sitting among the </w:t>
      </w:r>
      <w:r w:rsidR="00A87026" w:rsidRPr="00A87026">
        <w:rPr>
          <w:rFonts w:ascii="Calibri" w:eastAsia="Times New Roman" w:hAnsi="Calibri" w:cs="Times New Roman"/>
          <w:lang w:val="en-GB" w:bidi="he-IL"/>
        </w:rPr>
        <w:t>Ḥētites</w:t>
      </w:r>
      <w:r w:rsidRPr="00840C74">
        <w:rPr>
          <w:rFonts w:ascii="Calibri" w:eastAsia="Times New Roman" w:hAnsi="Calibri" w:cs="Times New Roman"/>
          <w:lang w:val="en-GB" w:bidi="he-IL"/>
        </w:rPr>
        <w:t xml:space="preserve">. </w:t>
      </w:r>
    </w:p>
    <w:p w14:paraId="6B605502" w14:textId="31D8FC6A" w:rsidR="00840C74" w:rsidRPr="00840C74" w:rsidRDefault="00627721" w:rsidP="00840C74">
      <w:pPr>
        <w:rPr>
          <w:rFonts w:ascii="Calibri" w:eastAsia="Times New Roman" w:hAnsi="Calibri" w:cs="Times New Roman"/>
          <w:lang w:val="en-GB" w:bidi="he-IL"/>
        </w:rPr>
      </w:pPr>
      <w:r>
        <w:rPr>
          <w:rFonts w:ascii="Calibri" w:eastAsia="Times New Roman" w:hAnsi="Calibri" w:cs="Times New Roman"/>
          <w:lang w:val="en-GB" w:bidi="he-IL"/>
        </w:rPr>
        <w:t>Ep</w:t>
      </w:r>
      <w:r w:rsidR="00840C74" w:rsidRPr="00840C74">
        <w:rPr>
          <w:rFonts w:ascii="Calibri" w:eastAsia="Times New Roman" w:hAnsi="Calibri" w:cs="Times New Roman"/>
          <w:lang w:val="en-GB" w:bidi="he-IL"/>
        </w:rPr>
        <w:t xml:space="preserve">ron the </w:t>
      </w:r>
      <w:r w:rsidR="00044E3D">
        <w:rPr>
          <w:rFonts w:ascii="Calibri" w:eastAsia="Times New Roman" w:hAnsi="Calibri" w:cs="Times New Roman"/>
          <w:lang w:val="en-GB" w:bidi="he-IL"/>
        </w:rPr>
        <w:t>Ḥi</w:t>
      </w:r>
      <w:r>
        <w:rPr>
          <w:rFonts w:ascii="Calibri" w:eastAsia="Times New Roman" w:hAnsi="Calibri" w:cs="Calibri"/>
          <w:lang w:val="en-GB" w:bidi="he-IL"/>
        </w:rPr>
        <w:t>ṭṭ</w:t>
      </w:r>
      <w:r w:rsidR="00044E3D">
        <w:rPr>
          <w:rFonts w:ascii="Calibri" w:eastAsia="Times New Roman" w:hAnsi="Calibri" w:cs="Times New Roman"/>
          <w:lang w:val="en-GB" w:bidi="he-IL"/>
        </w:rPr>
        <w:t>ite</w:t>
      </w:r>
      <w:r w:rsidR="00CB2E68">
        <w:rPr>
          <w:rStyle w:val="FootnoteReference"/>
          <w:rFonts w:ascii="Calibri" w:eastAsia="Times New Roman" w:hAnsi="Calibri" w:cs="Times New Roman"/>
          <w:lang w:val="en-GB" w:bidi="he-IL"/>
        </w:rPr>
        <w:footnoteReference w:id="749"/>
      </w:r>
      <w:r w:rsidR="00840C74" w:rsidRPr="00840C74">
        <w:rPr>
          <w:rFonts w:ascii="Calibri" w:eastAsia="Times New Roman" w:hAnsi="Calibri" w:cs="Times New Roman"/>
          <w:lang w:val="en-GB" w:bidi="he-IL"/>
        </w:rPr>
        <w:t xml:space="preserve"> answered Abr</w:t>
      </w:r>
      <w:r w:rsidR="00A87026">
        <w:rPr>
          <w:rFonts w:ascii="Calibri" w:eastAsia="Times New Roman" w:hAnsi="Calibri" w:cs="Times New Roman"/>
          <w:lang w:val="en-GB" w:bidi="he-IL"/>
        </w:rPr>
        <w:t xml:space="preserve">aham in the ears of the </w:t>
      </w:r>
      <w:r w:rsidR="00A87026" w:rsidRPr="00A87026">
        <w:rPr>
          <w:rFonts w:ascii="Calibri" w:eastAsia="Times New Roman" w:hAnsi="Calibri" w:cs="Times New Roman"/>
          <w:lang w:val="en-GB" w:bidi="he-IL"/>
        </w:rPr>
        <w:t>Ḥētites</w:t>
      </w:r>
      <w:r w:rsidR="00840C74" w:rsidRPr="00840C74">
        <w:rPr>
          <w:rFonts w:ascii="Calibri" w:eastAsia="Times New Roman" w:hAnsi="Calibri" w:cs="Times New Roman"/>
          <w:lang w:val="en-GB" w:bidi="he-IL"/>
        </w:rPr>
        <w:t xml:space="preserve">, </w:t>
      </w:r>
      <w:r w:rsidR="00560618">
        <w:rPr>
          <w:rFonts w:ascii="Calibri" w:eastAsia="Times New Roman" w:hAnsi="Calibri" w:cs="Times New Roman"/>
          <w:lang w:val="en-GB" w:bidi="he-IL"/>
        </w:rPr>
        <w:t xml:space="preserve">of </w:t>
      </w:r>
      <w:r w:rsidR="00840C74" w:rsidRPr="00840C74">
        <w:rPr>
          <w:rFonts w:ascii="Calibri" w:eastAsia="Times New Roman" w:hAnsi="Calibri" w:cs="Times New Roman"/>
          <w:lang w:val="en-GB" w:bidi="he-IL"/>
        </w:rPr>
        <w:t>all wh</w:t>
      </w:r>
      <w:r w:rsidR="00703220">
        <w:rPr>
          <w:rFonts w:ascii="Calibri" w:eastAsia="Times New Roman" w:hAnsi="Calibri" w:cs="Times New Roman"/>
          <w:lang w:val="en-GB" w:bidi="he-IL"/>
        </w:rPr>
        <w:t>o came to</w:t>
      </w:r>
      <w:r w:rsidR="00BB4E2F">
        <w:rPr>
          <w:rFonts w:ascii="Calibri" w:eastAsia="Times New Roman" w:hAnsi="Calibri" w:cs="Times New Roman"/>
          <w:lang w:val="en-GB" w:bidi="he-IL"/>
        </w:rPr>
        <w:t xml:space="preserve"> the town gateway: </w:t>
      </w:r>
      <w:r w:rsidR="00BB4E2F">
        <w:rPr>
          <w:rFonts w:ascii="Calibri" w:eastAsia="Times New Roman" w:hAnsi="Calibri" w:cs="Times New Roman"/>
          <w:vertAlign w:val="superscript"/>
          <w:lang w:val="en-GB" w:bidi="he-IL"/>
        </w:rPr>
        <w:t>11</w:t>
      </w:r>
      <w:r w:rsidR="00BB4E2F">
        <w:rPr>
          <w:rFonts w:ascii="Calibri" w:eastAsia="Times New Roman" w:hAnsi="Calibri" w:cs="Times New Roman"/>
          <w:lang w:val="en-GB" w:bidi="he-IL"/>
        </w:rPr>
        <w:t>“</w:t>
      </w:r>
      <w:r w:rsidR="00840C74" w:rsidRPr="00840C74">
        <w:rPr>
          <w:rFonts w:ascii="Calibri" w:eastAsia="Times New Roman" w:hAnsi="Calibri" w:cs="Times New Roman"/>
          <w:lang w:val="en-GB" w:bidi="he-IL"/>
        </w:rPr>
        <w:t xml:space="preserve">No, sir, listen to me. The field – I </w:t>
      </w:r>
      <w:r w:rsidR="00E92840">
        <w:rPr>
          <w:rFonts w:ascii="Calibri" w:eastAsia="Times New Roman" w:hAnsi="Calibri" w:cs="Times New Roman"/>
          <w:lang w:val="en-GB" w:bidi="he-IL"/>
        </w:rPr>
        <w:t>am</w:t>
      </w:r>
      <w:r w:rsidR="0081149A">
        <w:rPr>
          <w:rFonts w:ascii="Calibri" w:eastAsia="Times New Roman" w:hAnsi="Calibri" w:cs="Times New Roman"/>
          <w:lang w:val="en-GB" w:bidi="he-IL"/>
        </w:rPr>
        <w:t xml:space="preserve"> </w:t>
      </w:r>
      <w:r w:rsidR="00E92840">
        <w:rPr>
          <w:rFonts w:ascii="Calibri" w:eastAsia="Times New Roman" w:hAnsi="Calibri" w:cs="Times New Roman"/>
          <w:lang w:val="en-GB" w:bidi="he-IL"/>
        </w:rPr>
        <w:t>giving</w:t>
      </w:r>
      <w:r w:rsidR="0081149A" w:rsidRPr="0081149A">
        <w:rPr>
          <w:rFonts w:ascii="Calibri" w:eastAsia="Times New Roman" w:hAnsi="Calibri" w:cs="Times New Roman"/>
          <w:vertAlign w:val="superscript"/>
          <w:lang w:val="en-GB" w:bidi="he-IL"/>
        </w:rPr>
        <w:footnoteReference w:id="750"/>
      </w:r>
      <w:r w:rsidR="00840C74" w:rsidRPr="00840C74">
        <w:rPr>
          <w:rFonts w:ascii="Calibri" w:eastAsia="Times New Roman" w:hAnsi="Calibri" w:cs="Times New Roman"/>
          <w:lang w:val="en-GB" w:bidi="he-IL"/>
        </w:rPr>
        <w:t xml:space="preserve"> it to you, and the cave that’s in it. I </w:t>
      </w:r>
      <w:r w:rsidR="00A2645E">
        <w:rPr>
          <w:rFonts w:ascii="Calibri" w:eastAsia="Times New Roman" w:hAnsi="Calibri" w:cs="Times New Roman"/>
          <w:lang w:val="en-GB" w:bidi="he-IL"/>
        </w:rPr>
        <w:t>am giving</w:t>
      </w:r>
      <w:r w:rsidR="00840C74" w:rsidRPr="00840C74">
        <w:rPr>
          <w:rFonts w:ascii="Calibri" w:eastAsia="Times New Roman" w:hAnsi="Calibri" w:cs="Times New Roman"/>
          <w:lang w:val="en-GB" w:bidi="he-IL"/>
        </w:rPr>
        <w:t xml:space="preserve"> it to you, before the eyes of the members of my people I </w:t>
      </w:r>
      <w:r w:rsidR="00A2645E">
        <w:rPr>
          <w:rFonts w:ascii="Calibri" w:eastAsia="Times New Roman" w:hAnsi="Calibri" w:cs="Times New Roman"/>
          <w:lang w:val="en-GB" w:bidi="he-IL"/>
        </w:rPr>
        <w:t>am giving</w:t>
      </w:r>
      <w:r w:rsidR="00CB2E68">
        <w:rPr>
          <w:rFonts w:ascii="Calibri" w:eastAsia="Times New Roman" w:hAnsi="Calibri" w:cs="Times New Roman"/>
          <w:lang w:val="en-GB" w:bidi="he-IL"/>
        </w:rPr>
        <w:t xml:space="preserve"> it to you. Bury your dead</w:t>
      </w:r>
      <w:r w:rsidR="00BB4E2F">
        <w:rPr>
          <w:rFonts w:ascii="Calibri" w:eastAsia="Times New Roman" w:hAnsi="Calibri" w:cs="Times New Roman"/>
          <w:lang w:val="en-GB" w:bidi="he-IL"/>
        </w:rPr>
        <w:t>.</w:t>
      </w:r>
      <w:r w:rsidR="00CB2E68">
        <w:rPr>
          <w:rFonts w:ascii="Calibri" w:eastAsia="Times New Roman" w:hAnsi="Calibri" w:cs="Times New Roman"/>
          <w:lang w:val="en-GB" w:bidi="he-IL"/>
        </w:rPr>
        <w:t>”</w:t>
      </w:r>
      <w:r w:rsidR="00BB4E2F">
        <w:rPr>
          <w:rFonts w:ascii="Calibri" w:eastAsia="Times New Roman" w:hAnsi="Calibri" w:cs="Times New Roman"/>
          <w:lang w:val="en-GB" w:bidi="he-IL"/>
        </w:rPr>
        <w:t xml:space="preserve"> </w:t>
      </w:r>
      <w:r w:rsidR="00BB4E2F">
        <w:rPr>
          <w:rFonts w:ascii="Calibri" w:eastAsia="Times New Roman" w:hAnsi="Calibri" w:cs="Times New Roman"/>
          <w:vertAlign w:val="superscript"/>
          <w:lang w:val="en-GB" w:bidi="he-IL"/>
        </w:rPr>
        <w:t>12</w:t>
      </w:r>
      <w:r w:rsidR="00840C74" w:rsidRPr="00840C74">
        <w:rPr>
          <w:rFonts w:ascii="Calibri" w:eastAsia="Times New Roman" w:hAnsi="Calibri" w:cs="Times New Roman"/>
          <w:lang w:val="en-GB" w:bidi="he-IL"/>
        </w:rPr>
        <w:t>Abraham bowed low befo</w:t>
      </w:r>
      <w:r w:rsidR="00BB4E2F">
        <w:rPr>
          <w:rFonts w:ascii="Calibri" w:eastAsia="Times New Roman" w:hAnsi="Calibri" w:cs="Times New Roman"/>
          <w:lang w:val="en-GB" w:bidi="he-IL"/>
        </w:rPr>
        <w:t xml:space="preserve">re the people of the country </w:t>
      </w:r>
      <w:r w:rsidR="00BB4E2F">
        <w:rPr>
          <w:rFonts w:ascii="Calibri" w:eastAsia="Times New Roman" w:hAnsi="Calibri" w:cs="Times New Roman"/>
          <w:vertAlign w:val="superscript"/>
          <w:lang w:val="en-GB" w:bidi="he-IL"/>
        </w:rPr>
        <w:t>13</w:t>
      </w:r>
      <w:r>
        <w:rPr>
          <w:rFonts w:ascii="Calibri" w:eastAsia="Times New Roman" w:hAnsi="Calibri" w:cs="Times New Roman"/>
          <w:lang w:val="en-GB" w:bidi="he-IL"/>
        </w:rPr>
        <w:t>and spoke with Ep</w:t>
      </w:r>
      <w:r w:rsidR="00840C74" w:rsidRPr="00840C74">
        <w:rPr>
          <w:rFonts w:ascii="Calibri" w:eastAsia="Times New Roman" w:hAnsi="Calibri" w:cs="Times New Roman"/>
          <w:lang w:val="en-GB" w:bidi="he-IL"/>
        </w:rPr>
        <w:t>ron in the ears</w:t>
      </w:r>
      <w:r w:rsidR="00BB4E2F">
        <w:rPr>
          <w:rFonts w:ascii="Calibri" w:eastAsia="Times New Roman" w:hAnsi="Calibri" w:cs="Times New Roman"/>
          <w:lang w:val="en-GB" w:bidi="he-IL"/>
        </w:rPr>
        <w:t xml:space="preserve"> of the people of the </w:t>
      </w:r>
      <w:r w:rsidR="00BB4E2F">
        <w:rPr>
          <w:rFonts w:ascii="Calibri" w:eastAsia="Times New Roman" w:hAnsi="Calibri" w:cs="Times New Roman"/>
          <w:lang w:val="en-GB" w:bidi="he-IL"/>
        </w:rPr>
        <w:lastRenderedPageBreak/>
        <w:t>country: “</w:t>
      </w:r>
      <w:r w:rsidR="00840C74" w:rsidRPr="00840C74">
        <w:rPr>
          <w:rFonts w:ascii="Calibri" w:eastAsia="Times New Roman" w:hAnsi="Calibri" w:cs="Times New Roman"/>
          <w:lang w:val="en-GB" w:bidi="he-IL"/>
        </w:rPr>
        <w:t xml:space="preserve">But if you yourself would please listen to me: I </w:t>
      </w:r>
      <w:r w:rsidR="00E92840">
        <w:rPr>
          <w:rFonts w:ascii="Calibri" w:eastAsia="Times New Roman" w:hAnsi="Calibri" w:cs="Times New Roman"/>
          <w:lang w:val="en-GB" w:bidi="he-IL"/>
        </w:rPr>
        <w:t>am giving</w:t>
      </w:r>
      <w:r w:rsidR="00840C74" w:rsidRPr="00840C74">
        <w:rPr>
          <w:rFonts w:ascii="Calibri" w:eastAsia="Times New Roman" w:hAnsi="Calibri" w:cs="Times New Roman"/>
          <w:lang w:val="en-GB" w:bidi="he-IL"/>
        </w:rPr>
        <w:t xml:space="preserve"> you th</w:t>
      </w:r>
      <w:r w:rsidR="008E1F8B">
        <w:rPr>
          <w:rFonts w:ascii="Calibri" w:eastAsia="Times New Roman" w:hAnsi="Calibri" w:cs="Times New Roman"/>
          <w:lang w:val="en-GB" w:bidi="he-IL"/>
        </w:rPr>
        <w:t>e silver for the field. Get</w:t>
      </w:r>
      <w:r w:rsidR="00840C74" w:rsidRPr="00840C74">
        <w:rPr>
          <w:rFonts w:ascii="Calibri" w:eastAsia="Times New Roman" w:hAnsi="Calibri" w:cs="Times New Roman"/>
          <w:lang w:val="en-GB" w:bidi="he-IL"/>
        </w:rPr>
        <w:t xml:space="preserve"> it from </w:t>
      </w:r>
      <w:r w:rsidR="00BB4E2F">
        <w:rPr>
          <w:rFonts w:ascii="Calibri" w:eastAsia="Times New Roman" w:hAnsi="Calibri" w:cs="Times New Roman"/>
          <w:lang w:val="en-GB" w:bidi="he-IL"/>
        </w:rPr>
        <w:t>me, so I may bury my dead there</w:t>
      </w:r>
      <w:r w:rsidR="00840C74" w:rsidRPr="00840C74">
        <w:rPr>
          <w:rFonts w:ascii="Calibri" w:eastAsia="Times New Roman" w:hAnsi="Calibri" w:cs="Times New Roman"/>
          <w:lang w:val="en-GB" w:bidi="he-IL"/>
        </w:rPr>
        <w:t>.</w:t>
      </w:r>
      <w:r w:rsidR="00BB4E2F">
        <w:rPr>
          <w:rFonts w:ascii="Calibri" w:eastAsia="Times New Roman" w:hAnsi="Calibri" w:cs="Times New Roman"/>
          <w:lang w:val="en-GB" w:bidi="he-IL"/>
        </w:rPr>
        <w:t xml:space="preserve">” </w:t>
      </w:r>
      <w:r w:rsidR="00BB4E2F">
        <w:rPr>
          <w:rFonts w:ascii="Calibri" w:eastAsia="Times New Roman" w:hAnsi="Calibri" w:cs="Times New Roman"/>
          <w:vertAlign w:val="superscript"/>
          <w:lang w:val="en-GB" w:bidi="he-IL"/>
        </w:rPr>
        <w:t>14</w:t>
      </w:r>
      <w:r w:rsidR="009A4079">
        <w:rPr>
          <w:rFonts w:ascii="Calibri" w:eastAsia="Times New Roman" w:hAnsi="Calibri" w:cs="Times New Roman"/>
          <w:lang w:val="en-GB" w:bidi="he-IL"/>
        </w:rPr>
        <w:t>Ep</w:t>
      </w:r>
      <w:r w:rsidR="00BB4E2F">
        <w:rPr>
          <w:rFonts w:ascii="Calibri" w:eastAsia="Times New Roman" w:hAnsi="Calibri" w:cs="Times New Roman"/>
          <w:lang w:val="en-GB" w:bidi="he-IL"/>
        </w:rPr>
        <w:t xml:space="preserve">ron answered Abraham, </w:t>
      </w:r>
      <w:r w:rsidR="00BB4E2F">
        <w:rPr>
          <w:rFonts w:ascii="Calibri" w:eastAsia="Times New Roman" w:hAnsi="Calibri" w:cs="Times New Roman"/>
          <w:vertAlign w:val="superscript"/>
          <w:lang w:val="en-GB" w:bidi="he-IL"/>
        </w:rPr>
        <w:t>15</w:t>
      </w:r>
      <w:r w:rsidR="00BB4E2F">
        <w:rPr>
          <w:rFonts w:ascii="Calibri" w:eastAsia="Times New Roman" w:hAnsi="Calibri" w:cs="Times New Roman"/>
          <w:lang w:val="en-GB" w:bidi="he-IL"/>
        </w:rPr>
        <w:t>“</w:t>
      </w:r>
      <w:r w:rsidR="00840C74" w:rsidRPr="00840C74">
        <w:rPr>
          <w:rFonts w:ascii="Calibri" w:eastAsia="Times New Roman" w:hAnsi="Calibri" w:cs="Times New Roman"/>
          <w:lang w:val="en-GB" w:bidi="he-IL"/>
        </w:rPr>
        <w:t>Sir, listen to me: land worth 400 sheqels – between me and you, w</w:t>
      </w:r>
      <w:r w:rsidR="008D222A">
        <w:rPr>
          <w:rFonts w:ascii="Calibri" w:eastAsia="Times New Roman" w:hAnsi="Calibri" w:cs="Times New Roman"/>
          <w:lang w:val="en-GB" w:bidi="he-IL"/>
        </w:rPr>
        <w:t>hat’s that? Y</w:t>
      </w:r>
      <w:r w:rsidR="00BB4E2F">
        <w:rPr>
          <w:rFonts w:ascii="Calibri" w:eastAsia="Times New Roman" w:hAnsi="Calibri" w:cs="Times New Roman"/>
          <w:lang w:val="en-GB" w:bidi="he-IL"/>
        </w:rPr>
        <w:t>our dead</w:t>
      </w:r>
      <w:r w:rsidR="008D222A">
        <w:rPr>
          <w:rFonts w:ascii="Calibri" w:eastAsia="Times New Roman" w:hAnsi="Calibri" w:cs="Times New Roman"/>
          <w:lang w:val="en-GB" w:bidi="he-IL"/>
        </w:rPr>
        <w:t>: bury her</w:t>
      </w:r>
      <w:r w:rsidR="00BB4E2F">
        <w:rPr>
          <w:rFonts w:ascii="Calibri" w:eastAsia="Times New Roman" w:hAnsi="Calibri" w:cs="Times New Roman"/>
          <w:lang w:val="en-GB" w:bidi="he-IL"/>
        </w:rPr>
        <w:t xml:space="preserve">.” </w:t>
      </w:r>
      <w:r w:rsidR="00BB4E2F">
        <w:rPr>
          <w:rFonts w:ascii="Calibri" w:eastAsia="Times New Roman" w:hAnsi="Calibri" w:cs="Times New Roman"/>
          <w:vertAlign w:val="superscript"/>
          <w:lang w:val="en-GB" w:bidi="he-IL"/>
        </w:rPr>
        <w:t>16</w:t>
      </w:r>
      <w:r w:rsidR="009A4079">
        <w:rPr>
          <w:rFonts w:ascii="Calibri" w:eastAsia="Times New Roman" w:hAnsi="Calibri" w:cs="Times New Roman"/>
          <w:lang w:val="en-GB" w:bidi="he-IL"/>
        </w:rPr>
        <w:t>Abraham listened to Ep</w:t>
      </w:r>
      <w:r w:rsidR="00840C74" w:rsidRPr="00840C74">
        <w:rPr>
          <w:rFonts w:ascii="Calibri" w:eastAsia="Times New Roman" w:hAnsi="Calibri" w:cs="Times New Roman"/>
          <w:lang w:val="en-GB" w:bidi="he-IL"/>
        </w:rPr>
        <w:t xml:space="preserve">ron. </w:t>
      </w:r>
    </w:p>
    <w:p w14:paraId="69AA1786" w14:textId="0E9F797C" w:rsidR="00981255" w:rsidRDefault="00840C74" w:rsidP="00981255">
      <w:pPr>
        <w:tabs>
          <w:tab w:val="left" w:pos="7020"/>
        </w:tabs>
        <w:rPr>
          <w:rFonts w:ascii="Calibri" w:eastAsia="Times New Roman" w:hAnsi="Calibri" w:cs="Times New Roman"/>
          <w:lang w:val="en-GB" w:bidi="he-IL"/>
        </w:rPr>
      </w:pPr>
      <w:r w:rsidRPr="00840C74">
        <w:rPr>
          <w:rFonts w:ascii="Calibri" w:eastAsia="Times New Roman" w:hAnsi="Calibri" w:cs="Times New Roman"/>
          <w:lang w:val="en-GB" w:bidi="he-IL"/>
        </w:rPr>
        <w:t>So Abraham weighed out to</w:t>
      </w:r>
      <w:r w:rsidR="009A4079">
        <w:rPr>
          <w:rFonts w:ascii="Calibri" w:eastAsia="Times New Roman" w:hAnsi="Calibri" w:cs="Times New Roman"/>
          <w:lang w:val="en-GB" w:bidi="he-IL"/>
        </w:rPr>
        <w:t xml:space="preserve"> Ep</w:t>
      </w:r>
      <w:r w:rsidRPr="00840C74">
        <w:rPr>
          <w:rFonts w:ascii="Calibri" w:eastAsia="Times New Roman" w:hAnsi="Calibri" w:cs="Times New Roman"/>
          <w:lang w:val="en-GB" w:bidi="he-IL"/>
        </w:rPr>
        <w:t>ron the silver that he had spoke</w:t>
      </w:r>
      <w:r w:rsidR="00A87026">
        <w:rPr>
          <w:rFonts w:ascii="Calibri" w:eastAsia="Times New Roman" w:hAnsi="Calibri" w:cs="Times New Roman"/>
          <w:lang w:val="en-GB" w:bidi="he-IL"/>
        </w:rPr>
        <w:t xml:space="preserve">n of in the ears of the </w:t>
      </w:r>
      <w:r w:rsidR="00A87026" w:rsidRPr="00A87026">
        <w:rPr>
          <w:rFonts w:ascii="Calibri" w:eastAsia="Times New Roman" w:hAnsi="Calibri" w:cs="Times New Roman"/>
          <w:lang w:val="en-GB" w:bidi="he-IL"/>
        </w:rPr>
        <w:t>Ḥētites</w:t>
      </w:r>
      <w:r w:rsidRPr="00840C74">
        <w:rPr>
          <w:rFonts w:ascii="Calibri" w:eastAsia="Times New Roman" w:hAnsi="Calibri" w:cs="Times New Roman"/>
          <w:lang w:val="en-GB" w:bidi="he-IL"/>
        </w:rPr>
        <w:t>, 400 sheqels of silver, a</w:t>
      </w:r>
      <w:r w:rsidR="00BB4E2F">
        <w:rPr>
          <w:rFonts w:ascii="Calibri" w:eastAsia="Times New Roman" w:hAnsi="Calibri" w:cs="Times New Roman"/>
          <w:lang w:val="en-GB" w:bidi="he-IL"/>
        </w:rPr>
        <w:t>s current for the merchants.</w:t>
      </w:r>
      <w:r w:rsidR="00EF5737">
        <w:rPr>
          <w:rStyle w:val="FootnoteReference"/>
          <w:rFonts w:ascii="Calibri" w:eastAsia="Times New Roman" w:hAnsi="Calibri" w:cs="Times New Roman"/>
          <w:lang w:val="en-GB" w:bidi="he-IL"/>
        </w:rPr>
        <w:footnoteReference w:id="751"/>
      </w:r>
      <w:r w:rsidR="00BB4E2F">
        <w:rPr>
          <w:rFonts w:ascii="Calibri" w:eastAsia="Times New Roman" w:hAnsi="Calibri" w:cs="Times New Roman"/>
          <w:lang w:val="en-GB" w:bidi="he-IL"/>
        </w:rPr>
        <w:t xml:space="preserve"> </w:t>
      </w:r>
      <w:r w:rsidR="00BB4E2F">
        <w:rPr>
          <w:rFonts w:ascii="Calibri" w:eastAsia="Times New Roman" w:hAnsi="Calibri" w:cs="Times New Roman"/>
          <w:vertAlign w:val="superscript"/>
          <w:lang w:val="en-GB" w:bidi="he-IL"/>
        </w:rPr>
        <w:t>17</w:t>
      </w:r>
      <w:r w:rsidR="009A4079">
        <w:rPr>
          <w:rFonts w:ascii="Calibri" w:eastAsia="Times New Roman" w:hAnsi="Calibri" w:cs="Times New Roman"/>
          <w:lang w:val="en-GB" w:bidi="he-IL"/>
        </w:rPr>
        <w:t>And Ep</w:t>
      </w:r>
      <w:r w:rsidR="00683178">
        <w:rPr>
          <w:rFonts w:ascii="Calibri" w:eastAsia="Times New Roman" w:hAnsi="Calibri" w:cs="Times New Roman"/>
          <w:lang w:val="en-GB" w:bidi="he-IL"/>
        </w:rPr>
        <w:t>ron’s field which is at Double</w:t>
      </w:r>
      <w:r w:rsidRPr="00840C74">
        <w:rPr>
          <w:rFonts w:ascii="Calibri" w:eastAsia="Times New Roman" w:hAnsi="Calibri" w:cs="Times New Roman"/>
          <w:lang w:val="en-GB" w:bidi="he-IL"/>
        </w:rPr>
        <w:t>, which is close to Mamre (the field and the cave that was in it and all the trees that were in the field, which were in a</w:t>
      </w:r>
      <w:r w:rsidR="00BB4E2F">
        <w:rPr>
          <w:rFonts w:ascii="Calibri" w:eastAsia="Times New Roman" w:hAnsi="Calibri" w:cs="Times New Roman"/>
          <w:lang w:val="en-GB" w:bidi="he-IL"/>
        </w:rPr>
        <w:t>ll its border around) passed</w:t>
      </w:r>
      <w:r w:rsidR="00BC2C58">
        <w:rPr>
          <w:rStyle w:val="FootnoteReference"/>
          <w:rFonts w:ascii="Calibri" w:eastAsia="Times New Roman" w:hAnsi="Calibri" w:cs="Times New Roman"/>
          <w:lang w:val="en-GB" w:bidi="he-IL"/>
        </w:rPr>
        <w:footnoteReference w:id="752"/>
      </w:r>
      <w:r w:rsidR="00BB4E2F">
        <w:rPr>
          <w:rFonts w:ascii="Calibri" w:eastAsia="Times New Roman" w:hAnsi="Calibri" w:cs="Times New Roman"/>
          <w:lang w:val="en-GB" w:bidi="he-IL"/>
        </w:rPr>
        <w:t xml:space="preserve"> </w:t>
      </w:r>
      <w:r w:rsidR="00BB4E2F">
        <w:rPr>
          <w:rFonts w:ascii="Calibri" w:eastAsia="Times New Roman" w:hAnsi="Calibri" w:cs="Times New Roman"/>
          <w:vertAlign w:val="superscript"/>
          <w:lang w:val="en-GB" w:bidi="he-IL"/>
        </w:rPr>
        <w:t>18</w:t>
      </w:r>
      <w:r w:rsidRPr="00840C74">
        <w:rPr>
          <w:rFonts w:ascii="Calibri" w:eastAsia="Times New Roman" w:hAnsi="Calibri" w:cs="Times New Roman"/>
          <w:lang w:val="en-GB" w:bidi="he-IL"/>
        </w:rPr>
        <w:t>to Abraham as his acquisition</w:t>
      </w:r>
      <w:r w:rsidR="00A87026">
        <w:rPr>
          <w:rFonts w:ascii="Calibri" w:eastAsia="Times New Roman" w:hAnsi="Calibri" w:cs="Times New Roman"/>
          <w:lang w:val="en-GB" w:bidi="he-IL"/>
        </w:rPr>
        <w:t xml:space="preserve"> before the eyes of the </w:t>
      </w:r>
      <w:r w:rsidR="00A87026" w:rsidRPr="00A87026">
        <w:rPr>
          <w:rFonts w:ascii="Calibri" w:eastAsia="Times New Roman" w:hAnsi="Calibri" w:cs="Times New Roman"/>
          <w:lang w:val="en-GB" w:bidi="he-IL"/>
        </w:rPr>
        <w:t>Ḥētites</w:t>
      </w:r>
      <w:r w:rsidRPr="00840C74">
        <w:rPr>
          <w:rFonts w:ascii="Calibri" w:eastAsia="Times New Roman" w:hAnsi="Calibri" w:cs="Times New Roman"/>
          <w:lang w:val="en-GB" w:bidi="he-IL"/>
        </w:rPr>
        <w:t xml:space="preserve">, </w:t>
      </w:r>
      <w:r w:rsidR="00100465">
        <w:rPr>
          <w:rFonts w:ascii="Calibri" w:eastAsia="Times New Roman" w:hAnsi="Calibri" w:cs="Times New Roman"/>
          <w:lang w:val="en-GB" w:bidi="he-IL"/>
        </w:rPr>
        <w:t xml:space="preserve">of </w:t>
      </w:r>
      <w:r w:rsidRPr="00840C74">
        <w:rPr>
          <w:rFonts w:ascii="Calibri" w:eastAsia="Times New Roman" w:hAnsi="Calibri" w:cs="Times New Roman"/>
          <w:lang w:val="en-GB" w:bidi="he-IL"/>
        </w:rPr>
        <w:t xml:space="preserve">all who had come to the town gateway. </w:t>
      </w:r>
    </w:p>
    <w:p w14:paraId="3D555BCD" w14:textId="77777777" w:rsidR="00840C74" w:rsidRPr="00840C74" w:rsidRDefault="00BB4E2F" w:rsidP="00981255">
      <w:pPr>
        <w:tabs>
          <w:tab w:val="left" w:pos="7020"/>
        </w:tabs>
        <w:rPr>
          <w:rFonts w:ascii="Calibri" w:eastAsia="Times New Roman" w:hAnsi="Calibri" w:cs="Times New Roman"/>
          <w:lang w:val="en-GB" w:bidi="he-IL"/>
        </w:rPr>
      </w:pPr>
      <w:r>
        <w:rPr>
          <w:rFonts w:ascii="Calibri" w:eastAsia="Times New Roman" w:hAnsi="Calibri" w:cs="Times New Roman"/>
          <w:vertAlign w:val="superscript"/>
          <w:lang w:val="en-GB" w:bidi="he-IL"/>
        </w:rPr>
        <w:t>19</w:t>
      </w:r>
      <w:r w:rsidR="00840C74" w:rsidRPr="00840C74">
        <w:rPr>
          <w:rFonts w:ascii="Calibri" w:eastAsia="Times New Roman" w:hAnsi="Calibri" w:cs="Times New Roman"/>
          <w:lang w:val="en-GB" w:bidi="he-IL"/>
        </w:rPr>
        <w:t>After this Abraham buried his wife Sarah in t</w:t>
      </w:r>
      <w:r w:rsidR="00683178">
        <w:rPr>
          <w:rFonts w:ascii="Calibri" w:eastAsia="Times New Roman" w:hAnsi="Calibri" w:cs="Times New Roman"/>
          <w:lang w:val="en-GB" w:bidi="he-IL"/>
        </w:rPr>
        <w:t xml:space="preserve">he cave in the field at </w:t>
      </w:r>
      <w:proofErr w:type="gramStart"/>
      <w:r w:rsidR="00683178">
        <w:rPr>
          <w:rFonts w:ascii="Calibri" w:eastAsia="Times New Roman" w:hAnsi="Calibri" w:cs="Times New Roman"/>
          <w:lang w:val="en-GB" w:bidi="he-IL"/>
        </w:rPr>
        <w:t>Double</w:t>
      </w:r>
      <w:proofErr w:type="gramEnd"/>
      <w:r w:rsidR="00840C74" w:rsidRPr="00840C74">
        <w:rPr>
          <w:rFonts w:ascii="Calibri" w:eastAsia="Times New Roman" w:hAnsi="Calibri" w:cs="Times New Roman"/>
          <w:lang w:val="en-GB" w:bidi="he-IL"/>
        </w:rPr>
        <w:t>, close to Mamre (i.e., Hebro</w:t>
      </w:r>
      <w:r>
        <w:rPr>
          <w:rFonts w:ascii="Calibri" w:eastAsia="Times New Roman" w:hAnsi="Calibri" w:cs="Times New Roman"/>
          <w:lang w:val="en-GB" w:bidi="he-IL"/>
        </w:rPr>
        <w:t xml:space="preserve">n) in the country of Canaan. </w:t>
      </w:r>
      <w:r>
        <w:rPr>
          <w:rFonts w:ascii="Calibri" w:eastAsia="Times New Roman" w:hAnsi="Calibri" w:cs="Times New Roman"/>
          <w:vertAlign w:val="superscript"/>
          <w:lang w:val="en-GB" w:bidi="he-IL"/>
        </w:rPr>
        <w:t>20</w:t>
      </w:r>
      <w:r w:rsidR="004B134E">
        <w:rPr>
          <w:rFonts w:ascii="Calibri" w:eastAsia="Times New Roman" w:hAnsi="Calibri" w:cs="Times New Roman"/>
          <w:lang w:val="en-GB" w:bidi="he-IL"/>
        </w:rPr>
        <w:t>So t</w:t>
      </w:r>
      <w:r w:rsidR="00840C74" w:rsidRPr="00840C74">
        <w:rPr>
          <w:rFonts w:ascii="Calibri" w:eastAsia="Times New Roman" w:hAnsi="Calibri" w:cs="Times New Roman"/>
          <w:lang w:val="en-GB" w:bidi="he-IL"/>
        </w:rPr>
        <w:t>he field and the cave that was in</w:t>
      </w:r>
      <w:r w:rsidR="00BC2C58">
        <w:rPr>
          <w:rFonts w:ascii="Calibri" w:eastAsia="Times New Roman" w:hAnsi="Calibri" w:cs="Times New Roman"/>
          <w:lang w:val="en-GB" w:bidi="he-IL"/>
        </w:rPr>
        <w:t xml:space="preserve"> it passed to</w:t>
      </w:r>
      <w:r w:rsidR="00840C74" w:rsidRPr="00840C74">
        <w:rPr>
          <w:rFonts w:ascii="Calibri" w:eastAsia="Times New Roman" w:hAnsi="Calibri" w:cs="Times New Roman"/>
          <w:lang w:val="en-GB" w:bidi="he-IL"/>
        </w:rPr>
        <w:t xml:space="preserve"> Abraham as a b</w:t>
      </w:r>
      <w:r w:rsidR="00A87026">
        <w:rPr>
          <w:rFonts w:ascii="Calibri" w:eastAsia="Times New Roman" w:hAnsi="Calibri" w:cs="Times New Roman"/>
          <w:lang w:val="en-GB" w:bidi="he-IL"/>
        </w:rPr>
        <w:t xml:space="preserve">urial holding, from the </w:t>
      </w:r>
      <w:r w:rsidR="00A87026" w:rsidRPr="00A87026">
        <w:rPr>
          <w:rFonts w:ascii="Calibri" w:eastAsia="Times New Roman" w:hAnsi="Calibri" w:cs="Times New Roman"/>
          <w:lang w:val="en-GB" w:bidi="he-IL"/>
        </w:rPr>
        <w:t>Ḥētites</w:t>
      </w:r>
      <w:r w:rsidR="00840C74" w:rsidRPr="00840C74">
        <w:rPr>
          <w:rFonts w:ascii="Calibri" w:eastAsia="Times New Roman" w:hAnsi="Calibri" w:cs="Times New Roman"/>
          <w:lang w:val="en-GB" w:bidi="he-IL"/>
        </w:rPr>
        <w:t>.</w:t>
      </w:r>
    </w:p>
    <w:p w14:paraId="0EAFA570" w14:textId="77777777" w:rsidR="00143EC4" w:rsidRDefault="00141055" w:rsidP="00143EC4">
      <w:pPr>
        <w:pStyle w:val="Heading2"/>
        <w:rPr>
          <w:lang w:bidi="he-IL"/>
        </w:rPr>
      </w:pPr>
      <w:r>
        <w:rPr>
          <w:lang w:bidi="he-IL"/>
        </w:rPr>
        <w:t>Interpretation</w:t>
      </w:r>
    </w:p>
    <w:p w14:paraId="036A64A0" w14:textId="77777777" w:rsidR="00143EC4" w:rsidRDefault="00BB4E2F" w:rsidP="00143EC4">
      <w:pPr>
        <w:rPr>
          <w:lang w:bidi="he-IL"/>
        </w:rPr>
      </w:pPr>
      <w:r>
        <w:rPr>
          <w:lang w:bidi="he-IL"/>
        </w:rPr>
        <w:t>MT makes 22:20-24 and 23:1-20 the first tw</w:t>
      </w:r>
      <w:r w:rsidR="00981255">
        <w:rPr>
          <w:lang w:bidi="he-IL"/>
        </w:rPr>
        <w:t xml:space="preserve">o paragraphs of the three that comprise </w:t>
      </w:r>
      <w:r w:rsidR="008602D6">
        <w:rPr>
          <w:lang w:bidi="he-IL"/>
        </w:rPr>
        <w:t>a unit</w:t>
      </w:r>
      <w:r w:rsidR="00900F18">
        <w:rPr>
          <w:lang w:bidi="he-IL"/>
        </w:rPr>
        <w:t xml:space="preserve">, </w:t>
      </w:r>
      <w:r w:rsidR="00981255">
        <w:rPr>
          <w:lang w:bidi="he-IL"/>
        </w:rPr>
        <w:t>22:20—24:67;</w:t>
      </w:r>
      <w:r w:rsidR="0075794D">
        <w:rPr>
          <w:lang w:bidi="he-IL"/>
        </w:rPr>
        <w:t xml:space="preserve"> for convenience I deal here with t</w:t>
      </w:r>
      <w:r w:rsidR="00D12F88">
        <w:rPr>
          <w:lang w:bidi="he-IL"/>
        </w:rPr>
        <w:t>hese first two together. T</w:t>
      </w:r>
      <w:r w:rsidR="00875983">
        <w:rPr>
          <w:lang w:bidi="he-IL"/>
        </w:rPr>
        <w:t xml:space="preserve">he account of Nahor’s offspring with its “Milkah, too” </w:t>
      </w:r>
      <w:r w:rsidR="0075794D">
        <w:rPr>
          <w:lang w:bidi="he-IL"/>
        </w:rPr>
        <w:t>follow</w:t>
      </w:r>
      <w:r w:rsidR="00981255">
        <w:rPr>
          <w:lang w:bidi="he-IL"/>
        </w:rPr>
        <w:t>s</w:t>
      </w:r>
      <w:r w:rsidR="00875983">
        <w:rPr>
          <w:lang w:bidi="he-IL"/>
        </w:rPr>
        <w:t xml:space="preserve"> on from the account </w:t>
      </w:r>
      <w:r w:rsidR="0075794D">
        <w:rPr>
          <w:lang w:bidi="he-IL"/>
        </w:rPr>
        <w:t xml:space="preserve">in Gen </w:t>
      </w:r>
      <w:r w:rsidR="00D12F88">
        <w:rPr>
          <w:lang w:bidi="he-IL"/>
        </w:rPr>
        <w:t>21 of Sarah’s having her baby. I</w:t>
      </w:r>
      <w:r w:rsidR="0075794D">
        <w:rPr>
          <w:lang w:bidi="he-IL"/>
        </w:rPr>
        <w:t>t</w:t>
      </w:r>
      <w:r w:rsidR="00875983">
        <w:rPr>
          <w:lang w:bidi="he-IL"/>
        </w:rPr>
        <w:t xml:space="preserve"> also p</w:t>
      </w:r>
      <w:r w:rsidR="0075794D">
        <w:rPr>
          <w:lang w:bidi="he-IL"/>
        </w:rPr>
        <w:t>repares the way for the story about getting</w:t>
      </w:r>
      <w:r w:rsidR="00BC36F3">
        <w:rPr>
          <w:lang w:bidi="he-IL"/>
        </w:rPr>
        <w:t xml:space="preserve"> a wife for Isaac, which will be required if the reformulated promises in 22</w:t>
      </w:r>
      <w:r w:rsidR="00D12F88">
        <w:rPr>
          <w:lang w:bidi="he-IL"/>
        </w:rPr>
        <w:t>:15-18 are to find fulfillment; the wife will turn out to be Milkah’s daughter.</w:t>
      </w:r>
    </w:p>
    <w:p w14:paraId="23A304AD" w14:textId="18482555" w:rsidR="00D12F88" w:rsidRDefault="00C32A71" w:rsidP="00143EC4">
      <w:pPr>
        <w:rPr>
          <w:lang w:bidi="he-IL"/>
        </w:rPr>
      </w:pPr>
      <w:r>
        <w:rPr>
          <w:lang w:bidi="he-IL"/>
        </w:rPr>
        <w:t>The story in Gen 23 starts from a question Abraham has to face</w:t>
      </w:r>
      <w:r w:rsidR="00D12F88">
        <w:rPr>
          <w:lang w:bidi="he-IL"/>
        </w:rPr>
        <w:t xml:space="preserve">. </w:t>
      </w:r>
      <w:r w:rsidR="00D12F88" w:rsidRPr="00D12F88">
        <w:rPr>
          <w:lang w:bidi="he-IL"/>
        </w:rPr>
        <w:t xml:space="preserve">When Sarah dies, it is an occasion of grief for Abraham, and he has to express his grief (vv. 1-2). </w:t>
      </w:r>
      <w:r w:rsidR="00900F18">
        <w:rPr>
          <w:lang w:bidi="he-IL"/>
        </w:rPr>
        <w:t xml:space="preserve">But the </w:t>
      </w:r>
      <w:r w:rsidR="00D12F88">
        <w:rPr>
          <w:lang w:bidi="he-IL"/>
        </w:rPr>
        <w:t xml:space="preserve">main question </w:t>
      </w:r>
      <w:r w:rsidR="00900F18">
        <w:rPr>
          <w:lang w:bidi="he-IL"/>
        </w:rPr>
        <w:t xml:space="preserve">in Gen 23 </w:t>
      </w:r>
      <w:r w:rsidR="00D12F88">
        <w:rPr>
          <w:lang w:bidi="he-IL"/>
        </w:rPr>
        <w:t xml:space="preserve">is different </w:t>
      </w:r>
      <w:r w:rsidR="00084C63">
        <w:rPr>
          <w:lang w:bidi="he-IL"/>
        </w:rPr>
        <w:t xml:space="preserve">from the one that Western readers might assume. </w:t>
      </w:r>
      <w:r w:rsidR="00D12F88">
        <w:rPr>
          <w:lang w:bidi="he-IL"/>
        </w:rPr>
        <w:t>“I</w:t>
      </w:r>
      <w:r w:rsidR="005A25AB">
        <w:rPr>
          <w:lang w:bidi="he-IL"/>
        </w:rPr>
        <w:t>t is remarkable that Moses, who relates the death of Sarah in a single word, uses so many in describing her burial.”</w:t>
      </w:r>
      <w:r w:rsidR="005A25AB">
        <w:rPr>
          <w:rStyle w:val="FootnoteReference"/>
          <w:lang w:bidi="he-IL"/>
        </w:rPr>
        <w:footnoteReference w:id="753"/>
      </w:r>
      <w:r w:rsidR="005A25AB">
        <w:rPr>
          <w:lang w:bidi="he-IL"/>
        </w:rPr>
        <w:t xml:space="preserve"> T</w:t>
      </w:r>
      <w:r w:rsidR="00084C63">
        <w:rPr>
          <w:lang w:bidi="he-IL"/>
        </w:rPr>
        <w:t>he question that preo</w:t>
      </w:r>
      <w:r w:rsidR="00900F18">
        <w:rPr>
          <w:lang w:bidi="he-IL"/>
        </w:rPr>
        <w:t>ccupies Abraham</w:t>
      </w:r>
      <w:r w:rsidR="00D12F88">
        <w:rPr>
          <w:lang w:bidi="he-IL"/>
        </w:rPr>
        <w:t xml:space="preserve"> is, where can Sarah be buried? Whereas m</w:t>
      </w:r>
      <w:r w:rsidR="00900F18">
        <w:rPr>
          <w:lang w:bidi="he-IL"/>
        </w:rPr>
        <w:t>any members of hi</w:t>
      </w:r>
      <w:r w:rsidR="00084C63">
        <w:rPr>
          <w:lang w:bidi="he-IL"/>
        </w:rPr>
        <w:t>s clan must have died over the decade</w:t>
      </w:r>
      <w:r w:rsidR="00D12F88">
        <w:rPr>
          <w:lang w:bidi="he-IL"/>
        </w:rPr>
        <w:t xml:space="preserve">s since his move to Canaan, </w:t>
      </w:r>
      <w:r w:rsidR="00084C63">
        <w:rPr>
          <w:lang w:bidi="he-IL"/>
        </w:rPr>
        <w:t xml:space="preserve">Genesis raises the question </w:t>
      </w:r>
      <w:r w:rsidR="00D12F88">
        <w:rPr>
          <w:lang w:bidi="he-IL"/>
        </w:rPr>
        <w:t xml:space="preserve">at this point, </w:t>
      </w:r>
      <w:r w:rsidR="00084C63">
        <w:rPr>
          <w:lang w:bidi="he-IL"/>
        </w:rPr>
        <w:t>in connection with Sarah</w:t>
      </w:r>
      <w:r w:rsidR="00D12F88">
        <w:rPr>
          <w:lang w:bidi="he-IL"/>
        </w:rPr>
        <w:t>,</w:t>
      </w:r>
      <w:r w:rsidR="00084C63">
        <w:rPr>
          <w:lang w:bidi="he-IL"/>
        </w:rPr>
        <w:t xml:space="preserve"> because of her importance to the plot of the bigger First Testament story and thus her importance to the audience. What happened to their great original mother? Actually they knew the answer—they knew her burial place near Hebron. How did she come to get buried there? The route from the question Abraham has to face to the resolutio</w:t>
      </w:r>
      <w:r w:rsidR="00D12F88">
        <w:rPr>
          <w:lang w:bidi="he-IL"/>
        </w:rPr>
        <w:t xml:space="preserve">n the audience thus knows </w:t>
      </w:r>
      <w:r w:rsidR="00084C63">
        <w:rPr>
          <w:lang w:bidi="he-IL"/>
        </w:rPr>
        <w:t>must</w:t>
      </w:r>
      <w:r w:rsidR="00D12F88">
        <w:rPr>
          <w:lang w:bidi="he-IL"/>
        </w:rPr>
        <w:t xml:space="preserve"> inevitably be tricky. Abraham does not possess</w:t>
      </w:r>
      <w:r w:rsidR="00084C63">
        <w:rPr>
          <w:lang w:bidi="he-IL"/>
        </w:rPr>
        <w:t xml:space="preserve"> land </w:t>
      </w:r>
      <w:r w:rsidR="00D12F88">
        <w:rPr>
          <w:lang w:bidi="he-IL"/>
        </w:rPr>
        <w:t>in Canaan or, therefore, possess a proper burial place which could</w:t>
      </w:r>
      <w:r w:rsidR="00084C63">
        <w:rPr>
          <w:lang w:bidi="he-IL"/>
        </w:rPr>
        <w:t xml:space="preserve"> be a secure </w:t>
      </w:r>
      <w:r w:rsidR="00D12F88">
        <w:rPr>
          <w:lang w:bidi="he-IL"/>
        </w:rPr>
        <w:t>final resting place for Sarah. S</w:t>
      </w:r>
      <w:r w:rsidR="00084C63">
        <w:rPr>
          <w:lang w:bidi="he-IL"/>
        </w:rPr>
        <w:t>omehow he must acqu</w:t>
      </w:r>
      <w:r w:rsidR="00900F18">
        <w:rPr>
          <w:lang w:bidi="he-IL"/>
        </w:rPr>
        <w:t>ire one from</w:t>
      </w:r>
      <w:r w:rsidR="009A4079">
        <w:rPr>
          <w:lang w:bidi="he-IL"/>
        </w:rPr>
        <w:t xml:space="preserve"> the local people</w:t>
      </w:r>
      <w:r w:rsidR="00900F18">
        <w:rPr>
          <w:lang w:bidi="he-IL"/>
        </w:rPr>
        <w:t>. What will the Hittites’</w:t>
      </w:r>
      <w:r w:rsidR="00084C63">
        <w:rPr>
          <w:lang w:bidi="he-IL"/>
        </w:rPr>
        <w:t xml:space="preserve"> a</w:t>
      </w:r>
      <w:r w:rsidR="00900F18">
        <w:rPr>
          <w:lang w:bidi="he-IL"/>
        </w:rPr>
        <w:t xml:space="preserve">ttitude to him be? He knows a spot </w:t>
      </w:r>
      <w:r w:rsidR="00084C63">
        <w:rPr>
          <w:lang w:bidi="he-IL"/>
        </w:rPr>
        <w:t>that would be appropriate. Will its owner be prepared to sell? How much will he ask?</w:t>
      </w:r>
      <w:r w:rsidR="00D12F88">
        <w:rPr>
          <w:lang w:bidi="he-IL"/>
        </w:rPr>
        <w:t xml:space="preserve"> </w:t>
      </w:r>
    </w:p>
    <w:p w14:paraId="3FF71D51" w14:textId="77777777" w:rsidR="005D6D33" w:rsidRDefault="005D6D33" w:rsidP="005D6D33">
      <w:pPr>
        <w:rPr>
          <w:lang w:val="en-GB" w:bidi="he-IL"/>
        </w:rPr>
      </w:pPr>
      <w:r>
        <w:rPr>
          <w:lang w:val="en-GB" w:bidi="he-IL"/>
        </w:rPr>
        <w:t>According to traditional source-criticism, Gen 2</w:t>
      </w:r>
      <w:r w:rsidR="00D12F88">
        <w:rPr>
          <w:lang w:val="en-GB" w:bidi="he-IL"/>
        </w:rPr>
        <w:t>2</w:t>
      </w:r>
      <w:r>
        <w:rPr>
          <w:lang w:val="en-GB" w:bidi="he-IL"/>
        </w:rPr>
        <w:t>:20-24 comes from the J version of Abraham’s story and Gen 23 from the P version.</w:t>
      </w:r>
    </w:p>
    <w:p w14:paraId="062C764F" w14:textId="2C6C18E8" w:rsidR="0016750F" w:rsidRDefault="00143EC4" w:rsidP="00F47194">
      <w:pPr>
        <w:rPr>
          <w:lang w:val="en-GB" w:bidi="he-IL"/>
        </w:rPr>
      </w:pPr>
      <w:r>
        <w:rPr>
          <w:b/>
          <w:lang w:bidi="he-IL"/>
        </w:rPr>
        <w:t>22:20-24</w:t>
      </w:r>
      <w:r>
        <w:rPr>
          <w:lang w:bidi="he-IL"/>
        </w:rPr>
        <w:t xml:space="preserve">. </w:t>
      </w:r>
      <w:proofErr w:type="gramStart"/>
      <w:r>
        <w:rPr>
          <w:lang w:bidi="he-IL"/>
        </w:rPr>
        <w:t>Meanwhile</w:t>
      </w:r>
      <w:proofErr w:type="gramEnd"/>
      <w:r>
        <w:rPr>
          <w:lang w:bidi="he-IL"/>
        </w:rPr>
        <w:t xml:space="preserve"> back in Harran…. Although Abraham was commissioned to leave this family </w:t>
      </w:r>
      <w:r w:rsidRPr="00143EC4">
        <w:rPr>
          <w:lang w:bidi="he-IL"/>
        </w:rPr>
        <w:t xml:space="preserve">(see </w:t>
      </w:r>
      <w:r w:rsidR="0075794D">
        <w:rPr>
          <w:lang w:bidi="he-IL"/>
        </w:rPr>
        <w:t>11:27-29), it is</w:t>
      </w:r>
      <w:r>
        <w:rPr>
          <w:lang w:bidi="he-IL"/>
        </w:rPr>
        <w:t xml:space="preserve"> still his family. </w:t>
      </w:r>
      <w:r w:rsidR="00BC36F3">
        <w:rPr>
          <w:lang w:bidi="he-IL"/>
        </w:rPr>
        <w:t xml:space="preserve">Milkah and </w:t>
      </w:r>
      <w:r>
        <w:rPr>
          <w:lang w:bidi="he-IL"/>
        </w:rPr>
        <w:t xml:space="preserve">Nahor’s son </w:t>
      </w:r>
      <w:r>
        <w:rPr>
          <w:lang w:val="en-GB" w:bidi="he-IL"/>
        </w:rPr>
        <w:t>Betu’el and his grand</w:t>
      </w:r>
      <w:r w:rsidR="00884061">
        <w:rPr>
          <w:lang w:val="en-GB" w:bidi="he-IL"/>
        </w:rPr>
        <w:t>d</w:t>
      </w:r>
      <w:r>
        <w:rPr>
          <w:lang w:val="en-GB" w:bidi="he-IL"/>
        </w:rPr>
        <w:t>aughter</w:t>
      </w:r>
      <w:r w:rsidR="0016750F">
        <w:rPr>
          <w:lang w:val="en-GB" w:bidi="he-IL"/>
        </w:rPr>
        <w:t xml:space="preserve"> Rebekah</w:t>
      </w:r>
      <w:r w:rsidR="00544BFD">
        <w:rPr>
          <w:lang w:val="en-GB" w:bidi="he-IL"/>
        </w:rPr>
        <w:t xml:space="preserve"> </w:t>
      </w:r>
      <w:r>
        <w:rPr>
          <w:lang w:bidi="he-IL"/>
        </w:rPr>
        <w:t>will hav</w:t>
      </w:r>
      <w:r w:rsidR="00BC36F3">
        <w:rPr>
          <w:lang w:bidi="he-IL"/>
        </w:rPr>
        <w:t>e continuing importance for him</w:t>
      </w:r>
      <w:r>
        <w:rPr>
          <w:lang w:bidi="he-IL"/>
        </w:rPr>
        <w:t xml:space="preserve"> (see 24:15)</w:t>
      </w:r>
      <w:r w:rsidR="00BC36F3">
        <w:rPr>
          <w:lang w:bidi="he-IL"/>
        </w:rPr>
        <w:t>; there is also a neat link between the name of Nahor’s grandson Aram and the town where the family live</w:t>
      </w:r>
      <w:r w:rsidR="0075794D">
        <w:rPr>
          <w:lang w:bidi="he-IL"/>
        </w:rPr>
        <w:t>s</w:t>
      </w:r>
      <w:r w:rsidR="00BC36F3">
        <w:rPr>
          <w:lang w:bidi="he-IL"/>
        </w:rPr>
        <w:t xml:space="preserve"> (24:10)</w:t>
      </w:r>
      <w:r>
        <w:rPr>
          <w:lang w:bidi="he-IL"/>
        </w:rPr>
        <w:t xml:space="preserve">. </w:t>
      </w:r>
      <w:r w:rsidR="0075794D">
        <w:rPr>
          <w:lang w:bidi="he-IL"/>
        </w:rPr>
        <w:t>While one mi</w:t>
      </w:r>
      <w:r w:rsidR="00544BFD">
        <w:rPr>
          <w:lang w:bidi="he-IL"/>
        </w:rPr>
        <w:t>ght imagine the main list deriv</w:t>
      </w:r>
      <w:r w:rsidR="0075794D">
        <w:rPr>
          <w:lang w:bidi="he-IL"/>
        </w:rPr>
        <w:t>ing from a report brought to Ab</w:t>
      </w:r>
      <w:r w:rsidR="00544BFD">
        <w:rPr>
          <w:lang w:bidi="he-IL"/>
        </w:rPr>
        <w:t>raham</w:t>
      </w:r>
      <w:r w:rsidR="0075794D">
        <w:rPr>
          <w:lang w:bidi="he-IL"/>
        </w:rPr>
        <w:t>, that</w:t>
      </w:r>
      <w:r w:rsidR="00BC36F3">
        <w:rPr>
          <w:lang w:bidi="he-IL"/>
        </w:rPr>
        <w:t xml:space="preserve"> one </w:t>
      </w:r>
      <w:r w:rsidR="0075794D">
        <w:rPr>
          <w:lang w:bidi="he-IL"/>
        </w:rPr>
        <w:t xml:space="preserve">significant </w:t>
      </w:r>
      <w:r w:rsidR="00BC36F3">
        <w:rPr>
          <w:lang w:bidi="he-IL"/>
        </w:rPr>
        <w:t>reference to a grandson</w:t>
      </w:r>
      <w:r w:rsidR="0075794D">
        <w:rPr>
          <w:lang w:bidi="he-IL"/>
        </w:rPr>
        <w:t xml:space="preserve"> </w:t>
      </w:r>
      <w:r w:rsidR="00BC36F3">
        <w:rPr>
          <w:lang w:bidi="he-IL"/>
        </w:rPr>
        <w:t>suggests that the list is not simply a verb</w:t>
      </w:r>
      <w:r w:rsidR="0075794D">
        <w:rPr>
          <w:lang w:bidi="he-IL"/>
        </w:rPr>
        <w:t>atim account of such a report, and t</w:t>
      </w:r>
      <w:r w:rsidR="00884061">
        <w:rPr>
          <w:lang w:bidi="he-IL"/>
        </w:rPr>
        <w:t>he note about one of his sons and his daughter (v. 23a)</w:t>
      </w:r>
      <w:r w:rsidR="0075794D">
        <w:rPr>
          <w:lang w:bidi="he-IL"/>
        </w:rPr>
        <w:t xml:space="preserve"> confirms that point.</w:t>
      </w:r>
      <w:r w:rsidR="00727890">
        <w:rPr>
          <w:lang w:bidi="he-IL"/>
        </w:rPr>
        <w:t xml:space="preserve"> </w:t>
      </w:r>
      <w:r w:rsidR="00544BFD">
        <w:rPr>
          <w:lang w:val="en-GB" w:bidi="he-IL"/>
        </w:rPr>
        <w:t>More likely the information</w:t>
      </w:r>
      <w:r w:rsidR="00F47194">
        <w:rPr>
          <w:lang w:val="en-GB" w:bidi="he-IL"/>
        </w:rPr>
        <w:t xml:space="preserve"> about members </w:t>
      </w:r>
      <w:r w:rsidR="0075794D">
        <w:rPr>
          <w:lang w:val="en-GB" w:bidi="he-IL"/>
        </w:rPr>
        <w:t>of the family</w:t>
      </w:r>
      <w:r w:rsidR="00F47194">
        <w:rPr>
          <w:lang w:val="en-GB" w:bidi="he-IL"/>
        </w:rPr>
        <w:t xml:space="preserve"> </w:t>
      </w:r>
      <w:r w:rsidR="00900F18">
        <w:rPr>
          <w:lang w:val="en-GB" w:bidi="he-IL"/>
        </w:rPr>
        <w:t xml:space="preserve">would </w:t>
      </w:r>
      <w:r w:rsidR="00F47194">
        <w:rPr>
          <w:lang w:val="en-GB" w:bidi="he-IL"/>
        </w:rPr>
        <w:t xml:space="preserve">derive from the expedition </w:t>
      </w:r>
      <w:r w:rsidR="0075794D">
        <w:rPr>
          <w:lang w:val="en-GB" w:bidi="he-IL"/>
        </w:rPr>
        <w:t>back</w:t>
      </w:r>
      <w:r w:rsidR="00900F18">
        <w:rPr>
          <w:lang w:val="en-GB" w:bidi="he-IL"/>
        </w:rPr>
        <w:t xml:space="preserve"> to Aram Naharaim </w:t>
      </w:r>
      <w:r w:rsidR="00F47194">
        <w:rPr>
          <w:lang w:val="en-GB" w:bidi="he-IL"/>
        </w:rPr>
        <w:t xml:space="preserve">related in Gen 24. </w:t>
      </w:r>
      <w:r w:rsidR="00900F18">
        <w:rPr>
          <w:lang w:val="en-GB" w:bidi="he-IL"/>
        </w:rPr>
        <w:t>H</w:t>
      </w:r>
      <w:r w:rsidR="0016750F">
        <w:rPr>
          <w:lang w:val="en-GB" w:bidi="he-IL"/>
        </w:rPr>
        <w:t xml:space="preserve">ere, it trailers that story, though the </w:t>
      </w:r>
      <w:r w:rsidR="008D2A92">
        <w:rPr>
          <w:lang w:val="en-GB" w:bidi="he-IL"/>
        </w:rPr>
        <w:t xml:space="preserve">interposition </w:t>
      </w:r>
      <w:r w:rsidR="0016750F">
        <w:rPr>
          <w:lang w:val="en-GB" w:bidi="he-IL"/>
        </w:rPr>
        <w:t xml:space="preserve">of the story </w:t>
      </w:r>
      <w:r w:rsidR="008D2A92">
        <w:rPr>
          <w:lang w:val="en-GB" w:bidi="he-IL"/>
        </w:rPr>
        <w:t xml:space="preserve">of Sarah’s death holds us in suspense for a while. </w:t>
      </w:r>
    </w:p>
    <w:p w14:paraId="4E10118D" w14:textId="299AA9F9" w:rsidR="00F70088" w:rsidRDefault="00F47194" w:rsidP="00143EC4">
      <w:pPr>
        <w:rPr>
          <w:lang w:val="en-GB" w:bidi="he-IL"/>
        </w:rPr>
      </w:pPr>
      <w:r w:rsidRPr="00F47194">
        <w:rPr>
          <w:lang w:val="en-GB" w:bidi="he-IL"/>
        </w:rPr>
        <w:lastRenderedPageBreak/>
        <w:t>Maybe it is signif</w:t>
      </w:r>
      <w:r>
        <w:rPr>
          <w:lang w:val="en-GB" w:bidi="he-IL"/>
        </w:rPr>
        <w:t>icant that there are twelve names, as in</w:t>
      </w:r>
      <w:r w:rsidRPr="00F47194">
        <w:rPr>
          <w:lang w:val="en-GB" w:bidi="he-IL"/>
        </w:rPr>
        <w:t xml:space="preserve"> 17:20; 25:13-16, </w:t>
      </w:r>
      <w:r>
        <w:rPr>
          <w:lang w:val="en-GB" w:bidi="he-IL"/>
        </w:rPr>
        <w:t>35:22-26</w:t>
      </w:r>
      <w:r w:rsidRPr="00F47194">
        <w:rPr>
          <w:lang w:val="en-GB" w:bidi="he-IL"/>
        </w:rPr>
        <w:t>,</w:t>
      </w:r>
      <w:r w:rsidRPr="00F47194">
        <w:rPr>
          <w:vertAlign w:val="superscript"/>
          <w:lang w:val="en-GB" w:bidi="he-IL"/>
        </w:rPr>
        <w:footnoteReference w:id="754"/>
      </w:r>
      <w:r w:rsidRPr="00F47194">
        <w:rPr>
          <w:lang w:val="en-GB" w:bidi="he-IL"/>
        </w:rPr>
        <w:t xml:space="preserve"> </w:t>
      </w:r>
      <w:r>
        <w:rPr>
          <w:lang w:val="en-GB" w:bidi="he-IL"/>
        </w:rPr>
        <w:t xml:space="preserve">though those passages note the number twelve and their lists are </w:t>
      </w:r>
      <w:r w:rsidRPr="00F47194">
        <w:rPr>
          <w:lang w:val="en-GB" w:bidi="he-IL"/>
        </w:rPr>
        <w:t>more straight</w:t>
      </w:r>
      <w:r>
        <w:rPr>
          <w:lang w:val="en-GB" w:bidi="he-IL"/>
        </w:rPr>
        <w:t>forward</w:t>
      </w:r>
      <w:r w:rsidRPr="00F47194">
        <w:rPr>
          <w:lang w:val="en-GB" w:bidi="he-IL"/>
        </w:rPr>
        <w:t>.</w:t>
      </w:r>
      <w:r w:rsidR="009A4079">
        <w:rPr>
          <w:lang w:val="en-GB" w:bidi="he-IL"/>
        </w:rPr>
        <w:t xml:space="preserve"> </w:t>
      </w:r>
      <w:r w:rsidR="00680D50">
        <w:rPr>
          <w:lang w:val="en-GB" w:bidi="he-IL"/>
        </w:rPr>
        <w:t xml:space="preserve">Outside Gen 24, the names that are known from elsewhere are the names of towns or peoples—as are Nahor and Aram. </w:t>
      </w:r>
      <w:r>
        <w:rPr>
          <w:lang w:val="en-GB" w:bidi="he-IL"/>
        </w:rPr>
        <w:t xml:space="preserve">They </w:t>
      </w:r>
      <w:r w:rsidRPr="00F47194">
        <w:rPr>
          <w:lang w:val="en-GB" w:bidi="he-IL"/>
        </w:rPr>
        <w:t>link with various p</w:t>
      </w:r>
      <w:r>
        <w:rPr>
          <w:lang w:val="en-GB" w:bidi="he-IL"/>
        </w:rPr>
        <w:t xml:space="preserve">arts of Arabia and Mesopotamia. </w:t>
      </w:r>
      <w:r w:rsidR="00680D50">
        <w:rPr>
          <w:lang w:val="en-GB" w:bidi="he-IL"/>
        </w:rPr>
        <w:t>Uṣ</w:t>
      </w:r>
      <w:r w:rsidR="00017F80">
        <w:rPr>
          <w:lang w:val="en-GB" w:bidi="he-IL"/>
        </w:rPr>
        <w:t xml:space="preserve"> as a place name comes in</w:t>
      </w:r>
      <w:r w:rsidR="00F70088">
        <w:rPr>
          <w:lang w:val="en-GB" w:bidi="he-IL"/>
        </w:rPr>
        <w:t xml:space="preserve"> </w:t>
      </w:r>
      <w:r w:rsidR="00071EE9">
        <w:rPr>
          <w:lang w:val="en-GB" w:bidi="he-IL"/>
        </w:rPr>
        <w:t xml:space="preserve">e.g., </w:t>
      </w:r>
      <w:r w:rsidR="00F70088">
        <w:rPr>
          <w:lang w:val="en-GB" w:bidi="he-IL"/>
        </w:rPr>
        <w:t>10:23</w:t>
      </w:r>
      <w:r w:rsidR="00454818">
        <w:rPr>
          <w:lang w:val="en-GB" w:bidi="he-IL"/>
        </w:rPr>
        <w:t>; Jer 25:20; Lam 4:21</w:t>
      </w:r>
      <w:r w:rsidR="00EF0C96">
        <w:rPr>
          <w:lang w:val="en-GB" w:bidi="he-IL"/>
        </w:rPr>
        <w:t>; and Job</w:t>
      </w:r>
      <w:r w:rsidR="00F70088">
        <w:rPr>
          <w:lang w:val="en-GB" w:bidi="he-IL"/>
        </w:rPr>
        <w:t>.</w:t>
      </w:r>
      <w:r w:rsidR="00166216">
        <w:rPr>
          <w:lang w:val="en-GB" w:bidi="he-IL"/>
        </w:rPr>
        <w:t xml:space="preserve"> Buz appears in Jer 25:23</w:t>
      </w:r>
      <w:r w:rsidR="00EF0C96">
        <w:rPr>
          <w:lang w:val="en-GB" w:bidi="he-IL"/>
        </w:rPr>
        <w:t>; and Job</w:t>
      </w:r>
      <w:r w:rsidR="00166216">
        <w:rPr>
          <w:lang w:val="en-GB" w:bidi="he-IL"/>
        </w:rPr>
        <w:t xml:space="preserve">. </w:t>
      </w:r>
      <w:r w:rsidR="00900F18">
        <w:rPr>
          <w:lang w:val="en-GB" w:bidi="he-IL"/>
        </w:rPr>
        <w:t>The parallels</w:t>
      </w:r>
      <w:r w:rsidRPr="00F47194">
        <w:rPr>
          <w:lang w:val="en-GB" w:bidi="he-IL"/>
        </w:rPr>
        <w:t xml:space="preserve"> with Job </w:t>
      </w:r>
      <w:r w:rsidR="00544BFD">
        <w:rPr>
          <w:lang w:val="en-GB" w:bidi="he-IL"/>
        </w:rPr>
        <w:t xml:space="preserve">and his testing </w:t>
      </w:r>
      <w:r w:rsidRPr="00F47194">
        <w:rPr>
          <w:lang w:val="en-GB" w:bidi="he-IL"/>
        </w:rPr>
        <w:t xml:space="preserve">are noteworthy in the context of 22:1-19 </w:t>
      </w:r>
      <w:r w:rsidR="00544BFD">
        <w:rPr>
          <w:lang w:val="en-GB" w:bidi="he-IL"/>
        </w:rPr>
        <w:t xml:space="preserve">with its account of a test </w:t>
      </w:r>
      <w:r w:rsidRPr="00F47194">
        <w:rPr>
          <w:lang w:val="en-GB" w:bidi="he-IL"/>
        </w:rPr>
        <w:t xml:space="preserve">(cf. </w:t>
      </w:r>
      <w:r w:rsidRPr="00F47194">
        <w:rPr>
          <w:i/>
          <w:lang w:val="en-GB" w:bidi="he-IL"/>
        </w:rPr>
        <w:t>GenR</w:t>
      </w:r>
      <w:r w:rsidRPr="00F47194">
        <w:rPr>
          <w:lang w:val="en-GB" w:bidi="he-IL"/>
        </w:rPr>
        <w:t xml:space="preserve"> 57).</w:t>
      </w:r>
      <w:r>
        <w:rPr>
          <w:lang w:val="en-GB" w:bidi="he-IL"/>
        </w:rPr>
        <w:t xml:space="preserve"> </w:t>
      </w:r>
      <w:r w:rsidR="00A53FA6">
        <w:rPr>
          <w:lang w:val="en-GB" w:bidi="he-IL"/>
        </w:rPr>
        <w:t>Someone called Ke</w:t>
      </w:r>
      <w:r w:rsidR="00A53FA6">
        <w:rPr>
          <w:rFonts w:cstheme="minorHAnsi"/>
          <w:lang w:val="en-GB" w:bidi="he-IL"/>
        </w:rPr>
        <w:t>ś</w:t>
      </w:r>
      <w:r w:rsidR="00166216">
        <w:rPr>
          <w:lang w:val="en-GB" w:bidi="he-IL"/>
        </w:rPr>
        <w:t xml:space="preserve">ed would </w:t>
      </w:r>
      <w:r w:rsidR="00A53FA6">
        <w:rPr>
          <w:lang w:val="en-GB" w:bidi="he-IL"/>
        </w:rPr>
        <w:t>be the ancestor of the Ka</w:t>
      </w:r>
      <w:r w:rsidR="00A53FA6">
        <w:rPr>
          <w:rFonts w:cstheme="minorHAnsi"/>
          <w:lang w:val="en-GB" w:bidi="he-IL"/>
        </w:rPr>
        <w:t>ś</w:t>
      </w:r>
      <w:r w:rsidR="00166216">
        <w:rPr>
          <w:lang w:val="en-GB" w:bidi="he-IL"/>
        </w:rPr>
        <w:t>dites: see 11:2</w:t>
      </w:r>
      <w:r w:rsidR="00F70088">
        <w:rPr>
          <w:lang w:val="en-GB" w:bidi="he-IL"/>
        </w:rPr>
        <w:t>8. Ma’akah comes in Josh 12:5.</w:t>
      </w:r>
      <w:r>
        <w:rPr>
          <w:lang w:val="en-GB" w:bidi="he-IL"/>
        </w:rPr>
        <w:t xml:space="preserve"> </w:t>
      </w:r>
      <w:r w:rsidR="00F70088">
        <w:rPr>
          <w:lang w:val="en-GB" w:bidi="he-IL"/>
        </w:rPr>
        <w:t>The passage is thus a throwback to the lists in Gen 10—11 where names refer both to individuals and to places or peoples.</w:t>
      </w:r>
    </w:p>
    <w:p w14:paraId="597E3FBD" w14:textId="77777777" w:rsidR="00F47194" w:rsidRDefault="00F47194" w:rsidP="00F47194">
      <w:pPr>
        <w:rPr>
          <w:lang w:val="en-GB" w:bidi="he-IL"/>
        </w:rPr>
      </w:pPr>
      <w:r>
        <w:rPr>
          <w:lang w:val="en-GB" w:bidi="he-IL"/>
        </w:rPr>
        <w:t>A secondary wife (</w:t>
      </w:r>
      <w:r>
        <w:rPr>
          <w:i/>
          <w:lang w:val="en-GB" w:bidi="he-IL"/>
        </w:rPr>
        <w:t>pîlegeš</w:t>
      </w:r>
      <w:r>
        <w:rPr>
          <w:lang w:val="en-GB" w:bidi="he-IL"/>
        </w:rPr>
        <w:t xml:space="preserve">) is not a concubine in the sense of a mistress or a woman with whom a man lives without being legally married to her, but a woman who is a legal wife but of a lower status </w:t>
      </w:r>
      <w:r w:rsidR="007D777F">
        <w:rPr>
          <w:lang w:val="en-GB" w:bidi="he-IL"/>
        </w:rPr>
        <w:t>and with fewer rights than a “primary wife”— for instance, that her children have no</w:t>
      </w:r>
      <w:r>
        <w:rPr>
          <w:lang w:val="en-GB" w:bidi="he-IL"/>
        </w:rPr>
        <w:t xml:space="preserve"> inheritance rights</w:t>
      </w:r>
      <w:r w:rsidR="007D777F">
        <w:rPr>
          <w:lang w:val="en-GB" w:bidi="he-IL"/>
        </w:rPr>
        <w:t xml:space="preserve"> (see 25:1-6)</w:t>
      </w:r>
      <w:r>
        <w:rPr>
          <w:lang w:val="en-GB" w:bidi="he-IL"/>
        </w:rPr>
        <w:t xml:space="preserve">. </w:t>
      </w:r>
    </w:p>
    <w:p w14:paraId="5B60169E" w14:textId="40C8D570" w:rsidR="009121D9" w:rsidRDefault="00BB4E2F" w:rsidP="00C15506">
      <w:pPr>
        <w:rPr>
          <w:lang w:bidi="he-IL"/>
        </w:rPr>
      </w:pPr>
      <w:r>
        <w:rPr>
          <w:b/>
          <w:lang w:bidi="he-IL"/>
        </w:rPr>
        <w:t>23:1-2</w:t>
      </w:r>
      <w:r>
        <w:rPr>
          <w:lang w:bidi="he-IL"/>
        </w:rPr>
        <w:t>.</w:t>
      </w:r>
      <w:r w:rsidR="00F47194">
        <w:rPr>
          <w:lang w:bidi="he-IL"/>
        </w:rPr>
        <w:t xml:space="preserve"> </w:t>
      </w:r>
      <w:r w:rsidR="00953404">
        <w:rPr>
          <w:lang w:bidi="he-IL"/>
        </w:rPr>
        <w:t xml:space="preserve">The Abraham narrative continues to work its way towards its conclusion. Jewish interpretation was struck by the absence of Sarah from Gen 22 and </w:t>
      </w:r>
      <w:r w:rsidR="009A4079">
        <w:rPr>
          <w:lang w:bidi="he-IL"/>
        </w:rPr>
        <w:t xml:space="preserve">by </w:t>
      </w:r>
      <w:r w:rsidR="00953404">
        <w:rPr>
          <w:lang w:bidi="he-IL"/>
        </w:rPr>
        <w:t xml:space="preserve">this transition to the account of her death, and </w:t>
      </w:r>
      <w:r w:rsidR="0011482E">
        <w:rPr>
          <w:lang w:bidi="he-IL"/>
        </w:rPr>
        <w:t xml:space="preserve">it </w:t>
      </w:r>
      <w:r w:rsidR="00953404">
        <w:rPr>
          <w:lang w:bidi="he-IL"/>
        </w:rPr>
        <w:t>fi</w:t>
      </w:r>
      <w:r w:rsidR="00C6239F">
        <w:rPr>
          <w:lang w:bidi="he-IL"/>
        </w:rPr>
        <w:t xml:space="preserve">lled in </w:t>
      </w:r>
      <w:r w:rsidR="0011482E">
        <w:rPr>
          <w:lang w:bidi="he-IL"/>
        </w:rPr>
        <w:t xml:space="preserve">the dots imaginatively: when Sarah heard that Isaac was going </w:t>
      </w:r>
      <w:r w:rsidR="00C6239F">
        <w:rPr>
          <w:lang w:bidi="he-IL"/>
        </w:rPr>
        <w:t>to be sacrificed, she died of shock.</w:t>
      </w:r>
      <w:r w:rsidR="00C6239F">
        <w:rPr>
          <w:rStyle w:val="FootnoteReference"/>
          <w:lang w:bidi="he-IL"/>
        </w:rPr>
        <w:footnoteReference w:id="755"/>
      </w:r>
      <w:r w:rsidR="00C6239F">
        <w:rPr>
          <w:lang w:bidi="he-IL"/>
        </w:rPr>
        <w:t xml:space="preserve"> </w:t>
      </w:r>
      <w:r w:rsidR="00953404">
        <w:rPr>
          <w:lang w:bidi="he-IL"/>
        </w:rPr>
        <w:t>As Genesis tells the st</w:t>
      </w:r>
      <w:r w:rsidR="006F5AC5">
        <w:rPr>
          <w:lang w:bidi="he-IL"/>
        </w:rPr>
        <w:t>ory, another thirty-seven years have</w:t>
      </w:r>
      <w:r w:rsidR="00953404">
        <w:rPr>
          <w:lang w:bidi="he-IL"/>
        </w:rPr>
        <w:t xml:space="preserve"> passed since</w:t>
      </w:r>
      <w:r w:rsidR="006F5AC5">
        <w:rPr>
          <w:lang w:bidi="he-IL"/>
        </w:rPr>
        <w:t xml:space="preserve"> Sarah</w:t>
      </w:r>
      <w:r w:rsidR="00953404">
        <w:rPr>
          <w:lang w:bidi="he-IL"/>
        </w:rPr>
        <w:t xml:space="preserve"> gave birth to Isaac</w:t>
      </w:r>
      <w:r w:rsidR="0011482E">
        <w:rPr>
          <w:lang w:bidi="he-IL"/>
        </w:rPr>
        <w:t xml:space="preserve"> at the age of 90</w:t>
      </w:r>
      <w:r w:rsidR="00953404">
        <w:rPr>
          <w:lang w:bidi="he-IL"/>
        </w:rPr>
        <w:t>, which implies up to a decade since the event in Gen 22.</w:t>
      </w:r>
      <w:r w:rsidR="0011482E">
        <w:rPr>
          <w:lang w:bidi="he-IL"/>
        </w:rPr>
        <w:t xml:space="preserve"> </w:t>
      </w:r>
    </w:p>
    <w:p w14:paraId="105086E4" w14:textId="49AABBBD" w:rsidR="00825A9B" w:rsidRDefault="00C15506" w:rsidP="00A53627">
      <w:pPr>
        <w:rPr>
          <w:lang w:bidi="he-IL"/>
        </w:rPr>
      </w:pPr>
      <w:r>
        <w:rPr>
          <w:lang w:bidi="he-IL"/>
        </w:rPr>
        <w:t xml:space="preserve">Sarah’s dying </w:t>
      </w:r>
      <w:r w:rsidR="00900F18">
        <w:rPr>
          <w:lang w:bidi="he-IL"/>
        </w:rPr>
        <w:t>in Hebron</w:t>
      </w:r>
      <w:r w:rsidR="009121D9">
        <w:rPr>
          <w:lang w:bidi="he-IL"/>
        </w:rPr>
        <w:t xml:space="preserve"> (v. 2) </w:t>
      </w:r>
      <w:r w:rsidRPr="00C15506">
        <w:rPr>
          <w:lang w:bidi="he-IL"/>
        </w:rPr>
        <w:t>rais</w:t>
      </w:r>
      <w:r w:rsidR="009121D9">
        <w:rPr>
          <w:lang w:bidi="he-IL"/>
        </w:rPr>
        <w:t>es the question whether</w:t>
      </w:r>
      <w:r w:rsidRPr="00C15506">
        <w:rPr>
          <w:lang w:bidi="he-IL"/>
        </w:rPr>
        <w:t xml:space="preserve"> she was living in the </w:t>
      </w:r>
      <w:r>
        <w:rPr>
          <w:lang w:bidi="he-IL"/>
        </w:rPr>
        <w:t xml:space="preserve">clan </w:t>
      </w:r>
      <w:r w:rsidRPr="00C15506">
        <w:rPr>
          <w:lang w:bidi="he-IL"/>
        </w:rPr>
        <w:t xml:space="preserve">settlement </w:t>
      </w:r>
      <w:r>
        <w:rPr>
          <w:lang w:bidi="he-IL"/>
        </w:rPr>
        <w:t xml:space="preserve">at Mamre </w:t>
      </w:r>
      <w:r w:rsidRPr="00C15506">
        <w:rPr>
          <w:lang w:bidi="he-IL"/>
        </w:rPr>
        <w:t>while Abraham and Isaac and other members of their staff were shepherding in the Beer Sheba area.</w:t>
      </w:r>
      <w:r w:rsidR="00017F80">
        <w:rPr>
          <w:lang w:bidi="he-IL"/>
        </w:rPr>
        <w:t xml:space="preserve"> Women, after all, could have full lives and responsibilities of their own; marriage was a partnership (see Prov 31</w:t>
      </w:r>
      <w:r w:rsidR="009A4079">
        <w:rPr>
          <w:lang w:bidi="he-IL"/>
        </w:rPr>
        <w:t>:10-31</w:t>
      </w:r>
      <w:r w:rsidR="00017F80">
        <w:rPr>
          <w:lang w:bidi="he-IL"/>
        </w:rPr>
        <w:t>).</w:t>
      </w:r>
      <w:r w:rsidRPr="00C15506">
        <w:rPr>
          <w:lang w:bidi="he-IL"/>
        </w:rPr>
        <w:t xml:space="preserve"> It would explain the sense in which Abraham “came” to mourn Sarah.</w:t>
      </w:r>
      <w:r w:rsidRPr="00C15506">
        <w:rPr>
          <w:vertAlign w:val="superscript"/>
          <w:lang w:bidi="he-IL"/>
        </w:rPr>
        <w:footnoteReference w:id="756"/>
      </w:r>
      <w:r w:rsidRPr="00C15506">
        <w:rPr>
          <w:lang w:bidi="he-IL"/>
        </w:rPr>
        <w:t xml:space="preserve"> The alternative inference is that sometime between the events in Gen 22 and Gen 23 the entire settlement has moved (cf. </w:t>
      </w:r>
      <w:r w:rsidRPr="00C15506">
        <w:rPr>
          <w:i/>
          <w:lang w:bidi="he-IL"/>
        </w:rPr>
        <w:t>Jub</w:t>
      </w:r>
      <w:r w:rsidRPr="00C15506">
        <w:rPr>
          <w:lang w:bidi="he-IL"/>
        </w:rPr>
        <w:t xml:space="preserve"> 19:1). Arba Township (or Four Township)</w:t>
      </w:r>
      <w:r w:rsidRPr="00C15506">
        <w:rPr>
          <w:vertAlign w:val="superscript"/>
          <w:lang w:bidi="he-IL"/>
        </w:rPr>
        <w:footnoteReference w:id="757"/>
      </w:r>
      <w:r w:rsidR="009121D9">
        <w:rPr>
          <w:lang w:bidi="he-IL"/>
        </w:rPr>
        <w:t xml:space="preserve"> is</w:t>
      </w:r>
      <w:r w:rsidRPr="00C15506">
        <w:rPr>
          <w:lang w:bidi="he-IL"/>
        </w:rPr>
        <w:t xml:space="preserve"> another pre-Israelite name for Hebron (for Arba, see Josh 14:15; 15:13); it would be the name the </w:t>
      </w:r>
      <w:r w:rsidR="009121D9">
        <w:rPr>
          <w:lang w:bidi="he-IL"/>
        </w:rPr>
        <w:t xml:space="preserve">Hittites </w:t>
      </w:r>
      <w:r w:rsidRPr="00C15506">
        <w:rPr>
          <w:lang w:bidi="he-IL"/>
        </w:rPr>
        <w:t>would use.</w:t>
      </w:r>
      <w:r>
        <w:rPr>
          <w:lang w:bidi="he-IL"/>
        </w:rPr>
        <w:t xml:space="preserve"> Genesis remarks that Sarah thus </w:t>
      </w:r>
      <w:r w:rsidRPr="00C15506">
        <w:rPr>
          <w:lang w:bidi="he-IL"/>
        </w:rPr>
        <w:t>dies “in Canaan</w:t>
      </w:r>
      <w:r>
        <w:rPr>
          <w:lang w:bidi="he-IL"/>
        </w:rPr>
        <w:t>”; the comment is</w:t>
      </w:r>
      <w:r w:rsidRPr="00C15506">
        <w:rPr>
          <w:lang w:bidi="he-IL"/>
        </w:rPr>
        <w:t xml:space="preserve"> “unnecessary</w:t>
      </w:r>
      <w:r>
        <w:rPr>
          <w:lang w:bidi="he-IL"/>
        </w:rPr>
        <w:t>” as a purely geographical note</w:t>
      </w:r>
      <w:r w:rsidRPr="00C15506">
        <w:rPr>
          <w:vertAlign w:val="superscript"/>
          <w:lang w:bidi="he-IL"/>
        </w:rPr>
        <w:footnoteReference w:id="758"/>
      </w:r>
      <w:r>
        <w:rPr>
          <w:lang w:bidi="he-IL"/>
        </w:rPr>
        <w:t xml:space="preserve"> but it does indicate that she died in the </w:t>
      </w:r>
      <w:proofErr w:type="gramStart"/>
      <w:r>
        <w:rPr>
          <w:lang w:bidi="he-IL"/>
        </w:rPr>
        <w:t>promised land</w:t>
      </w:r>
      <w:proofErr w:type="gramEnd"/>
      <w:r>
        <w:rPr>
          <w:lang w:bidi="he-IL"/>
        </w:rPr>
        <w:t>.</w:t>
      </w:r>
      <w:r w:rsidR="009121D9">
        <w:rPr>
          <w:lang w:bidi="he-IL"/>
        </w:rPr>
        <w:t xml:space="preserve"> S</w:t>
      </w:r>
      <w:r w:rsidR="0011482E">
        <w:rPr>
          <w:lang w:bidi="he-IL"/>
        </w:rPr>
        <w:t>h</w:t>
      </w:r>
      <w:r w:rsidR="009121D9">
        <w:rPr>
          <w:lang w:bidi="he-IL"/>
        </w:rPr>
        <w:t>e</w:t>
      </w:r>
      <w:r w:rsidR="00CE660C">
        <w:rPr>
          <w:lang w:bidi="he-IL"/>
        </w:rPr>
        <w:t xml:space="preserve"> is the first person to be mourned in the First Testament, which befits her importance; Jacob is the only other person in Genesis to be mourned</w:t>
      </w:r>
      <w:r w:rsidR="0011482E">
        <w:rPr>
          <w:lang w:bidi="he-IL"/>
        </w:rPr>
        <w:t xml:space="preserve"> (50:10), and the account of that mourning</w:t>
      </w:r>
      <w:r w:rsidR="00CE660C">
        <w:rPr>
          <w:lang w:bidi="he-IL"/>
        </w:rPr>
        <w:t xml:space="preserve"> shows wh</w:t>
      </w:r>
      <w:r w:rsidR="0011482E">
        <w:rPr>
          <w:lang w:bidi="he-IL"/>
        </w:rPr>
        <w:t>at</w:t>
      </w:r>
      <w:r>
        <w:rPr>
          <w:lang w:bidi="he-IL"/>
        </w:rPr>
        <w:t xml:space="preserve"> a significant public event it</w:t>
      </w:r>
      <w:r w:rsidR="0011482E">
        <w:rPr>
          <w:lang w:bidi="he-IL"/>
        </w:rPr>
        <w:t xml:space="preserve"> was</w:t>
      </w:r>
      <w:r w:rsidR="00CE660C">
        <w:rPr>
          <w:lang w:bidi="he-IL"/>
        </w:rPr>
        <w:t xml:space="preserve">. By implication, Abraham’s mourning was more personal to him, though it would still </w:t>
      </w:r>
      <w:r w:rsidR="0011482E">
        <w:rPr>
          <w:lang w:bidi="he-IL"/>
        </w:rPr>
        <w:t xml:space="preserve">be </w:t>
      </w:r>
      <w:r w:rsidR="00CE660C">
        <w:rPr>
          <w:lang w:bidi="he-IL"/>
        </w:rPr>
        <w:t>outwardly expressed and thus public</w:t>
      </w:r>
      <w:r w:rsidR="005034B5">
        <w:rPr>
          <w:lang w:bidi="he-IL"/>
        </w:rPr>
        <w:t xml:space="preserve"> (</w:t>
      </w:r>
      <w:r w:rsidR="005034B5" w:rsidRPr="005034B5">
        <w:rPr>
          <w:lang w:bidi="he-IL"/>
        </w:rPr>
        <w:t xml:space="preserve">see </w:t>
      </w:r>
      <w:r w:rsidR="005034B5">
        <w:rPr>
          <w:lang w:bidi="he-IL"/>
        </w:rPr>
        <w:t xml:space="preserve">Ezekiel’s account of mourning for his wife in Ezek 24:16-17; </w:t>
      </w:r>
      <w:r w:rsidR="005034B5" w:rsidRPr="005034B5">
        <w:rPr>
          <w:lang w:bidi="he-IL"/>
        </w:rPr>
        <w:t xml:space="preserve">further </w:t>
      </w:r>
      <w:r w:rsidR="005034B5">
        <w:rPr>
          <w:lang w:bidi="he-IL"/>
        </w:rPr>
        <w:t xml:space="preserve">2 Sam 1:11-12; 3:31; </w:t>
      </w:r>
      <w:r w:rsidR="005034B5" w:rsidRPr="005034B5">
        <w:rPr>
          <w:lang w:bidi="he-IL"/>
        </w:rPr>
        <w:t xml:space="preserve">Jer </w:t>
      </w:r>
      <w:r w:rsidR="00550E1B">
        <w:rPr>
          <w:lang w:bidi="he-IL"/>
        </w:rPr>
        <w:t xml:space="preserve">4:8; </w:t>
      </w:r>
      <w:r w:rsidR="005034B5" w:rsidRPr="005034B5">
        <w:rPr>
          <w:lang w:bidi="he-IL"/>
        </w:rPr>
        <w:t>16:5-7</w:t>
      </w:r>
      <w:r w:rsidR="005034B5">
        <w:rPr>
          <w:lang w:bidi="he-IL"/>
        </w:rPr>
        <w:t xml:space="preserve">; 49:3; </w:t>
      </w:r>
      <w:r w:rsidR="00550E1B">
        <w:rPr>
          <w:lang w:bidi="he-IL"/>
        </w:rPr>
        <w:t xml:space="preserve">Joel 1:13; </w:t>
      </w:r>
      <w:r w:rsidR="005034B5">
        <w:rPr>
          <w:lang w:bidi="he-IL"/>
        </w:rPr>
        <w:t>Mic 1:8)</w:t>
      </w:r>
      <w:r w:rsidR="00550E1B">
        <w:rPr>
          <w:lang w:bidi="he-IL"/>
        </w:rPr>
        <w:t xml:space="preserve">. </w:t>
      </w:r>
      <w:r w:rsidR="0011482E" w:rsidRPr="0011482E">
        <w:rPr>
          <w:lang w:bidi="he-IL"/>
        </w:rPr>
        <w:t>Lamenting suggests</w:t>
      </w:r>
      <w:r w:rsidR="009121D9">
        <w:rPr>
          <w:lang w:bidi="he-IL"/>
        </w:rPr>
        <w:t xml:space="preserve"> the use of words, which</w:t>
      </w:r>
      <w:r w:rsidR="0011482E" w:rsidRPr="0011482E">
        <w:rPr>
          <w:lang w:bidi="he-IL"/>
        </w:rPr>
        <w:t xml:space="preserve"> are accompanied by tears. </w:t>
      </w:r>
      <w:r w:rsidR="009121D9">
        <w:rPr>
          <w:lang w:bidi="he-IL"/>
        </w:rPr>
        <w:t>T</w:t>
      </w:r>
      <w:r w:rsidR="0011482E">
        <w:rPr>
          <w:lang w:bidi="he-IL"/>
        </w:rPr>
        <w:t xml:space="preserve">he reference </w:t>
      </w:r>
      <w:r>
        <w:rPr>
          <w:lang w:bidi="he-IL"/>
        </w:rPr>
        <w:t xml:space="preserve">to mourning </w:t>
      </w:r>
      <w:r w:rsidR="0011482E">
        <w:rPr>
          <w:lang w:bidi="he-IL"/>
        </w:rPr>
        <w:t xml:space="preserve">here may </w:t>
      </w:r>
      <w:r w:rsidR="009121D9">
        <w:rPr>
          <w:lang w:bidi="he-IL"/>
        </w:rPr>
        <w:t>imply</w:t>
      </w:r>
      <w:r w:rsidR="00EC2812">
        <w:rPr>
          <w:lang w:bidi="he-IL"/>
        </w:rPr>
        <w:t xml:space="preserve"> that “Abraham fulfilled all righteousness in relation to Sarah so that now</w:t>
      </w:r>
      <w:r w:rsidR="009121D9">
        <w:rPr>
          <w:lang w:bidi="he-IL"/>
        </w:rPr>
        <w:t xml:space="preserve"> only the burial itself remains,</w:t>
      </w:r>
      <w:r w:rsidR="00EC2812">
        <w:rPr>
          <w:lang w:bidi="he-IL"/>
        </w:rPr>
        <w:t>”</w:t>
      </w:r>
      <w:r w:rsidR="00EC2812">
        <w:rPr>
          <w:rStyle w:val="FootnoteReference"/>
          <w:lang w:bidi="he-IL"/>
        </w:rPr>
        <w:footnoteReference w:id="759"/>
      </w:r>
      <w:r w:rsidR="00EC2812">
        <w:rPr>
          <w:lang w:bidi="he-IL"/>
        </w:rPr>
        <w:t xml:space="preserve"> </w:t>
      </w:r>
      <w:r w:rsidR="009121D9">
        <w:rPr>
          <w:lang w:bidi="he-IL"/>
        </w:rPr>
        <w:t xml:space="preserve">but </w:t>
      </w:r>
      <w:r w:rsidRPr="00C15506">
        <w:rPr>
          <w:lang w:bidi="he-IL"/>
        </w:rPr>
        <w:t>“lament and cry” constitute a most</w:t>
      </w:r>
      <w:r>
        <w:rPr>
          <w:lang w:bidi="he-IL"/>
        </w:rPr>
        <w:t xml:space="preserve"> brief account of this mourning. “I</w:t>
      </w:r>
      <w:r w:rsidRPr="00C15506">
        <w:rPr>
          <w:lang w:bidi="he-IL"/>
        </w:rPr>
        <w:t>t is not the actual theme of Gen 23.”</w:t>
      </w:r>
      <w:r w:rsidRPr="00C15506">
        <w:rPr>
          <w:vertAlign w:val="superscript"/>
          <w:lang w:bidi="he-IL"/>
        </w:rPr>
        <w:footnoteReference w:id="760"/>
      </w:r>
      <w:r w:rsidRPr="00C15506">
        <w:rPr>
          <w:lang w:bidi="he-IL"/>
        </w:rPr>
        <w:t xml:space="preserve"> </w:t>
      </w:r>
      <w:r>
        <w:rPr>
          <w:lang w:bidi="he-IL"/>
        </w:rPr>
        <w:t>W</w:t>
      </w:r>
      <w:r w:rsidR="00825A9B">
        <w:rPr>
          <w:lang w:bidi="he-IL"/>
        </w:rPr>
        <w:t>hile the mention of mourning is striking after the many references to death without reference to mourning in G</w:t>
      </w:r>
      <w:r w:rsidR="009121D9">
        <w:rPr>
          <w:lang w:bidi="he-IL"/>
        </w:rPr>
        <w:t>en 1—22, the mention</w:t>
      </w:r>
      <w:r w:rsidR="00825A9B">
        <w:rPr>
          <w:lang w:bidi="he-IL"/>
        </w:rPr>
        <w:t xml:space="preserve"> turns out to be just background to the focus on a burial place.</w:t>
      </w:r>
    </w:p>
    <w:p w14:paraId="7C5383FC" w14:textId="61E7B02D" w:rsidR="00786BBE" w:rsidRDefault="00550E1B" w:rsidP="00A53627">
      <w:pPr>
        <w:rPr>
          <w:lang w:bidi="he-IL"/>
        </w:rPr>
      </w:pPr>
      <w:r>
        <w:rPr>
          <w:b/>
          <w:lang w:bidi="he-IL"/>
        </w:rPr>
        <w:t>23:3-</w:t>
      </w:r>
      <w:r w:rsidR="008E6E41">
        <w:rPr>
          <w:b/>
          <w:lang w:bidi="he-IL"/>
        </w:rPr>
        <w:t>6</w:t>
      </w:r>
      <w:r>
        <w:rPr>
          <w:lang w:bidi="he-IL"/>
        </w:rPr>
        <w:t xml:space="preserve">. </w:t>
      </w:r>
      <w:r w:rsidR="00786BBE">
        <w:rPr>
          <w:lang w:bidi="he-IL"/>
        </w:rPr>
        <w:t>Shepherdin</w:t>
      </w:r>
      <w:r w:rsidR="009121D9">
        <w:rPr>
          <w:lang w:bidi="he-IL"/>
        </w:rPr>
        <w:t xml:space="preserve">g peoples might not </w:t>
      </w:r>
      <w:r w:rsidR="00786BBE">
        <w:rPr>
          <w:lang w:bidi="he-IL"/>
        </w:rPr>
        <w:t>have fixe</w:t>
      </w:r>
      <w:r w:rsidR="009121D9">
        <w:rPr>
          <w:lang w:bidi="he-IL"/>
        </w:rPr>
        <w:t xml:space="preserve">d burial grounds, but </w:t>
      </w:r>
      <w:r>
        <w:rPr>
          <w:lang w:bidi="he-IL"/>
        </w:rPr>
        <w:t xml:space="preserve">Abraham </w:t>
      </w:r>
      <w:r w:rsidR="009121D9">
        <w:rPr>
          <w:lang w:bidi="he-IL"/>
        </w:rPr>
        <w:t>want</w:t>
      </w:r>
      <w:r w:rsidR="00786BBE">
        <w:rPr>
          <w:lang w:bidi="he-IL"/>
        </w:rPr>
        <w:t xml:space="preserve">s one. </w:t>
      </w:r>
      <w:r w:rsidR="0072607A">
        <w:rPr>
          <w:lang w:bidi="he-IL"/>
        </w:rPr>
        <w:t xml:space="preserve">What happens to the family’s bodies </w:t>
      </w:r>
      <w:proofErr w:type="gramStart"/>
      <w:r w:rsidR="0072607A">
        <w:rPr>
          <w:lang w:bidi="he-IL"/>
        </w:rPr>
        <w:t>matters.</w:t>
      </w:r>
      <w:proofErr w:type="gramEnd"/>
      <w:r w:rsidR="0072607A">
        <w:rPr>
          <w:lang w:bidi="he-IL"/>
        </w:rPr>
        <w:t xml:space="preserve"> It matters on the assumption that death is the end; it also matters when you know that their bodies are to be raised to new life. Abraham was unconcerned about </w:t>
      </w:r>
      <w:r w:rsidR="0072607A">
        <w:rPr>
          <w:lang w:bidi="he-IL"/>
        </w:rPr>
        <w:lastRenderedPageBreak/>
        <w:t>a place to sleep when he and Sarah and Isaac didn’t need one; now things have changed.</w:t>
      </w:r>
      <w:r w:rsidR="0072607A">
        <w:rPr>
          <w:rStyle w:val="FootnoteReference"/>
          <w:lang w:bidi="he-IL"/>
        </w:rPr>
        <w:footnoteReference w:id="761"/>
      </w:r>
      <w:r w:rsidR="0072607A">
        <w:rPr>
          <w:lang w:bidi="he-IL"/>
        </w:rPr>
        <w:t xml:space="preserve"> </w:t>
      </w:r>
      <w:r w:rsidR="00F07B5F">
        <w:rPr>
          <w:lang w:bidi="he-IL"/>
        </w:rPr>
        <w:t>H</w:t>
      </w:r>
      <w:r w:rsidR="009121D9">
        <w:rPr>
          <w:lang w:bidi="he-IL"/>
        </w:rPr>
        <w:t>i</w:t>
      </w:r>
      <w:r w:rsidR="00F07B5F">
        <w:rPr>
          <w:lang w:bidi="he-IL"/>
        </w:rPr>
        <w:t>s concern</w:t>
      </w:r>
      <w:r w:rsidR="006754B3">
        <w:rPr>
          <w:lang w:bidi="he-IL"/>
        </w:rPr>
        <w:t xml:space="preserve"> </w:t>
      </w:r>
      <w:r w:rsidR="00F07B5F">
        <w:rPr>
          <w:lang w:bidi="he-IL"/>
        </w:rPr>
        <w:t xml:space="preserve">compares with the later desire </w:t>
      </w:r>
      <w:r w:rsidR="00786BBE">
        <w:rPr>
          <w:lang w:bidi="he-IL"/>
        </w:rPr>
        <w:t>of Jacob and Joseph</w:t>
      </w:r>
      <w:r w:rsidR="006754B3">
        <w:rPr>
          <w:lang w:bidi="he-IL"/>
        </w:rPr>
        <w:t>, a wish to be buried in Canaan,</w:t>
      </w:r>
      <w:r w:rsidR="0044610B">
        <w:rPr>
          <w:lang w:bidi="he-IL"/>
        </w:rPr>
        <w:t xml:space="preserve"> the land Yahweh </w:t>
      </w:r>
      <w:r w:rsidR="00786BBE">
        <w:rPr>
          <w:lang w:bidi="he-IL"/>
        </w:rPr>
        <w:t>promised</w:t>
      </w:r>
      <w:r w:rsidR="00E867DD">
        <w:rPr>
          <w:lang w:bidi="he-IL"/>
        </w:rPr>
        <w:t xml:space="preserve"> to</w:t>
      </w:r>
      <w:r w:rsidR="00943B64">
        <w:rPr>
          <w:lang w:bidi="he-IL"/>
        </w:rPr>
        <w:t xml:space="preserve"> give Abraham and his family.</w:t>
      </w:r>
      <w:r w:rsidR="0072607A">
        <w:rPr>
          <w:lang w:bidi="he-IL"/>
        </w:rPr>
        <w:t xml:space="preserve"> </w:t>
      </w:r>
    </w:p>
    <w:p w14:paraId="2AFB4C5D" w14:textId="4A90969D" w:rsidR="00550E1B" w:rsidRDefault="00F07B5F" w:rsidP="00A53627">
      <w:pPr>
        <w:rPr>
          <w:lang w:bidi="he-IL"/>
        </w:rPr>
      </w:pPr>
      <w:r>
        <w:rPr>
          <w:lang w:bidi="he-IL"/>
        </w:rPr>
        <w:t xml:space="preserve">For practical reasons </w:t>
      </w:r>
      <w:r w:rsidR="006754B3">
        <w:rPr>
          <w:lang w:bidi="he-IL"/>
        </w:rPr>
        <w:t>Abraham</w:t>
      </w:r>
      <w:r w:rsidR="00786BBE">
        <w:rPr>
          <w:lang w:bidi="he-IL"/>
        </w:rPr>
        <w:t xml:space="preserve"> </w:t>
      </w:r>
      <w:r w:rsidR="00550E1B">
        <w:rPr>
          <w:lang w:bidi="he-IL"/>
        </w:rPr>
        <w:t>will need to act quickly to make burial arrangements</w:t>
      </w:r>
      <w:r w:rsidR="00786BBE">
        <w:rPr>
          <w:lang w:bidi="he-IL"/>
        </w:rPr>
        <w:t xml:space="preserve"> (v. 3)</w:t>
      </w:r>
      <w:r w:rsidR="006754B3">
        <w:rPr>
          <w:lang w:bidi="he-IL"/>
        </w:rPr>
        <w:t>, and</w:t>
      </w:r>
      <w:r>
        <w:rPr>
          <w:lang w:bidi="he-IL"/>
        </w:rPr>
        <w:t xml:space="preserve"> he thus gets</w:t>
      </w:r>
      <w:r w:rsidR="00550E1B">
        <w:rPr>
          <w:lang w:bidi="he-IL"/>
        </w:rPr>
        <w:t xml:space="preserve"> going to talk to the H</w:t>
      </w:r>
      <w:r w:rsidR="00A10D11">
        <w:rPr>
          <w:lang w:bidi="he-IL"/>
        </w:rPr>
        <w:t xml:space="preserve">ittite men at the </w:t>
      </w:r>
      <w:r w:rsidR="0044610B">
        <w:rPr>
          <w:lang w:bidi="he-IL"/>
        </w:rPr>
        <w:t>Hebron gateway</w:t>
      </w:r>
      <w:r>
        <w:rPr>
          <w:lang w:bidi="he-IL"/>
        </w:rPr>
        <w:t>; it</w:t>
      </w:r>
      <w:r w:rsidR="006754B3">
        <w:rPr>
          <w:lang w:bidi="he-IL"/>
        </w:rPr>
        <w:t xml:space="preserve"> need</w:t>
      </w:r>
      <w:r w:rsidR="00550E1B">
        <w:rPr>
          <w:lang w:bidi="he-IL"/>
        </w:rPr>
        <w:t xml:space="preserve"> not imply that proper mourning is over.</w:t>
      </w:r>
      <w:r w:rsidR="00CC4307">
        <w:rPr>
          <w:lang w:bidi="he-IL"/>
        </w:rPr>
        <w:t xml:space="preserve"> The Hittites are apparently a</w:t>
      </w:r>
      <w:r w:rsidR="00550E1B">
        <w:rPr>
          <w:lang w:bidi="he-IL"/>
        </w:rPr>
        <w:t xml:space="preserve"> subgroup of Canaanites (cf. v. 1</w:t>
      </w:r>
      <w:r w:rsidR="00943B64">
        <w:rPr>
          <w:lang w:bidi="he-IL"/>
        </w:rPr>
        <w:t>; and 10:15</w:t>
      </w:r>
      <w:r w:rsidR="00A10D11">
        <w:rPr>
          <w:lang w:bidi="he-IL"/>
        </w:rPr>
        <w:t>)</w:t>
      </w:r>
      <w:r w:rsidR="006754B3">
        <w:rPr>
          <w:lang w:bidi="he-IL"/>
        </w:rPr>
        <w:t xml:space="preserve">, the </w:t>
      </w:r>
      <w:r>
        <w:rPr>
          <w:lang w:bidi="he-IL"/>
        </w:rPr>
        <w:t>particular group that</w:t>
      </w:r>
      <w:r w:rsidR="0044610B">
        <w:rPr>
          <w:lang w:bidi="he-IL"/>
        </w:rPr>
        <w:t xml:space="preserve"> live</w:t>
      </w:r>
      <w:r>
        <w:rPr>
          <w:lang w:bidi="he-IL"/>
        </w:rPr>
        <w:t>s</w:t>
      </w:r>
      <w:r w:rsidR="0044610B">
        <w:rPr>
          <w:lang w:bidi="he-IL"/>
        </w:rPr>
        <w:t xml:space="preserve"> in the Hebron</w:t>
      </w:r>
      <w:r w:rsidR="00550E1B">
        <w:rPr>
          <w:lang w:bidi="he-IL"/>
        </w:rPr>
        <w:t xml:space="preserve"> area, as the Jebusites live in the Jerusalem area</w:t>
      </w:r>
      <w:r w:rsidR="00D97703">
        <w:rPr>
          <w:lang w:bidi="he-IL"/>
        </w:rPr>
        <w:t>. T</w:t>
      </w:r>
      <w:r w:rsidR="006754B3">
        <w:rPr>
          <w:lang w:bidi="he-IL"/>
        </w:rPr>
        <w:t xml:space="preserve">hey </w:t>
      </w:r>
      <w:r w:rsidR="00CC4307">
        <w:rPr>
          <w:lang w:bidi="he-IL"/>
        </w:rPr>
        <w:t xml:space="preserve">appear </w:t>
      </w:r>
      <w:r w:rsidR="006754B3">
        <w:rPr>
          <w:lang w:bidi="he-IL"/>
        </w:rPr>
        <w:t xml:space="preserve">most often </w:t>
      </w:r>
      <w:r w:rsidR="00CC4307">
        <w:rPr>
          <w:lang w:bidi="he-IL"/>
        </w:rPr>
        <w:t>in lists of peoples living in Canaan before Israel was there (e.g., Exod 3:8, 17; 13:5)</w:t>
      </w:r>
      <w:r w:rsidR="00550E1B">
        <w:rPr>
          <w:lang w:bidi="he-IL"/>
        </w:rPr>
        <w:t xml:space="preserve">. </w:t>
      </w:r>
      <w:r w:rsidR="0044610B">
        <w:rPr>
          <w:lang w:bidi="he-IL"/>
        </w:rPr>
        <w:t>A</w:t>
      </w:r>
      <w:r w:rsidR="00786BBE">
        <w:rPr>
          <w:lang w:bidi="he-IL"/>
        </w:rPr>
        <w:t xml:space="preserve"> great Hittite empire spread through eastern Turkey and northern Syria in the second m</w:t>
      </w:r>
      <w:r w:rsidR="006754B3">
        <w:rPr>
          <w:lang w:bidi="he-IL"/>
        </w:rPr>
        <w:t>illennium, but it did not extend</w:t>
      </w:r>
      <w:r w:rsidR="0044610B">
        <w:rPr>
          <w:lang w:bidi="he-IL"/>
        </w:rPr>
        <w:t xml:space="preserve"> this far south; t</w:t>
      </w:r>
      <w:r w:rsidR="00786BBE">
        <w:rPr>
          <w:lang w:bidi="he-IL"/>
        </w:rPr>
        <w:t>hese Hittites are either a subgroup of that empire who have somehow moved into Canaan, or a different group with a similar name.</w:t>
      </w:r>
      <w:r w:rsidR="005A25AB">
        <w:rPr>
          <w:lang w:bidi="he-IL"/>
        </w:rPr>
        <w:t xml:space="preserve"> Abraham’s friendly negotiation with them stands in some contrast with the promise that his descendants are going to take over their land (15:20).</w:t>
      </w:r>
      <w:r w:rsidR="005A25AB">
        <w:rPr>
          <w:rStyle w:val="FootnoteReference"/>
          <w:lang w:bidi="he-IL"/>
        </w:rPr>
        <w:footnoteReference w:id="762"/>
      </w:r>
    </w:p>
    <w:p w14:paraId="05AD6255" w14:textId="39AD9877" w:rsidR="00731B11" w:rsidRDefault="00196517" w:rsidP="00A53627">
      <w:pPr>
        <w:rPr>
          <w:lang w:bidi="he-IL"/>
        </w:rPr>
      </w:pPr>
      <w:r>
        <w:rPr>
          <w:lang w:bidi="he-IL"/>
        </w:rPr>
        <w:t xml:space="preserve">Abraham of course is only a </w:t>
      </w:r>
      <w:r w:rsidR="006754B3">
        <w:rPr>
          <w:lang w:bidi="he-IL"/>
        </w:rPr>
        <w:t>“</w:t>
      </w:r>
      <w:r>
        <w:rPr>
          <w:lang w:bidi="he-IL"/>
        </w:rPr>
        <w:t xml:space="preserve">resident </w:t>
      </w:r>
      <w:r w:rsidR="00452C5B">
        <w:rPr>
          <w:lang w:bidi="he-IL"/>
        </w:rPr>
        <w:t>alien</w:t>
      </w:r>
      <w:r w:rsidR="006754B3">
        <w:rPr>
          <w:lang w:bidi="he-IL"/>
        </w:rPr>
        <w:t>”</w:t>
      </w:r>
      <w:r w:rsidR="00452C5B">
        <w:rPr>
          <w:lang w:bidi="he-IL"/>
        </w:rPr>
        <w:t xml:space="preserve"> </w:t>
      </w:r>
      <w:r>
        <w:rPr>
          <w:lang w:bidi="he-IL"/>
        </w:rPr>
        <w:t xml:space="preserve">or </w:t>
      </w:r>
      <w:r w:rsidR="006754B3">
        <w:rPr>
          <w:lang w:bidi="he-IL"/>
        </w:rPr>
        <w:t>“</w:t>
      </w:r>
      <w:r>
        <w:rPr>
          <w:lang w:bidi="he-IL"/>
        </w:rPr>
        <w:t>settler</w:t>
      </w:r>
      <w:r w:rsidR="006754B3">
        <w:rPr>
          <w:lang w:bidi="he-IL"/>
        </w:rPr>
        <w:t>”</w:t>
      </w:r>
      <w:r>
        <w:rPr>
          <w:lang w:bidi="he-IL"/>
        </w:rPr>
        <w:t xml:space="preserve"> in Canaan</w:t>
      </w:r>
      <w:r w:rsidR="00452C5B">
        <w:rPr>
          <w:lang w:bidi="he-IL"/>
        </w:rPr>
        <w:t xml:space="preserve"> (v. 4)</w:t>
      </w:r>
      <w:r>
        <w:rPr>
          <w:lang w:bidi="he-IL"/>
        </w:rPr>
        <w:t>.</w:t>
      </w:r>
      <w:r w:rsidR="00F07B5F">
        <w:rPr>
          <w:lang w:bidi="he-IL"/>
        </w:rPr>
        <w:t xml:space="preserve"> He</w:t>
      </w:r>
      <w:r w:rsidR="00452C5B">
        <w:rPr>
          <w:lang w:bidi="he-IL"/>
        </w:rPr>
        <w:t xml:space="preserve"> combines </w:t>
      </w:r>
      <w:r w:rsidR="00F07B5F">
        <w:rPr>
          <w:lang w:bidi="he-IL"/>
        </w:rPr>
        <w:t>two term</w:t>
      </w:r>
      <w:r w:rsidR="006754B3">
        <w:rPr>
          <w:lang w:bidi="he-IL"/>
        </w:rPr>
        <w:t>s derived from verb</w:t>
      </w:r>
      <w:r w:rsidR="00452C5B">
        <w:rPr>
          <w:lang w:bidi="he-IL"/>
        </w:rPr>
        <w:t>s that have become familiar</w:t>
      </w:r>
      <w:r w:rsidR="006754B3">
        <w:rPr>
          <w:lang w:bidi="he-IL"/>
        </w:rPr>
        <w:t xml:space="preserve"> in Genesis</w:t>
      </w:r>
      <w:r w:rsidR="00731B11">
        <w:rPr>
          <w:lang w:bidi="he-IL"/>
        </w:rPr>
        <w:t xml:space="preserve"> (e.g., </w:t>
      </w:r>
      <w:r w:rsidR="00452C5B">
        <w:rPr>
          <w:lang w:bidi="he-IL"/>
        </w:rPr>
        <w:t xml:space="preserve">19:9; 20:1; 21:23, 34; and </w:t>
      </w:r>
      <w:r w:rsidR="00922251">
        <w:rPr>
          <w:lang w:bidi="he-IL"/>
        </w:rPr>
        <w:t>13:12; 13:18; 16</w:t>
      </w:r>
      <w:r w:rsidR="006754B3">
        <w:rPr>
          <w:lang w:bidi="he-IL"/>
        </w:rPr>
        <w:t>:3; 19:29; 20:15). A</w:t>
      </w:r>
      <w:r w:rsidR="00922251">
        <w:rPr>
          <w:lang w:bidi="he-IL"/>
        </w:rPr>
        <w:t xml:space="preserve"> “resident alien” (</w:t>
      </w:r>
      <w:r w:rsidR="00922251">
        <w:rPr>
          <w:i/>
          <w:lang w:bidi="he-IL"/>
        </w:rPr>
        <w:t>gēr</w:t>
      </w:r>
      <w:r w:rsidR="00731B11">
        <w:rPr>
          <w:lang w:bidi="he-IL"/>
        </w:rPr>
        <w:t>; cf. 15:13</w:t>
      </w:r>
      <w:r w:rsidR="00922251">
        <w:rPr>
          <w:lang w:bidi="he-IL"/>
        </w:rPr>
        <w:t>)</w:t>
      </w:r>
      <w:r w:rsidR="00922251">
        <w:rPr>
          <w:i/>
          <w:lang w:bidi="he-IL"/>
        </w:rPr>
        <w:t xml:space="preserve"> </w:t>
      </w:r>
      <w:r w:rsidR="006754B3">
        <w:rPr>
          <w:lang w:bidi="he-IL"/>
        </w:rPr>
        <w:t>is someone who does</w:t>
      </w:r>
      <w:r w:rsidR="00565811">
        <w:rPr>
          <w:lang w:bidi="he-IL"/>
        </w:rPr>
        <w:t xml:space="preserve"> not belong</w:t>
      </w:r>
      <w:r w:rsidR="00731B11">
        <w:rPr>
          <w:lang w:bidi="he-IL"/>
        </w:rPr>
        <w:t xml:space="preserve"> by right in a place; a </w:t>
      </w:r>
      <w:r w:rsidR="00922251">
        <w:rPr>
          <w:lang w:bidi="he-IL"/>
        </w:rPr>
        <w:t>“settler” (</w:t>
      </w:r>
      <w:r w:rsidR="00922251">
        <w:rPr>
          <w:i/>
          <w:lang w:bidi="he-IL"/>
        </w:rPr>
        <w:t>tûšāb</w:t>
      </w:r>
      <w:r w:rsidR="00922251">
        <w:rPr>
          <w:lang w:bidi="he-IL"/>
        </w:rPr>
        <w:t xml:space="preserve">) </w:t>
      </w:r>
      <w:r w:rsidR="006754B3">
        <w:rPr>
          <w:lang w:bidi="he-IL"/>
        </w:rPr>
        <w:t>is someone who is</w:t>
      </w:r>
      <w:r w:rsidR="00922251">
        <w:rPr>
          <w:lang w:bidi="he-IL"/>
        </w:rPr>
        <w:t xml:space="preserve"> </w:t>
      </w:r>
      <w:r w:rsidR="00044E3D">
        <w:rPr>
          <w:lang w:bidi="he-IL"/>
        </w:rPr>
        <w:t>nevertheless staying there semi-permanently</w:t>
      </w:r>
      <w:r w:rsidR="00922251">
        <w:rPr>
          <w:lang w:bidi="he-IL"/>
        </w:rPr>
        <w:t xml:space="preserve">. </w:t>
      </w:r>
      <w:r w:rsidR="00731B11">
        <w:rPr>
          <w:lang w:bidi="he-IL"/>
        </w:rPr>
        <w:t>Added to the first noun, the second term would form the basis of Abraham’s plea</w:t>
      </w:r>
      <w:r w:rsidR="00922251">
        <w:rPr>
          <w:lang w:bidi="he-IL"/>
        </w:rPr>
        <w:t xml:space="preserve">. For the audience, </w:t>
      </w:r>
      <w:r w:rsidR="00F07B5F">
        <w:rPr>
          <w:lang w:bidi="he-IL"/>
        </w:rPr>
        <w:t>Abraham’s</w:t>
      </w:r>
      <w:r w:rsidR="00922251">
        <w:rPr>
          <w:lang w:bidi="he-IL"/>
        </w:rPr>
        <w:t xml:space="preserve"> ask</w:t>
      </w:r>
      <w:r w:rsidR="00F07B5F">
        <w:rPr>
          <w:lang w:bidi="he-IL"/>
        </w:rPr>
        <w:t>ing</w:t>
      </w:r>
      <w:r w:rsidR="00922251">
        <w:rPr>
          <w:lang w:bidi="he-IL"/>
        </w:rPr>
        <w:t xml:space="preserve"> for a “holding” (</w:t>
      </w:r>
      <w:r w:rsidR="00922251">
        <w:rPr>
          <w:i/>
          <w:lang w:bidi="he-IL"/>
        </w:rPr>
        <w:t>’ăḥuzzāh</w:t>
      </w:r>
      <w:r w:rsidR="00922251">
        <w:rPr>
          <w:lang w:bidi="he-IL"/>
        </w:rPr>
        <w:t>)</w:t>
      </w:r>
      <w:r w:rsidR="00922251">
        <w:rPr>
          <w:i/>
          <w:lang w:bidi="he-IL"/>
        </w:rPr>
        <w:t xml:space="preserve"> </w:t>
      </w:r>
      <w:r w:rsidR="00922251">
        <w:rPr>
          <w:lang w:bidi="he-IL"/>
        </w:rPr>
        <w:t xml:space="preserve">would be a significant request. </w:t>
      </w:r>
      <w:r w:rsidR="00EF2DA4">
        <w:rPr>
          <w:lang w:bidi="he-IL"/>
        </w:rPr>
        <w:t xml:space="preserve">God has already promised </w:t>
      </w:r>
      <w:r w:rsidR="00731B11">
        <w:rPr>
          <w:lang w:bidi="he-IL"/>
        </w:rPr>
        <w:t xml:space="preserve">the country of Canaan </w:t>
      </w:r>
      <w:r w:rsidR="00EF2DA4">
        <w:rPr>
          <w:lang w:bidi="he-IL"/>
        </w:rPr>
        <w:t>to Israel as its holding (17:8) and within this holding each family later had its own holding (e.g., Lev 25).</w:t>
      </w:r>
      <w:r w:rsidR="00731B11">
        <w:rPr>
          <w:lang w:bidi="he-IL"/>
        </w:rPr>
        <w:t xml:space="preserve"> It is within this prospective holding which </w:t>
      </w:r>
      <w:r w:rsidR="00EF2DA4">
        <w:rPr>
          <w:lang w:bidi="he-IL"/>
        </w:rPr>
        <w:t xml:space="preserve">Abraham </w:t>
      </w:r>
      <w:r w:rsidR="00731B11">
        <w:rPr>
          <w:lang w:bidi="he-IL"/>
        </w:rPr>
        <w:t>and his audience know about (but the Hittites don’</w:t>
      </w:r>
      <w:r w:rsidR="00565811">
        <w:rPr>
          <w:lang w:bidi="he-IL"/>
        </w:rPr>
        <w:t>t) that Abraham asks for somewhere</w:t>
      </w:r>
      <w:r w:rsidR="00EF2DA4">
        <w:rPr>
          <w:lang w:bidi="he-IL"/>
        </w:rPr>
        <w:t xml:space="preserve"> to bury Sarah</w:t>
      </w:r>
      <w:r w:rsidR="00565811">
        <w:rPr>
          <w:lang w:bidi="he-IL"/>
        </w:rPr>
        <w:t>. He</w:t>
      </w:r>
      <w:r w:rsidR="00731B11">
        <w:rPr>
          <w:lang w:bidi="he-IL"/>
        </w:rPr>
        <w:t xml:space="preserve"> implies that t</w:t>
      </w:r>
      <w:r w:rsidR="00EF2DA4">
        <w:rPr>
          <w:lang w:bidi="he-IL"/>
        </w:rPr>
        <w:t xml:space="preserve">he </w:t>
      </w:r>
      <w:r w:rsidR="00731B11">
        <w:rPr>
          <w:lang w:bidi="he-IL"/>
        </w:rPr>
        <w:t xml:space="preserve">Hittites will share the </w:t>
      </w:r>
      <w:r w:rsidR="00EF2DA4">
        <w:rPr>
          <w:lang w:bidi="he-IL"/>
        </w:rPr>
        <w:t>ass</w:t>
      </w:r>
      <w:r w:rsidR="00731B11">
        <w:rPr>
          <w:lang w:bidi="he-IL"/>
        </w:rPr>
        <w:t xml:space="preserve">umption that corpses are taboo and that thus </w:t>
      </w:r>
      <w:r w:rsidR="00EF2DA4">
        <w:rPr>
          <w:lang w:bidi="he-IL"/>
        </w:rPr>
        <w:t>people cannot be</w:t>
      </w:r>
      <w:r w:rsidR="00731B11">
        <w:rPr>
          <w:lang w:bidi="he-IL"/>
        </w:rPr>
        <w:t xml:space="preserve"> buried next to living quarters. In a</w:t>
      </w:r>
      <w:r w:rsidR="00EA3F55">
        <w:rPr>
          <w:lang w:bidi="he-IL"/>
        </w:rPr>
        <w:t>sking that the Hittites may “give” him some la</w:t>
      </w:r>
      <w:r w:rsidR="00731B11">
        <w:rPr>
          <w:lang w:bidi="he-IL"/>
        </w:rPr>
        <w:t>nd, he speaks euphemistically</w:t>
      </w:r>
      <w:r w:rsidR="00EA3F55">
        <w:rPr>
          <w:lang w:bidi="he-IL"/>
        </w:rPr>
        <w:t xml:space="preserve">; he means “give it for money.” </w:t>
      </w:r>
    </w:p>
    <w:p w14:paraId="67A2027C" w14:textId="3404F10A" w:rsidR="00142661" w:rsidRDefault="00565811" w:rsidP="00A53627">
      <w:pPr>
        <w:rPr>
          <w:lang w:bidi="he-IL"/>
        </w:rPr>
      </w:pPr>
      <w:r>
        <w:rPr>
          <w:lang w:bidi="he-IL"/>
        </w:rPr>
        <w:t>T</w:t>
      </w:r>
      <w:r w:rsidR="00EA3F55">
        <w:rPr>
          <w:lang w:bidi="he-IL"/>
        </w:rPr>
        <w:t>he Hittites ar</w:t>
      </w:r>
      <w:r w:rsidR="00731B11">
        <w:rPr>
          <w:lang w:bidi="he-IL"/>
        </w:rPr>
        <w:t>e able to exploit the indirectness of Abraham’s request (vv. 5-6).</w:t>
      </w:r>
      <w:r w:rsidR="000831F5">
        <w:rPr>
          <w:lang w:bidi="he-IL"/>
        </w:rPr>
        <w:t xml:space="preserve"> </w:t>
      </w:r>
      <w:r w:rsidR="00731B11">
        <w:rPr>
          <w:lang w:bidi="he-IL"/>
        </w:rPr>
        <w:t>He has set going a set of “h</w:t>
      </w:r>
      <w:r w:rsidR="000831F5">
        <w:rPr>
          <w:lang w:bidi="he-IL"/>
        </w:rPr>
        <w:t>ard-no</w:t>
      </w:r>
      <w:r w:rsidR="00731B11">
        <w:rPr>
          <w:lang w:bidi="he-IL"/>
        </w:rPr>
        <w:t xml:space="preserve">sed” but </w:t>
      </w:r>
      <w:r w:rsidR="00F07B5F">
        <w:rPr>
          <w:lang w:bidi="he-IL"/>
        </w:rPr>
        <w:t xml:space="preserve">polite </w:t>
      </w:r>
      <w:r w:rsidR="00731B11">
        <w:rPr>
          <w:lang w:bidi="he-IL"/>
        </w:rPr>
        <w:t>negotiations,</w:t>
      </w:r>
      <w:r w:rsidR="000831F5">
        <w:rPr>
          <w:rStyle w:val="FootnoteReference"/>
          <w:lang w:bidi="he-IL"/>
        </w:rPr>
        <w:footnoteReference w:id="763"/>
      </w:r>
      <w:r w:rsidR="00731B11">
        <w:rPr>
          <w:lang w:bidi="he-IL"/>
        </w:rPr>
        <w:t xml:space="preserve"> a</w:t>
      </w:r>
      <w:r w:rsidR="00F86E19">
        <w:rPr>
          <w:lang w:bidi="he-IL"/>
        </w:rPr>
        <w:t xml:space="preserve"> </w:t>
      </w:r>
      <w:r w:rsidR="00731B11">
        <w:rPr>
          <w:lang w:bidi="he-IL"/>
        </w:rPr>
        <w:t>“</w:t>
      </w:r>
      <w:r w:rsidR="00F86E19">
        <w:rPr>
          <w:lang w:bidi="he-IL"/>
        </w:rPr>
        <w:t>dance.”</w:t>
      </w:r>
      <w:r w:rsidR="00F86E19">
        <w:rPr>
          <w:rStyle w:val="FootnoteReference"/>
          <w:lang w:bidi="he-IL"/>
        </w:rPr>
        <w:footnoteReference w:id="764"/>
      </w:r>
      <w:r w:rsidR="00731B11">
        <w:rPr>
          <w:lang w:bidi="he-IL"/>
        </w:rPr>
        <w:t xml:space="preserve"> </w:t>
      </w:r>
      <w:r w:rsidR="008E0B31">
        <w:rPr>
          <w:lang w:bidi="he-IL"/>
        </w:rPr>
        <w:t>The</w:t>
      </w:r>
      <w:r w:rsidR="00F07B5F">
        <w:rPr>
          <w:lang w:bidi="he-IL"/>
        </w:rPr>
        <w:t xml:space="preserve"> Hitttes</w:t>
      </w:r>
      <w:r w:rsidR="00731B11">
        <w:rPr>
          <w:lang w:bidi="he-IL"/>
        </w:rPr>
        <w:t xml:space="preserve"> are thus effusive</w:t>
      </w:r>
      <w:r w:rsidR="008E0B31">
        <w:rPr>
          <w:lang w:bidi="he-IL"/>
        </w:rPr>
        <w:t>, with a traditional society’s gracious and generous courtesy</w:t>
      </w:r>
      <w:r w:rsidR="008E6E41">
        <w:rPr>
          <w:lang w:bidi="he-IL"/>
        </w:rPr>
        <w:t>. Their reply presupposes that they indeed have burial places separate from their settlement, for the same reason as Abraham wants one separate from his encampment.</w:t>
      </w:r>
      <w:r w:rsidR="00673E20">
        <w:rPr>
          <w:lang w:bidi="he-IL"/>
        </w:rPr>
        <w:t xml:space="preserve"> </w:t>
      </w:r>
      <w:r w:rsidR="00731B11">
        <w:rPr>
          <w:lang w:bidi="he-IL"/>
        </w:rPr>
        <w:t>E</w:t>
      </w:r>
      <w:r w:rsidR="00943B64">
        <w:rPr>
          <w:lang w:bidi="he-IL"/>
        </w:rPr>
        <w:t xml:space="preserve">ven if he is </w:t>
      </w:r>
      <w:r w:rsidR="00731B11">
        <w:rPr>
          <w:lang w:bidi="he-IL"/>
        </w:rPr>
        <w:t xml:space="preserve">legally </w:t>
      </w:r>
      <w:r w:rsidR="00943B64">
        <w:rPr>
          <w:lang w:bidi="he-IL"/>
        </w:rPr>
        <w:t xml:space="preserve">a resident alien or settler, </w:t>
      </w:r>
      <w:r w:rsidR="00731B11">
        <w:rPr>
          <w:lang w:bidi="he-IL"/>
        </w:rPr>
        <w:t>they are prepared to speak of him</w:t>
      </w:r>
      <w:r w:rsidR="00673E20" w:rsidRPr="00673E20">
        <w:rPr>
          <w:lang w:bidi="he-IL"/>
        </w:rPr>
        <w:t xml:space="preserve"> a leader (</w:t>
      </w:r>
      <w:r w:rsidR="00673E20" w:rsidRPr="00673E20">
        <w:rPr>
          <w:i/>
          <w:lang w:bidi="he-IL"/>
        </w:rPr>
        <w:t>nāśî’</w:t>
      </w:r>
      <w:r w:rsidR="00151574">
        <w:rPr>
          <w:lang w:bidi="he-IL"/>
        </w:rPr>
        <w:t>; cf. 17:20; 25:6</w:t>
      </w:r>
      <w:r w:rsidR="00673E20" w:rsidRPr="00673E20">
        <w:rPr>
          <w:lang w:bidi="he-IL"/>
        </w:rPr>
        <w:t>)</w:t>
      </w:r>
      <w:r w:rsidR="00673E20" w:rsidRPr="00673E20">
        <w:rPr>
          <w:i/>
          <w:lang w:bidi="he-IL"/>
        </w:rPr>
        <w:t xml:space="preserve"> </w:t>
      </w:r>
      <w:r w:rsidR="00673E20" w:rsidRPr="00673E20">
        <w:rPr>
          <w:lang w:bidi="he-IL"/>
        </w:rPr>
        <w:t>in that he is the he</w:t>
      </w:r>
      <w:r w:rsidR="00151574">
        <w:rPr>
          <w:lang w:bidi="he-IL"/>
        </w:rPr>
        <w:t>ad of his clan. They are thus treating him</w:t>
      </w:r>
      <w:r w:rsidR="00673E20" w:rsidRPr="00673E20">
        <w:rPr>
          <w:lang w:bidi="he-IL"/>
        </w:rPr>
        <w:t xml:space="preserve"> as someone of equal status </w:t>
      </w:r>
      <w:r w:rsidR="00151574">
        <w:rPr>
          <w:lang w:bidi="he-IL"/>
        </w:rPr>
        <w:t xml:space="preserve">to them </w:t>
      </w:r>
      <w:r w:rsidR="00F07B5F">
        <w:rPr>
          <w:lang w:bidi="he-IL"/>
        </w:rPr>
        <w:t>(cf. the description of Shech</w:t>
      </w:r>
      <w:r w:rsidR="00673E20" w:rsidRPr="00673E20">
        <w:rPr>
          <w:lang w:bidi="he-IL"/>
        </w:rPr>
        <w:t>em in 34:2).</w:t>
      </w:r>
      <w:r w:rsidR="00142661">
        <w:rPr>
          <w:lang w:bidi="he-IL"/>
        </w:rPr>
        <w:t xml:space="preserve"> Yet their</w:t>
      </w:r>
      <w:r w:rsidR="00673E20">
        <w:rPr>
          <w:lang w:bidi="he-IL"/>
        </w:rPr>
        <w:t xml:space="preserve"> effusiveness </w:t>
      </w:r>
      <w:r w:rsidR="00142661">
        <w:rPr>
          <w:lang w:bidi="he-IL"/>
        </w:rPr>
        <w:t>conceals something by way of refusal</w:t>
      </w:r>
      <w:r w:rsidR="00673E20">
        <w:rPr>
          <w:lang w:bidi="he-IL"/>
        </w:rPr>
        <w:t>,</w:t>
      </w:r>
      <w:r w:rsidR="00142661">
        <w:rPr>
          <w:lang w:bidi="he-IL"/>
        </w:rPr>
        <w:t xml:space="preserve"> almost</w:t>
      </w:r>
      <w:r w:rsidR="00151574">
        <w:rPr>
          <w:lang w:bidi="he-IL"/>
        </w:rPr>
        <w:t xml:space="preserve"> a “Not on your life.</w:t>
      </w:r>
      <w:r w:rsidR="00673E20">
        <w:rPr>
          <w:lang w:bidi="he-IL"/>
        </w:rPr>
        <w:t>”</w:t>
      </w:r>
      <w:r w:rsidR="00673E20">
        <w:rPr>
          <w:rStyle w:val="FootnoteReference"/>
          <w:lang w:bidi="he-IL"/>
        </w:rPr>
        <w:footnoteReference w:id="765"/>
      </w:r>
      <w:r w:rsidR="00673E20">
        <w:rPr>
          <w:lang w:bidi="he-IL"/>
        </w:rPr>
        <w:t xml:space="preserve"> </w:t>
      </w:r>
      <w:r w:rsidR="00151574">
        <w:rPr>
          <w:lang w:bidi="he-IL"/>
        </w:rPr>
        <w:t>Abraham</w:t>
      </w:r>
      <w:r w:rsidR="00151574" w:rsidRPr="00151574">
        <w:rPr>
          <w:lang w:bidi="he-IL"/>
        </w:rPr>
        <w:t xml:space="preserve"> has perhaps given too much away in drawing attention to his being a resident alien or settler</w:t>
      </w:r>
      <w:r w:rsidR="00151574">
        <w:rPr>
          <w:lang w:bidi="he-IL"/>
        </w:rPr>
        <w:t>. He</w:t>
      </w:r>
      <w:r w:rsidR="00151574" w:rsidRPr="00151574">
        <w:rPr>
          <w:lang w:bidi="he-IL"/>
        </w:rPr>
        <w:t xml:space="preserve"> wants a burial holding; </w:t>
      </w:r>
      <w:r w:rsidR="00151574">
        <w:rPr>
          <w:lang w:bidi="he-IL"/>
        </w:rPr>
        <w:t>but e</w:t>
      </w:r>
      <w:r w:rsidR="00151574" w:rsidRPr="00151574">
        <w:rPr>
          <w:lang w:bidi="he-IL"/>
        </w:rPr>
        <w:t>ven as the head of a clan, how cou</w:t>
      </w:r>
      <w:r w:rsidR="00151574">
        <w:rPr>
          <w:lang w:bidi="he-IL"/>
        </w:rPr>
        <w:t>ld a resident alien</w:t>
      </w:r>
      <w:r w:rsidR="00151574" w:rsidRPr="00151574">
        <w:rPr>
          <w:lang w:bidi="he-IL"/>
        </w:rPr>
        <w:t xml:space="preserve"> come to possess a</w:t>
      </w:r>
      <w:r w:rsidR="00F07B5F">
        <w:rPr>
          <w:lang w:bidi="he-IL"/>
        </w:rPr>
        <w:t>n actual</w:t>
      </w:r>
      <w:r w:rsidR="00151574" w:rsidRPr="00151574">
        <w:rPr>
          <w:lang w:bidi="he-IL"/>
        </w:rPr>
        <w:t xml:space="preserve"> holding? </w:t>
      </w:r>
      <w:r w:rsidR="00151574">
        <w:rPr>
          <w:lang w:bidi="he-IL"/>
        </w:rPr>
        <w:t>T</w:t>
      </w:r>
      <w:r w:rsidR="00151574" w:rsidRPr="00151574">
        <w:rPr>
          <w:lang w:bidi="he-IL"/>
        </w:rPr>
        <w:t xml:space="preserve">hey agree only that he can have a place in </w:t>
      </w:r>
      <w:r w:rsidR="00F07B5F">
        <w:rPr>
          <w:lang w:bidi="he-IL"/>
        </w:rPr>
        <w:t>one of their places. It is unlikely that they</w:t>
      </w:r>
      <w:r w:rsidR="00151574" w:rsidRPr="00151574">
        <w:rPr>
          <w:lang w:bidi="he-IL"/>
        </w:rPr>
        <w:t xml:space="preserve"> mean he can bury Sar</w:t>
      </w:r>
      <w:r w:rsidR="00151574">
        <w:rPr>
          <w:lang w:bidi="he-IL"/>
        </w:rPr>
        <w:t>ah in one of their family tombs;</w:t>
      </w:r>
      <w:r w:rsidR="00151574" w:rsidRPr="00151574">
        <w:rPr>
          <w:vertAlign w:val="superscript"/>
          <w:lang w:bidi="he-IL"/>
        </w:rPr>
        <w:footnoteReference w:id="766"/>
      </w:r>
      <w:r w:rsidR="00151574">
        <w:rPr>
          <w:lang w:bidi="he-IL"/>
        </w:rPr>
        <w:t xml:space="preserve"> a</w:t>
      </w:r>
      <w:r w:rsidR="00151574" w:rsidRPr="00151574">
        <w:rPr>
          <w:lang w:bidi="he-IL"/>
        </w:rPr>
        <w:t xml:space="preserve"> family tomb is a family tomb.</w:t>
      </w:r>
      <w:r w:rsidR="00151574">
        <w:rPr>
          <w:lang w:bidi="he-IL"/>
        </w:rPr>
        <w:t xml:space="preserve"> Perhaps they mean he can have the use of one of the caves in the area where they have their tombs, without a</w:t>
      </w:r>
      <w:r>
        <w:rPr>
          <w:lang w:bidi="he-IL"/>
        </w:rPr>
        <w:t>ny</w:t>
      </w:r>
      <w:r w:rsidR="00151574">
        <w:rPr>
          <w:lang w:bidi="he-IL"/>
        </w:rPr>
        <w:t xml:space="preserve"> implication that he owns it.</w:t>
      </w:r>
      <w:r w:rsidR="00017F80">
        <w:rPr>
          <w:lang w:bidi="he-IL"/>
        </w:rPr>
        <w:t xml:space="preserve"> Might they</w:t>
      </w:r>
      <w:r w:rsidR="00AD27FD">
        <w:rPr>
          <w:lang w:bidi="he-IL"/>
        </w:rPr>
        <w:t xml:space="preserve"> assume that he will take her b</w:t>
      </w:r>
      <w:r w:rsidR="00017F80">
        <w:rPr>
          <w:lang w:bidi="he-IL"/>
        </w:rPr>
        <w:t>o</w:t>
      </w:r>
      <w:r w:rsidR="00AD27FD">
        <w:rPr>
          <w:lang w:bidi="he-IL"/>
        </w:rPr>
        <w:t>n</w:t>
      </w:r>
      <w:r w:rsidR="00017F80">
        <w:rPr>
          <w:lang w:bidi="he-IL"/>
        </w:rPr>
        <w:t>es with him when he moves on (cf. 50:</w:t>
      </w:r>
      <w:r w:rsidR="00AD27FD">
        <w:rPr>
          <w:lang w:bidi="he-IL"/>
        </w:rPr>
        <w:t>25)?</w:t>
      </w:r>
      <w:r w:rsidR="00AD27FD">
        <w:rPr>
          <w:rStyle w:val="FootnoteReference"/>
          <w:lang w:bidi="he-IL"/>
        </w:rPr>
        <w:footnoteReference w:id="767"/>
      </w:r>
    </w:p>
    <w:p w14:paraId="4D46444F" w14:textId="738545C0" w:rsidR="008E6E41" w:rsidRDefault="008E6E41" w:rsidP="00A53627">
      <w:pPr>
        <w:rPr>
          <w:lang w:bidi="he-IL"/>
        </w:rPr>
      </w:pPr>
      <w:r>
        <w:rPr>
          <w:b/>
          <w:lang w:bidi="he-IL"/>
        </w:rPr>
        <w:t xml:space="preserve">23:7-10a. </w:t>
      </w:r>
      <w:r w:rsidR="00142661">
        <w:rPr>
          <w:lang w:bidi="he-IL"/>
        </w:rPr>
        <w:t xml:space="preserve">Abraham is not put off and </w:t>
      </w:r>
      <w:r w:rsidR="008C26D9">
        <w:rPr>
          <w:lang w:bidi="he-IL"/>
        </w:rPr>
        <w:t xml:space="preserve">he </w:t>
      </w:r>
      <w:r w:rsidR="00142661">
        <w:rPr>
          <w:lang w:bidi="he-IL"/>
        </w:rPr>
        <w:t xml:space="preserve">knows how to deal with the situation. </w:t>
      </w:r>
      <w:r w:rsidR="00151574">
        <w:rPr>
          <w:lang w:bidi="he-IL"/>
        </w:rPr>
        <w:t>So far, he</w:t>
      </w:r>
      <w:r w:rsidR="007D58A7">
        <w:rPr>
          <w:lang w:bidi="he-IL"/>
        </w:rPr>
        <w:t xml:space="preserve"> and</w:t>
      </w:r>
      <w:r w:rsidR="00151574">
        <w:rPr>
          <w:lang w:bidi="he-IL"/>
        </w:rPr>
        <w:t xml:space="preserve"> the Hittites have been sitting.</w:t>
      </w:r>
      <w:r w:rsidR="007D58A7">
        <w:rPr>
          <w:lang w:bidi="he-IL"/>
        </w:rPr>
        <w:t xml:space="preserve"> Now Abraham gets up as the preliminary to bowing low </w:t>
      </w:r>
      <w:r w:rsidR="00565811" w:rsidRPr="00565811">
        <w:rPr>
          <w:lang w:bidi="he-IL"/>
        </w:rPr>
        <w:t xml:space="preserve">(the verb that came in </w:t>
      </w:r>
      <w:r w:rsidR="00565811" w:rsidRPr="00565811">
        <w:rPr>
          <w:lang w:bidi="he-IL"/>
        </w:rPr>
        <w:lastRenderedPageBreak/>
        <w:t>22:5</w:t>
      </w:r>
      <w:r w:rsidR="00565811">
        <w:rPr>
          <w:lang w:bidi="he-IL"/>
        </w:rPr>
        <w:t xml:space="preserve">) </w:t>
      </w:r>
      <w:r w:rsidR="007D58A7">
        <w:rPr>
          <w:lang w:bidi="he-IL"/>
        </w:rPr>
        <w:t xml:space="preserve">to signify deference. </w:t>
      </w:r>
      <w:r w:rsidR="00A87026">
        <w:rPr>
          <w:lang w:bidi="he-IL"/>
        </w:rPr>
        <w:t xml:space="preserve">Genesis now speaks of the </w:t>
      </w:r>
      <w:r w:rsidR="0033123A">
        <w:rPr>
          <w:lang w:val="en-GB" w:bidi="he-IL"/>
        </w:rPr>
        <w:t>Hit</w:t>
      </w:r>
      <w:r w:rsidR="00A87026" w:rsidRPr="00A87026">
        <w:rPr>
          <w:lang w:val="en-GB" w:bidi="he-IL"/>
        </w:rPr>
        <w:t xml:space="preserve">tites </w:t>
      </w:r>
      <w:r w:rsidR="00A87026">
        <w:rPr>
          <w:lang w:val="en-GB" w:bidi="he-IL"/>
        </w:rPr>
        <w:t xml:space="preserve">as </w:t>
      </w:r>
      <w:r w:rsidR="00A87026">
        <w:rPr>
          <w:lang w:bidi="he-IL"/>
        </w:rPr>
        <w:t>“t</w:t>
      </w:r>
      <w:r w:rsidR="007D58A7">
        <w:rPr>
          <w:lang w:bidi="he-IL"/>
        </w:rPr>
        <w:t>he people of the country”</w:t>
      </w:r>
      <w:r w:rsidR="008C26D9">
        <w:rPr>
          <w:lang w:bidi="he-IL"/>
        </w:rPr>
        <w:t>;</w:t>
      </w:r>
      <w:r w:rsidR="007D58A7">
        <w:rPr>
          <w:lang w:bidi="he-IL"/>
        </w:rPr>
        <w:t xml:space="preserve"> </w:t>
      </w:r>
      <w:r w:rsidR="008C26D9">
        <w:rPr>
          <w:lang w:bidi="he-IL"/>
        </w:rPr>
        <w:t xml:space="preserve">v. 10 </w:t>
      </w:r>
      <w:r w:rsidR="00151574" w:rsidRPr="00151574">
        <w:rPr>
          <w:lang w:bidi="he-IL"/>
        </w:rPr>
        <w:t>will refer to “</w:t>
      </w:r>
      <w:r w:rsidR="00151574">
        <w:rPr>
          <w:lang w:val="en-GB" w:bidi="he-IL"/>
        </w:rPr>
        <w:t>all who ca</w:t>
      </w:r>
      <w:r w:rsidR="008C26D9">
        <w:rPr>
          <w:lang w:val="en-GB" w:bidi="he-IL"/>
        </w:rPr>
        <w:t>me to the town gateway,</w:t>
      </w:r>
      <w:r w:rsidR="00151574" w:rsidRPr="00151574">
        <w:rPr>
          <w:lang w:val="en-GB" w:bidi="he-IL"/>
        </w:rPr>
        <w:t>”</w:t>
      </w:r>
      <w:r w:rsidR="00703220">
        <w:rPr>
          <w:lang w:val="en-GB" w:bidi="he-IL"/>
        </w:rPr>
        <w:t xml:space="preserve"> </w:t>
      </w:r>
      <w:r w:rsidR="008C26D9">
        <w:rPr>
          <w:lang w:val="en-GB" w:bidi="he-IL"/>
        </w:rPr>
        <w:t>and v. 11 to “the members [</w:t>
      </w:r>
      <w:r w:rsidR="008C26D9">
        <w:rPr>
          <w:i/>
          <w:lang w:val="en-GB" w:bidi="he-IL"/>
        </w:rPr>
        <w:t>bᵉnê</w:t>
      </w:r>
      <w:r w:rsidR="008C26D9">
        <w:rPr>
          <w:lang w:val="en-GB" w:bidi="he-IL"/>
        </w:rPr>
        <w:t>]</w:t>
      </w:r>
      <w:r w:rsidR="008C26D9">
        <w:rPr>
          <w:i/>
          <w:lang w:val="en-GB" w:bidi="he-IL"/>
        </w:rPr>
        <w:t xml:space="preserve"> </w:t>
      </w:r>
      <w:r w:rsidR="00565811">
        <w:rPr>
          <w:lang w:val="en-GB" w:bidi="he-IL"/>
        </w:rPr>
        <w:t>of my people.” A</w:t>
      </w:r>
      <w:r w:rsidR="008C26D9">
        <w:rPr>
          <w:lang w:val="en-GB" w:bidi="he-IL"/>
        </w:rPr>
        <w:t xml:space="preserve">ll these terms </w:t>
      </w:r>
      <w:r w:rsidR="00565811">
        <w:rPr>
          <w:lang w:val="en-GB" w:bidi="he-IL"/>
        </w:rPr>
        <w:t xml:space="preserve">will </w:t>
      </w:r>
      <w:r w:rsidR="008C26D9">
        <w:rPr>
          <w:lang w:val="en-GB" w:bidi="he-IL"/>
        </w:rPr>
        <w:t>refer to the citizenry of Arba Township as a whol</w:t>
      </w:r>
      <w:r w:rsidR="00565811">
        <w:rPr>
          <w:lang w:val="en-GB" w:bidi="he-IL"/>
        </w:rPr>
        <w:t>e, in the sense that “citizenry”</w:t>
      </w:r>
      <w:r w:rsidR="008C26D9">
        <w:rPr>
          <w:lang w:val="en-GB" w:bidi="he-IL"/>
        </w:rPr>
        <w:t xml:space="preserve"> would have had before the twentieth century in the United States—that is, it will refer to as many of the adult men as care or happen to be gathered at the town gateway. </w:t>
      </w:r>
      <w:r w:rsidR="005378C9">
        <w:rPr>
          <w:lang w:bidi="he-IL"/>
        </w:rPr>
        <w:t xml:space="preserve">To this extent the government of </w:t>
      </w:r>
      <w:r w:rsidR="005378C9" w:rsidRPr="005378C9">
        <w:rPr>
          <w:lang w:val="en-GB" w:bidi="he-IL"/>
        </w:rPr>
        <w:t>Arba Township</w:t>
      </w:r>
      <w:r w:rsidR="005378C9">
        <w:rPr>
          <w:lang w:val="en-GB" w:bidi="he-IL"/>
        </w:rPr>
        <w:t xml:space="preserve"> is</w:t>
      </w:r>
      <w:r w:rsidR="006F5AC5">
        <w:rPr>
          <w:lang w:bidi="he-IL"/>
        </w:rPr>
        <w:t xml:space="preserve"> democra</w:t>
      </w:r>
      <w:r w:rsidR="005378C9">
        <w:rPr>
          <w:lang w:bidi="he-IL"/>
        </w:rPr>
        <w:t xml:space="preserve">tic (Genesis makes </w:t>
      </w:r>
      <w:r w:rsidR="00142661">
        <w:rPr>
          <w:lang w:bidi="he-IL"/>
        </w:rPr>
        <w:t>no referenc</w:t>
      </w:r>
      <w:r w:rsidR="005378C9">
        <w:rPr>
          <w:lang w:bidi="he-IL"/>
        </w:rPr>
        <w:t>e to a king)</w:t>
      </w:r>
      <w:r w:rsidR="0090231D">
        <w:rPr>
          <w:lang w:bidi="he-IL"/>
        </w:rPr>
        <w:t>, though not elected,</w:t>
      </w:r>
      <w:r w:rsidR="005378C9">
        <w:rPr>
          <w:lang w:bidi="he-IL"/>
        </w:rPr>
        <w:t xml:space="preserve"> and </w:t>
      </w:r>
      <w:r w:rsidR="00565811">
        <w:rPr>
          <w:lang w:bidi="he-IL"/>
        </w:rPr>
        <w:t xml:space="preserve">it is </w:t>
      </w:r>
      <w:r w:rsidR="005378C9">
        <w:rPr>
          <w:lang w:bidi="he-IL"/>
        </w:rPr>
        <w:t xml:space="preserve">these </w:t>
      </w:r>
      <w:r w:rsidR="00142661">
        <w:rPr>
          <w:lang w:bidi="he-IL"/>
        </w:rPr>
        <w:t xml:space="preserve">people </w:t>
      </w:r>
      <w:r w:rsidR="00565811">
        <w:rPr>
          <w:lang w:bidi="he-IL"/>
        </w:rPr>
        <w:t xml:space="preserve">who have </w:t>
      </w:r>
      <w:r w:rsidR="00142661">
        <w:rPr>
          <w:lang w:bidi="he-IL"/>
        </w:rPr>
        <w:t xml:space="preserve">power to </w:t>
      </w:r>
      <w:r w:rsidR="005378C9">
        <w:rPr>
          <w:lang w:bidi="he-IL"/>
        </w:rPr>
        <w:t>make decisions on matters concerning the community as a whole</w:t>
      </w:r>
      <w:r w:rsidR="0033123A">
        <w:rPr>
          <w:lang w:bidi="he-IL"/>
        </w:rPr>
        <w:t xml:space="preserve">, </w:t>
      </w:r>
      <w:r w:rsidR="00565811">
        <w:rPr>
          <w:lang w:bidi="he-IL"/>
        </w:rPr>
        <w:t>such as questions about land</w:t>
      </w:r>
      <w:r w:rsidR="005378C9">
        <w:rPr>
          <w:lang w:bidi="he-IL"/>
        </w:rPr>
        <w:t>.</w:t>
      </w:r>
      <w:r w:rsidR="0033123A">
        <w:rPr>
          <w:rStyle w:val="FootnoteReference"/>
          <w:lang w:bidi="he-IL"/>
        </w:rPr>
        <w:footnoteReference w:id="768"/>
      </w:r>
    </w:p>
    <w:p w14:paraId="1BB76ECE" w14:textId="77777777" w:rsidR="007D58A7" w:rsidRDefault="007D58A7" w:rsidP="00A53627">
      <w:pPr>
        <w:rPr>
          <w:lang w:bidi="he-IL"/>
        </w:rPr>
      </w:pPr>
      <w:r>
        <w:rPr>
          <w:lang w:bidi="he-IL"/>
        </w:rPr>
        <w:t>In reality Abraham knows exactly what he wants (v. 8). He has a specific piece of</w:t>
      </w:r>
      <w:r w:rsidR="00C32A71">
        <w:rPr>
          <w:lang w:bidi="he-IL"/>
        </w:rPr>
        <w:t xml:space="preserve"> Hittite land in mind,</w:t>
      </w:r>
      <w:r>
        <w:rPr>
          <w:lang w:bidi="he-IL"/>
        </w:rPr>
        <w:t xml:space="preserve"> not too far away from his s</w:t>
      </w:r>
      <w:r w:rsidR="00C32A71">
        <w:rPr>
          <w:lang w:bidi="he-IL"/>
        </w:rPr>
        <w:t>ettlement at Mamre (see v. 17</w:t>
      </w:r>
      <w:r w:rsidR="005378C9">
        <w:rPr>
          <w:lang w:bidi="he-IL"/>
        </w:rPr>
        <w:t>)</w:t>
      </w:r>
      <w:r>
        <w:rPr>
          <w:lang w:bidi="he-IL"/>
        </w:rPr>
        <w:t xml:space="preserve">. </w:t>
      </w:r>
      <w:r w:rsidR="005378C9">
        <w:rPr>
          <w:lang w:bidi="he-IL"/>
        </w:rPr>
        <w:t>But h</w:t>
      </w:r>
      <w:r w:rsidR="00E809DC">
        <w:rPr>
          <w:lang w:bidi="he-IL"/>
        </w:rPr>
        <w:t>e needs the leaders to meet (</w:t>
      </w:r>
      <w:r w:rsidR="00E809DC" w:rsidRPr="00E809DC">
        <w:rPr>
          <w:i/>
          <w:lang w:bidi="he-IL"/>
        </w:rPr>
        <w:t>pāga‘</w:t>
      </w:r>
      <w:r w:rsidR="00E809DC" w:rsidRPr="00E809DC">
        <w:rPr>
          <w:lang w:bidi="he-IL"/>
        </w:rPr>
        <w:t xml:space="preserve">) </w:t>
      </w:r>
      <w:r w:rsidR="00E809DC">
        <w:rPr>
          <w:lang w:bidi="he-IL"/>
        </w:rPr>
        <w:t>with Ephron for him i</w:t>
      </w:r>
      <w:r w:rsidR="005378C9">
        <w:rPr>
          <w:lang w:bidi="he-IL"/>
        </w:rPr>
        <w:t>n the sense of mediating between them</w:t>
      </w:r>
      <w:r w:rsidR="00E809DC">
        <w:rPr>
          <w:lang w:bidi="he-IL"/>
        </w:rPr>
        <w:t>, to supervise</w:t>
      </w:r>
      <w:r w:rsidR="005378C9">
        <w:rPr>
          <w:lang w:bidi="he-IL"/>
        </w:rPr>
        <w:t xml:space="preserve"> his</w:t>
      </w:r>
      <w:r w:rsidR="00E809DC">
        <w:rPr>
          <w:lang w:bidi="he-IL"/>
        </w:rPr>
        <w:t xml:space="preserve"> negotiation with Ephron. </w:t>
      </w:r>
      <w:r w:rsidR="00142661">
        <w:rPr>
          <w:lang w:bidi="he-IL"/>
        </w:rPr>
        <w:t>The names of Ephron</w:t>
      </w:r>
      <w:r w:rsidR="00E809DC">
        <w:rPr>
          <w:lang w:bidi="he-IL"/>
        </w:rPr>
        <w:t xml:space="preserve"> </w:t>
      </w:r>
      <w:r w:rsidR="00142661">
        <w:rPr>
          <w:lang w:bidi="he-IL"/>
        </w:rPr>
        <w:t>and his father are</w:t>
      </w:r>
      <w:r w:rsidR="00E809DC">
        <w:rPr>
          <w:lang w:bidi="he-IL"/>
        </w:rPr>
        <w:t xml:space="preserve"> Semitic</w:t>
      </w:r>
      <w:r w:rsidR="004916B3">
        <w:rPr>
          <w:lang w:bidi="he-IL"/>
        </w:rPr>
        <w:t xml:space="preserve"> (cf. 46:10; Josh 15:9)</w:t>
      </w:r>
      <w:r w:rsidR="00E809DC">
        <w:rPr>
          <w:lang w:bidi="he-IL"/>
        </w:rPr>
        <w:t>, which supports the idea that these Hittites are nothing to do with the Hittites to the far north.</w:t>
      </w:r>
    </w:p>
    <w:p w14:paraId="6722A216" w14:textId="77777777" w:rsidR="00430BEE" w:rsidRPr="00E809DC" w:rsidRDefault="005378C9" w:rsidP="00A53627">
      <w:pPr>
        <w:rPr>
          <w:lang w:bidi="he-IL"/>
        </w:rPr>
      </w:pPr>
      <w:r>
        <w:rPr>
          <w:lang w:bidi="he-IL"/>
        </w:rPr>
        <w:t>A cave (v. 9) is the preferred</w:t>
      </w:r>
      <w:r w:rsidR="00430BEE">
        <w:rPr>
          <w:lang w:bidi="he-IL"/>
        </w:rPr>
        <w:t xml:space="preserve"> location for a burial. While people could</w:t>
      </w:r>
      <w:r>
        <w:rPr>
          <w:lang w:bidi="he-IL"/>
        </w:rPr>
        <w:t xml:space="preserve"> be buried in graves dug into</w:t>
      </w:r>
      <w:r w:rsidR="00430BEE">
        <w:rPr>
          <w:lang w:bidi="he-IL"/>
        </w:rPr>
        <w:t xml:space="preserve"> the earth in the Western fashion,</w:t>
      </w:r>
      <w:r>
        <w:rPr>
          <w:lang w:bidi="he-IL"/>
        </w:rPr>
        <w:t xml:space="preserve"> </w:t>
      </w:r>
      <w:r w:rsidR="00430BEE">
        <w:rPr>
          <w:lang w:bidi="he-IL"/>
        </w:rPr>
        <w:t>this was a second-class provision</w:t>
      </w:r>
      <w:r>
        <w:rPr>
          <w:lang w:bidi="he-IL"/>
        </w:rPr>
        <w:t>, unnecessary in a mountainous are where there were many caves</w:t>
      </w:r>
      <w:r w:rsidR="00430BEE">
        <w:rPr>
          <w:lang w:bidi="he-IL"/>
        </w:rPr>
        <w:t>. The ideal thing was a location where the entire family could be together in</w:t>
      </w:r>
      <w:r>
        <w:rPr>
          <w:lang w:bidi="he-IL"/>
        </w:rPr>
        <w:t xml:space="preserve"> death as they were together in</w:t>
      </w:r>
      <w:r w:rsidR="00430BEE">
        <w:rPr>
          <w:lang w:bidi="he-IL"/>
        </w:rPr>
        <w:t xml:space="preserve"> life. It was easy to adapt a cave to this end. Apparently Abraham has spotted one that would be okay</w:t>
      </w:r>
      <w:r>
        <w:rPr>
          <w:lang w:bidi="he-IL"/>
        </w:rPr>
        <w:t>, on the edge of a</w:t>
      </w:r>
      <w:r w:rsidR="00430BEE">
        <w:rPr>
          <w:lang w:bidi="he-IL"/>
        </w:rPr>
        <w:t xml:space="preserve"> plot of land that Ephron farmed</w:t>
      </w:r>
      <w:r>
        <w:rPr>
          <w:lang w:bidi="he-IL"/>
        </w:rPr>
        <w:t>,</w:t>
      </w:r>
      <w:r w:rsidR="00430BEE">
        <w:rPr>
          <w:lang w:bidi="he-IL"/>
        </w:rPr>
        <w:t xml:space="preserve"> and he offer</w:t>
      </w:r>
      <w:r w:rsidR="00565811">
        <w:rPr>
          <w:lang w:bidi="he-IL"/>
        </w:rPr>
        <w:t>s to pay the market value</w:t>
      </w:r>
      <w:r w:rsidR="00430BEE">
        <w:rPr>
          <w:lang w:bidi="he-IL"/>
        </w:rPr>
        <w:t xml:space="preserve">. </w:t>
      </w:r>
      <w:r w:rsidR="00D83637">
        <w:rPr>
          <w:lang w:bidi="he-IL"/>
        </w:rPr>
        <w:t>His mention of the pric</w:t>
      </w:r>
      <w:r w:rsidR="00565811">
        <w:rPr>
          <w:lang w:bidi="he-IL"/>
        </w:rPr>
        <w:t>e at the beginning of v. 9b (</w:t>
      </w:r>
      <w:r w:rsidR="00D83637">
        <w:rPr>
          <w:lang w:bidi="he-IL"/>
        </w:rPr>
        <w:t>between occurrences of the polite verb ”give”!) makes clear that he is talking about a</w:t>
      </w:r>
      <w:r w:rsidR="008D222A">
        <w:rPr>
          <w:lang w:bidi="he-IL"/>
        </w:rPr>
        <w:t>cquiring ownership of the cave</w:t>
      </w:r>
      <w:r>
        <w:rPr>
          <w:lang w:bidi="he-IL"/>
        </w:rPr>
        <w:t>,</w:t>
      </w:r>
      <w:r w:rsidR="008D222A">
        <w:rPr>
          <w:lang w:bidi="he-IL"/>
        </w:rPr>
        <w:t xml:space="preserve"> not just finding a </w:t>
      </w:r>
      <w:r w:rsidR="00565811">
        <w:rPr>
          <w:lang w:bidi="he-IL"/>
        </w:rPr>
        <w:t xml:space="preserve">spot </w:t>
      </w:r>
      <w:r w:rsidR="008D222A">
        <w:rPr>
          <w:lang w:bidi="he-IL"/>
        </w:rPr>
        <w:t xml:space="preserve">for Sarah in </w:t>
      </w:r>
      <w:r>
        <w:rPr>
          <w:lang w:bidi="he-IL"/>
        </w:rPr>
        <w:t>a</w:t>
      </w:r>
      <w:r w:rsidR="00565811">
        <w:rPr>
          <w:lang w:bidi="he-IL"/>
        </w:rPr>
        <w:t xml:space="preserve"> burial place </w:t>
      </w:r>
      <w:r>
        <w:rPr>
          <w:lang w:bidi="he-IL"/>
        </w:rPr>
        <w:t>he doesn’t own. H</w:t>
      </w:r>
      <w:r w:rsidR="008D222A">
        <w:rPr>
          <w:lang w:bidi="he-IL"/>
        </w:rPr>
        <w:t>is</w:t>
      </w:r>
      <w:r w:rsidR="004916B3">
        <w:rPr>
          <w:lang w:bidi="he-IL"/>
        </w:rPr>
        <w:t xml:space="preserve"> re</w:t>
      </w:r>
      <w:r>
        <w:rPr>
          <w:lang w:bidi="he-IL"/>
        </w:rPr>
        <w:t>ference to the edge of the plot</w:t>
      </w:r>
      <w:r w:rsidR="004916B3">
        <w:rPr>
          <w:lang w:bidi="he-IL"/>
        </w:rPr>
        <w:t xml:space="preserve"> emphasizes that he is not seeking to take over a h</w:t>
      </w:r>
      <w:r>
        <w:rPr>
          <w:lang w:bidi="he-IL"/>
        </w:rPr>
        <w:t>uge tract of Hittite land. T</w:t>
      </w:r>
      <w:r w:rsidR="004916B3">
        <w:rPr>
          <w:lang w:bidi="he-IL"/>
        </w:rPr>
        <w:t>o Israelites, his coming into full possession of just a little bit of land in Cana</w:t>
      </w:r>
      <w:r w:rsidR="006F5AC5">
        <w:rPr>
          <w:lang w:bidi="he-IL"/>
        </w:rPr>
        <w:t xml:space="preserve">an would </w:t>
      </w:r>
      <w:r>
        <w:rPr>
          <w:lang w:bidi="he-IL"/>
        </w:rPr>
        <w:t xml:space="preserve">nevertheless be important. Yet they might be brought up short by </w:t>
      </w:r>
      <w:r w:rsidR="004916B3">
        <w:rPr>
          <w:lang w:bidi="he-IL"/>
        </w:rPr>
        <w:t xml:space="preserve">the </w:t>
      </w:r>
      <w:r w:rsidR="00430BEE">
        <w:rPr>
          <w:lang w:bidi="he-IL"/>
        </w:rPr>
        <w:t xml:space="preserve">idea </w:t>
      </w:r>
      <w:r>
        <w:rPr>
          <w:lang w:bidi="he-IL"/>
        </w:rPr>
        <w:t>of buying land.</w:t>
      </w:r>
      <w:r w:rsidR="00430BEE">
        <w:rPr>
          <w:lang w:bidi="he-IL"/>
        </w:rPr>
        <w:t xml:space="preserve"> </w:t>
      </w:r>
      <w:r>
        <w:rPr>
          <w:lang w:bidi="he-IL"/>
        </w:rPr>
        <w:t>In Israel, in theory</w:t>
      </w:r>
      <w:r w:rsidR="00CB2E68">
        <w:rPr>
          <w:lang w:bidi="he-IL"/>
        </w:rPr>
        <w:t xml:space="preserve"> </w:t>
      </w:r>
      <w:r w:rsidR="00430BEE">
        <w:rPr>
          <w:lang w:bidi="he-IL"/>
        </w:rPr>
        <w:t>it was impossible to buy and sell land</w:t>
      </w:r>
      <w:r w:rsidR="00CB2E68">
        <w:rPr>
          <w:lang w:bidi="he-IL"/>
        </w:rPr>
        <w:t xml:space="preserve"> because it belonged to God</w:t>
      </w:r>
      <w:r w:rsidR="00565811">
        <w:rPr>
          <w:lang w:bidi="he-IL"/>
        </w:rPr>
        <w:t xml:space="preserve"> and </w:t>
      </w:r>
      <w:r w:rsidR="00EA3F55">
        <w:rPr>
          <w:lang w:bidi="he-IL"/>
        </w:rPr>
        <w:t>to the family</w:t>
      </w:r>
      <w:r w:rsidR="00CB2E68">
        <w:rPr>
          <w:lang w:bidi="he-IL"/>
        </w:rPr>
        <w:t>, though Israelites had wa</w:t>
      </w:r>
      <w:r w:rsidR="006F5AC5">
        <w:rPr>
          <w:lang w:bidi="he-IL"/>
        </w:rPr>
        <w:t>ys of getting around this rule.</w:t>
      </w:r>
      <w:r w:rsidRPr="005378C9">
        <w:rPr>
          <w:vertAlign w:val="superscript"/>
          <w:lang w:bidi="he-IL"/>
        </w:rPr>
        <w:footnoteReference w:id="769"/>
      </w:r>
      <w:r>
        <w:rPr>
          <w:lang w:bidi="he-IL"/>
        </w:rPr>
        <w:t xml:space="preserve"> The audience</w:t>
      </w:r>
      <w:r w:rsidR="006F5AC5">
        <w:rPr>
          <w:lang w:bidi="he-IL"/>
        </w:rPr>
        <w:t xml:space="preserve"> would understand the </w:t>
      </w:r>
      <w:r>
        <w:rPr>
          <w:lang w:bidi="he-IL"/>
        </w:rPr>
        <w:t xml:space="preserve">Hittites’ reluctance </w:t>
      </w:r>
      <w:r w:rsidR="006F5AC5">
        <w:rPr>
          <w:lang w:bidi="he-IL"/>
        </w:rPr>
        <w:t xml:space="preserve">to sell land and </w:t>
      </w:r>
      <w:r>
        <w:rPr>
          <w:lang w:bidi="he-IL"/>
        </w:rPr>
        <w:t xml:space="preserve">might </w:t>
      </w:r>
      <w:r w:rsidR="006F5AC5">
        <w:rPr>
          <w:lang w:bidi="he-IL"/>
        </w:rPr>
        <w:t>even see it as something of a miracle that Abraham succeeded in buying some.</w:t>
      </w:r>
      <w:r w:rsidR="00D83637">
        <w:rPr>
          <w:lang w:bidi="he-IL"/>
        </w:rPr>
        <w:t xml:space="preserve"> </w:t>
      </w:r>
    </w:p>
    <w:p w14:paraId="36B10A3F" w14:textId="77777777" w:rsidR="00953404" w:rsidRDefault="00CB2E68" w:rsidP="00A53627">
      <w:pPr>
        <w:rPr>
          <w:lang w:bidi="he-IL"/>
        </w:rPr>
      </w:pPr>
      <w:r>
        <w:rPr>
          <w:lang w:bidi="he-IL"/>
        </w:rPr>
        <w:t>Ephron’s ears prick as he sits among the men (v. 10a). As far as we know this is the first he has heard of Abraham’s plan.</w:t>
      </w:r>
    </w:p>
    <w:p w14:paraId="40E2EE13" w14:textId="77777777" w:rsidR="00BF4978" w:rsidRDefault="00CB2E68" w:rsidP="00A53627">
      <w:pPr>
        <w:rPr>
          <w:lang w:bidi="he-IL"/>
        </w:rPr>
      </w:pPr>
      <w:r>
        <w:rPr>
          <w:b/>
          <w:lang w:bidi="he-IL"/>
        </w:rPr>
        <w:t>23:10b-16a</w:t>
      </w:r>
      <w:r w:rsidR="00273827">
        <w:rPr>
          <w:b/>
          <w:lang w:bidi="he-IL"/>
        </w:rPr>
        <w:t>α</w:t>
      </w:r>
      <w:r>
        <w:rPr>
          <w:b/>
          <w:lang w:bidi="he-IL"/>
        </w:rPr>
        <w:t xml:space="preserve">. </w:t>
      </w:r>
      <w:proofErr w:type="gramStart"/>
      <w:r w:rsidR="0081712E">
        <w:rPr>
          <w:lang w:bidi="he-IL"/>
        </w:rPr>
        <w:t>Whatever</w:t>
      </w:r>
      <w:proofErr w:type="gramEnd"/>
      <w:r w:rsidR="0081712E">
        <w:rPr>
          <w:lang w:bidi="he-IL"/>
        </w:rPr>
        <w:t xml:space="preserve"> hesitations the Hittite assembly might have had, for one reason or another Ephron is prepared not to be held back by them. He speaks in the hearing of </w:t>
      </w:r>
      <w:r w:rsidR="00BF4978">
        <w:rPr>
          <w:lang w:bidi="he-IL"/>
        </w:rPr>
        <w:t>the citizenry (now differently described) because they do have the right to object to the conducting of such a transaction</w:t>
      </w:r>
    </w:p>
    <w:p w14:paraId="5CD42AEA" w14:textId="4B33E224" w:rsidR="00CB2E68" w:rsidRDefault="0090231D" w:rsidP="00A53627">
      <w:pPr>
        <w:rPr>
          <w:lang w:bidi="he-IL"/>
        </w:rPr>
      </w:pPr>
      <w:r>
        <w:rPr>
          <w:lang w:bidi="he-IL"/>
        </w:rPr>
        <w:t>Hi</w:t>
      </w:r>
      <w:r w:rsidR="00CB2E68">
        <w:rPr>
          <w:lang w:bidi="he-IL"/>
        </w:rPr>
        <w:t xml:space="preserve">s reply </w:t>
      </w:r>
      <w:r w:rsidR="00BF4978">
        <w:rPr>
          <w:lang w:bidi="he-IL"/>
        </w:rPr>
        <w:t xml:space="preserve">(v. 11) </w:t>
      </w:r>
      <w:r w:rsidR="00CB2E68">
        <w:rPr>
          <w:lang w:bidi="he-IL"/>
        </w:rPr>
        <w:t xml:space="preserve">works with conventions of negotiation in the culture, </w:t>
      </w:r>
      <w:r w:rsidR="00565811">
        <w:rPr>
          <w:lang w:bidi="he-IL"/>
        </w:rPr>
        <w:t>though</w:t>
      </w:r>
      <w:r w:rsidR="00DC11F5">
        <w:rPr>
          <w:lang w:bidi="he-IL"/>
        </w:rPr>
        <w:t xml:space="preserve"> it is of course difficult </w:t>
      </w:r>
      <w:r>
        <w:rPr>
          <w:lang w:bidi="he-IL"/>
        </w:rPr>
        <w:t>for us to know exactly what these conventions</w:t>
      </w:r>
      <w:r w:rsidR="00DC11F5">
        <w:rPr>
          <w:lang w:bidi="he-IL"/>
        </w:rPr>
        <w:t xml:space="preserve"> were.</w:t>
      </w:r>
      <w:r w:rsidR="00DC11F5">
        <w:rPr>
          <w:rStyle w:val="FootnoteReference"/>
          <w:lang w:bidi="he-IL"/>
        </w:rPr>
        <w:footnoteReference w:id="770"/>
      </w:r>
      <w:r w:rsidR="00DC11F5">
        <w:rPr>
          <w:lang w:bidi="he-IL"/>
        </w:rPr>
        <w:t xml:space="preserve"> I</w:t>
      </w:r>
      <w:r w:rsidR="00BF4978">
        <w:rPr>
          <w:lang w:bidi="he-IL"/>
        </w:rPr>
        <w:t xml:space="preserve">nitially </w:t>
      </w:r>
      <w:r w:rsidR="00DC11F5">
        <w:rPr>
          <w:lang w:bidi="he-IL"/>
        </w:rPr>
        <w:t xml:space="preserve">he may operate with </w:t>
      </w:r>
      <w:r w:rsidR="00CB2E68">
        <w:rPr>
          <w:lang w:bidi="he-IL"/>
        </w:rPr>
        <w:t>an upside down version o</w:t>
      </w:r>
      <w:r w:rsidR="00BF4978">
        <w:rPr>
          <w:lang w:bidi="he-IL"/>
        </w:rPr>
        <w:t xml:space="preserve">f the way merchants may quote a price </w:t>
      </w:r>
      <w:r w:rsidR="00CB2E68">
        <w:rPr>
          <w:lang w:bidi="he-IL"/>
        </w:rPr>
        <w:t xml:space="preserve">much higher than the one they are prepared to accept. Ephron says he is prepared </w:t>
      </w:r>
      <w:r w:rsidR="00BF4978">
        <w:rPr>
          <w:lang w:bidi="he-IL"/>
        </w:rPr>
        <w:t xml:space="preserve">simply </w:t>
      </w:r>
      <w:r w:rsidR="00CB2E68">
        <w:rPr>
          <w:lang w:bidi="he-IL"/>
        </w:rPr>
        <w:t>to give Abraham the cave, and not only the cave but the field it’s in</w:t>
      </w:r>
      <w:r w:rsidR="00BF4978">
        <w:rPr>
          <w:lang w:bidi="he-IL"/>
        </w:rPr>
        <w:t>. P</w:t>
      </w:r>
      <w:r w:rsidR="00273827">
        <w:rPr>
          <w:lang w:bidi="he-IL"/>
        </w:rPr>
        <w:t>erhaps Abr</w:t>
      </w:r>
      <w:r w:rsidR="00565811">
        <w:rPr>
          <w:lang w:bidi="he-IL"/>
        </w:rPr>
        <w:t xml:space="preserve">aham had understated his </w:t>
      </w:r>
      <w:r w:rsidR="00273827">
        <w:rPr>
          <w:lang w:bidi="he-IL"/>
        </w:rPr>
        <w:t>request, and both sides knew that he would need more than the cave</w:t>
      </w:r>
      <w:r w:rsidR="00BF4978">
        <w:rPr>
          <w:lang w:bidi="he-IL"/>
        </w:rPr>
        <w:t>, or Ephron may be</w:t>
      </w:r>
      <w:r w:rsidR="00DD1846">
        <w:rPr>
          <w:lang w:bidi="he-IL"/>
        </w:rPr>
        <w:t xml:space="preserve"> signaling that he will only sell the cave along with the field</w:t>
      </w:r>
      <w:r w:rsidR="00BF4978">
        <w:rPr>
          <w:lang w:bidi="he-IL"/>
        </w:rPr>
        <w:t xml:space="preserve">, or that he intends </w:t>
      </w:r>
      <w:r w:rsidR="00EA3F55">
        <w:rPr>
          <w:lang w:bidi="he-IL"/>
        </w:rPr>
        <w:t xml:space="preserve">no more </w:t>
      </w:r>
      <w:r w:rsidR="00BF4978">
        <w:rPr>
          <w:lang w:bidi="he-IL"/>
        </w:rPr>
        <w:t>to give</w:t>
      </w:r>
      <w:r w:rsidR="00EA3F55">
        <w:rPr>
          <w:lang w:bidi="he-IL"/>
        </w:rPr>
        <w:t xml:space="preserve"> over full ownership of the land than the other Hittite lead</w:t>
      </w:r>
      <w:r w:rsidR="00BF4978">
        <w:rPr>
          <w:lang w:bidi="he-IL"/>
        </w:rPr>
        <w:t>ers were prepared to do—</w:t>
      </w:r>
      <w:r w:rsidR="00EA3F55">
        <w:rPr>
          <w:lang w:bidi="he-IL"/>
        </w:rPr>
        <w:t xml:space="preserve">he simply means he is giving </w:t>
      </w:r>
      <w:r w:rsidR="00BF4978">
        <w:rPr>
          <w:lang w:bidi="he-IL"/>
        </w:rPr>
        <w:t xml:space="preserve">Abraham </w:t>
      </w:r>
      <w:r w:rsidR="00EA3F55">
        <w:rPr>
          <w:lang w:bidi="he-IL"/>
        </w:rPr>
        <w:t>burial spa</w:t>
      </w:r>
      <w:r w:rsidR="00BF4978">
        <w:rPr>
          <w:lang w:bidi="he-IL"/>
        </w:rPr>
        <w:t xml:space="preserve">ce. If he makes a gift, </w:t>
      </w:r>
      <w:r w:rsidR="00EA3F55">
        <w:rPr>
          <w:lang w:bidi="he-IL"/>
        </w:rPr>
        <w:t xml:space="preserve">he can </w:t>
      </w:r>
      <w:r w:rsidR="00BF4978">
        <w:rPr>
          <w:lang w:bidi="he-IL"/>
        </w:rPr>
        <w:t xml:space="preserve">then </w:t>
      </w:r>
      <w:r w:rsidR="00EA3F55">
        <w:rPr>
          <w:lang w:bidi="he-IL"/>
        </w:rPr>
        <w:t>reclaim it.</w:t>
      </w:r>
      <w:r w:rsidR="00EA3F55">
        <w:rPr>
          <w:rStyle w:val="FootnoteReference"/>
          <w:lang w:bidi="he-IL"/>
        </w:rPr>
        <w:footnoteReference w:id="771"/>
      </w:r>
      <w:r w:rsidR="00A10D11">
        <w:rPr>
          <w:lang w:bidi="he-IL"/>
        </w:rPr>
        <w:t xml:space="preserve"> </w:t>
      </w:r>
    </w:p>
    <w:p w14:paraId="527F2EF2" w14:textId="540A3B3F" w:rsidR="00273827" w:rsidRDefault="00EA3F55" w:rsidP="00A53627">
      <w:pPr>
        <w:rPr>
          <w:lang w:bidi="he-IL"/>
        </w:rPr>
      </w:pPr>
      <w:r>
        <w:rPr>
          <w:lang w:bidi="he-IL"/>
        </w:rPr>
        <w:lastRenderedPageBreak/>
        <w:t xml:space="preserve">Abraham </w:t>
      </w:r>
      <w:r w:rsidR="00273827">
        <w:rPr>
          <w:lang w:bidi="he-IL"/>
        </w:rPr>
        <w:t xml:space="preserve">replies </w:t>
      </w:r>
      <w:r w:rsidR="00BF4978">
        <w:rPr>
          <w:lang w:bidi="he-IL"/>
        </w:rPr>
        <w:t xml:space="preserve">courteously but firmly (vv. 12-13) </w:t>
      </w:r>
      <w:r w:rsidR="00273827">
        <w:rPr>
          <w:lang w:bidi="he-IL"/>
        </w:rPr>
        <w:t>that he will of course give Ephron t</w:t>
      </w:r>
      <w:r w:rsidR="00BF4978">
        <w:rPr>
          <w:lang w:bidi="he-IL"/>
        </w:rPr>
        <w:t>he value of the field</w:t>
      </w:r>
      <w:r w:rsidR="00273827">
        <w:rPr>
          <w:lang w:bidi="he-IL"/>
        </w:rPr>
        <w:t xml:space="preserve">. </w:t>
      </w:r>
      <w:r w:rsidR="00BF4978">
        <w:rPr>
          <w:lang w:bidi="he-IL"/>
        </w:rPr>
        <w:t>Paying for it</w:t>
      </w:r>
      <w:r w:rsidR="0072607A">
        <w:rPr>
          <w:lang w:bidi="he-IL"/>
        </w:rPr>
        <w:t xml:space="preserve"> will </w:t>
      </w:r>
      <w:r>
        <w:rPr>
          <w:lang w:bidi="he-IL"/>
        </w:rPr>
        <w:t xml:space="preserve">establish his permanent ownership. </w:t>
      </w:r>
      <w:r w:rsidR="00BF4978">
        <w:rPr>
          <w:lang w:bidi="he-IL"/>
        </w:rPr>
        <w:t>It will also mean he is no more</w:t>
      </w:r>
      <w:r w:rsidR="00A10D11">
        <w:rPr>
          <w:lang w:bidi="he-IL"/>
        </w:rPr>
        <w:t xml:space="preserve"> i</w:t>
      </w:r>
      <w:r w:rsidR="00BF4978">
        <w:rPr>
          <w:lang w:bidi="he-IL"/>
        </w:rPr>
        <w:t xml:space="preserve">n debt to the Hittites </w:t>
      </w:r>
      <w:r w:rsidR="00A10D11">
        <w:rPr>
          <w:lang w:bidi="he-IL"/>
        </w:rPr>
        <w:t xml:space="preserve">than </w:t>
      </w:r>
      <w:r w:rsidR="00BF4978">
        <w:rPr>
          <w:lang w:bidi="he-IL"/>
        </w:rPr>
        <w:t xml:space="preserve">he wanted to be </w:t>
      </w:r>
      <w:r w:rsidR="00A10D11">
        <w:rPr>
          <w:lang w:bidi="he-IL"/>
        </w:rPr>
        <w:t>to the Sodomites (14:</w:t>
      </w:r>
      <w:r w:rsidR="00862E75">
        <w:rPr>
          <w:lang w:bidi="he-IL"/>
        </w:rPr>
        <w:t>22-23).</w:t>
      </w:r>
      <w:r w:rsidR="00862E75">
        <w:rPr>
          <w:rStyle w:val="FootnoteReference"/>
          <w:lang w:bidi="he-IL"/>
        </w:rPr>
        <w:footnoteReference w:id="772"/>
      </w:r>
      <w:r w:rsidR="00862E75">
        <w:rPr>
          <w:lang w:bidi="he-IL"/>
        </w:rPr>
        <w:t xml:space="preserve"> </w:t>
      </w:r>
      <w:r w:rsidR="00BF4978">
        <w:rPr>
          <w:lang w:bidi="he-IL"/>
        </w:rPr>
        <w:t>M</w:t>
      </w:r>
      <w:r w:rsidR="00273827">
        <w:rPr>
          <w:lang w:bidi="he-IL"/>
        </w:rPr>
        <w:t>e</w:t>
      </w:r>
      <w:r w:rsidR="00BF4978">
        <w:rPr>
          <w:lang w:bidi="he-IL"/>
        </w:rPr>
        <w:t>taphorically, perhaps literally, he is</w:t>
      </w:r>
      <w:r w:rsidR="00273827">
        <w:rPr>
          <w:lang w:bidi="he-IL"/>
        </w:rPr>
        <w:t xml:space="preserve"> holding out the silver in his hand—money not having been invented, silver is the medium of exchange. </w:t>
      </w:r>
      <w:r w:rsidR="00BF4978">
        <w:rPr>
          <w:lang w:bidi="he-IL"/>
        </w:rPr>
        <w:t>He</w:t>
      </w:r>
      <w:r w:rsidR="004916B3">
        <w:rPr>
          <w:lang w:bidi="he-IL"/>
        </w:rPr>
        <w:t xml:space="preserve"> has come with his checkbook. </w:t>
      </w:r>
      <w:r w:rsidR="00273827">
        <w:rPr>
          <w:lang w:bidi="he-IL"/>
        </w:rPr>
        <w:t xml:space="preserve">Ephron just has to decide how much </w:t>
      </w:r>
      <w:r w:rsidR="004916B3">
        <w:rPr>
          <w:lang w:bidi="he-IL"/>
        </w:rPr>
        <w:t xml:space="preserve">silver </w:t>
      </w:r>
      <w:r w:rsidR="00273827">
        <w:rPr>
          <w:lang w:bidi="he-IL"/>
        </w:rPr>
        <w:t>to take</w:t>
      </w:r>
      <w:r w:rsidR="004916B3">
        <w:rPr>
          <w:lang w:bidi="he-IL"/>
        </w:rPr>
        <w:t>, what check to ask Abraham to write</w:t>
      </w:r>
      <w:r w:rsidR="00273827">
        <w:rPr>
          <w:lang w:bidi="he-IL"/>
        </w:rPr>
        <w:t>.</w:t>
      </w:r>
      <w:r w:rsidR="000831F5">
        <w:rPr>
          <w:lang w:bidi="he-IL"/>
        </w:rPr>
        <w:t xml:space="preserve"> </w:t>
      </w:r>
    </w:p>
    <w:p w14:paraId="7438CEE1" w14:textId="17177535" w:rsidR="00273827" w:rsidRDefault="00273827" w:rsidP="00A53627">
      <w:pPr>
        <w:rPr>
          <w:lang w:bidi="he-IL"/>
        </w:rPr>
      </w:pPr>
      <w:r>
        <w:rPr>
          <w:lang w:bidi="he-IL"/>
        </w:rPr>
        <w:t>Ephron discretely names his price (vv. 14-16aα).</w:t>
      </w:r>
      <w:r w:rsidR="003C2C8A">
        <w:rPr>
          <w:lang w:bidi="he-IL"/>
        </w:rPr>
        <w:t xml:space="preserve"> </w:t>
      </w:r>
      <w:r w:rsidR="00673E20">
        <w:rPr>
          <w:lang w:bidi="he-IL"/>
        </w:rPr>
        <w:t>Perhaps he names an exorbitant amount, in the manner of a merchant, thinking it may put Abraham off</w:t>
      </w:r>
      <w:r w:rsidR="00BF4978">
        <w:rPr>
          <w:lang w:bidi="he-IL"/>
        </w:rPr>
        <w:t xml:space="preserve"> or expecting Abraham to off</w:t>
      </w:r>
      <w:r w:rsidR="00DD1846">
        <w:rPr>
          <w:lang w:bidi="he-IL"/>
        </w:rPr>
        <w:t>er him rather less than he asks</w:t>
      </w:r>
      <w:r w:rsidR="0081149A">
        <w:rPr>
          <w:lang w:bidi="he-IL"/>
        </w:rPr>
        <w:t xml:space="preserve">. David bought </w:t>
      </w:r>
      <w:r w:rsidR="009D2F78">
        <w:rPr>
          <w:lang w:bidi="he-IL"/>
        </w:rPr>
        <w:t>Araunah’s threshing floor for fifty</w:t>
      </w:r>
      <w:r w:rsidR="0081149A">
        <w:rPr>
          <w:lang w:bidi="he-IL"/>
        </w:rPr>
        <w:t xml:space="preserve"> sheqels, </w:t>
      </w:r>
      <w:r w:rsidR="00B37C0B">
        <w:rPr>
          <w:lang w:bidi="he-IL"/>
        </w:rPr>
        <w:t>Omri bought enough land to build a whole town for two talents or 6000 sheqels</w:t>
      </w:r>
      <w:r w:rsidR="009D2F78">
        <w:rPr>
          <w:lang w:bidi="he-IL"/>
        </w:rPr>
        <w:t>, and Jeremiah paid seventeen</w:t>
      </w:r>
      <w:r w:rsidR="0081149A">
        <w:rPr>
          <w:lang w:bidi="he-IL"/>
        </w:rPr>
        <w:t xml:space="preserve"> sheqels for a field</w:t>
      </w:r>
      <w:r w:rsidR="00B37C0B">
        <w:rPr>
          <w:lang w:bidi="he-IL"/>
        </w:rPr>
        <w:t xml:space="preserve"> (</w:t>
      </w:r>
      <w:r w:rsidR="00592DAB">
        <w:rPr>
          <w:lang w:bidi="he-IL"/>
        </w:rPr>
        <w:t xml:space="preserve">2 Sam 24:24; </w:t>
      </w:r>
      <w:r w:rsidR="00B37C0B">
        <w:rPr>
          <w:lang w:bidi="he-IL"/>
        </w:rPr>
        <w:t>1 Kings 16:24</w:t>
      </w:r>
      <w:r w:rsidR="00592DAB">
        <w:rPr>
          <w:lang w:bidi="he-IL"/>
        </w:rPr>
        <w:t>; Jer 32:9</w:t>
      </w:r>
      <w:r w:rsidR="00B37C0B">
        <w:rPr>
          <w:lang w:bidi="he-IL"/>
        </w:rPr>
        <w:t>)</w:t>
      </w:r>
      <w:r w:rsidR="00673E20">
        <w:rPr>
          <w:lang w:bidi="he-IL"/>
        </w:rPr>
        <w:t>.</w:t>
      </w:r>
      <w:r w:rsidR="00592DAB">
        <w:rPr>
          <w:rStyle w:val="FootnoteReference"/>
          <w:lang w:bidi="he-IL"/>
        </w:rPr>
        <w:footnoteReference w:id="773"/>
      </w:r>
      <w:r w:rsidR="00BF4978">
        <w:rPr>
          <w:lang w:bidi="he-IL"/>
        </w:rPr>
        <w:t xml:space="preserve"> If so, Ephron’s</w:t>
      </w:r>
      <w:r w:rsidR="00673E20">
        <w:rPr>
          <w:lang w:bidi="he-IL"/>
        </w:rPr>
        <w:t xml:space="preserve"> ploy fails.</w:t>
      </w:r>
      <w:r w:rsidR="0035161A">
        <w:rPr>
          <w:lang w:bidi="he-IL"/>
        </w:rPr>
        <w:t xml:space="preserve"> Abraham will pay the asking price.</w:t>
      </w:r>
    </w:p>
    <w:p w14:paraId="42658D31" w14:textId="34DA07E5" w:rsidR="0035161A" w:rsidRDefault="00273827" w:rsidP="0035161A">
      <w:pPr>
        <w:rPr>
          <w:lang w:bidi="he-IL"/>
        </w:rPr>
      </w:pPr>
      <w:r>
        <w:rPr>
          <w:b/>
          <w:lang w:bidi="he-IL"/>
        </w:rPr>
        <w:t>23:16aβ</w:t>
      </w:r>
      <w:r w:rsidR="003C2C8A">
        <w:rPr>
          <w:b/>
          <w:lang w:bidi="he-IL"/>
        </w:rPr>
        <w:t>-18</w:t>
      </w:r>
      <w:r w:rsidR="003C2C8A">
        <w:rPr>
          <w:lang w:bidi="he-IL"/>
        </w:rPr>
        <w:t xml:space="preserve">. </w:t>
      </w:r>
      <w:proofErr w:type="gramStart"/>
      <w:r w:rsidR="003C2C8A">
        <w:rPr>
          <w:lang w:bidi="he-IL"/>
        </w:rPr>
        <w:t>The</w:t>
      </w:r>
      <w:proofErr w:type="gramEnd"/>
      <w:r w:rsidR="003C2C8A">
        <w:rPr>
          <w:lang w:bidi="he-IL"/>
        </w:rPr>
        <w:t xml:space="preserve"> plaza at the town gateway is also the market, so weights would readily b</w:t>
      </w:r>
      <w:r w:rsidR="0035161A">
        <w:rPr>
          <w:lang w:bidi="he-IL"/>
        </w:rPr>
        <w:t>e available for Abraham to measure</w:t>
      </w:r>
      <w:r w:rsidR="003C2C8A">
        <w:rPr>
          <w:lang w:bidi="he-IL"/>
        </w:rPr>
        <w:t xml:space="preserve"> out the silver in accordance with the sheqel weight that the merchants used (the audience would likely assume a sheqel that weighed </w:t>
      </w:r>
      <w:r w:rsidR="00C32A71">
        <w:rPr>
          <w:lang w:bidi="he-IL"/>
        </w:rPr>
        <w:t>about four ounces)</w:t>
      </w:r>
      <w:r w:rsidR="003C2C8A">
        <w:rPr>
          <w:lang w:bidi="he-IL"/>
        </w:rPr>
        <w:t>. Evidently the town has more than one syste</w:t>
      </w:r>
      <w:r w:rsidR="0035161A">
        <w:rPr>
          <w:lang w:bidi="he-IL"/>
        </w:rPr>
        <w:t>m of weights and measures, rather in the way that</w:t>
      </w:r>
      <w:r w:rsidR="003C2C8A">
        <w:rPr>
          <w:lang w:bidi="he-IL"/>
        </w:rPr>
        <w:t xml:space="preserve"> a l</w:t>
      </w:r>
      <w:r w:rsidR="0035161A">
        <w:rPr>
          <w:lang w:bidi="he-IL"/>
        </w:rPr>
        <w:t xml:space="preserve">itre or a gallon </w:t>
      </w:r>
      <w:r w:rsidR="003C2C8A">
        <w:rPr>
          <w:lang w:bidi="he-IL"/>
        </w:rPr>
        <w:t>has different significance within different Western cultures</w:t>
      </w:r>
      <w:r w:rsidR="009D2F78">
        <w:rPr>
          <w:lang w:bidi="he-IL"/>
        </w:rPr>
        <w:t>,</w:t>
      </w:r>
      <w:r w:rsidR="003C2C8A">
        <w:rPr>
          <w:lang w:bidi="he-IL"/>
        </w:rPr>
        <w:t xml:space="preserve"> and </w:t>
      </w:r>
      <w:r w:rsidR="0035161A">
        <w:rPr>
          <w:lang w:bidi="he-IL"/>
        </w:rPr>
        <w:t xml:space="preserve">as </w:t>
      </w:r>
      <w:r w:rsidR="003C2C8A">
        <w:rPr>
          <w:lang w:bidi="he-IL"/>
        </w:rPr>
        <w:t xml:space="preserve">banks set the value of </w:t>
      </w:r>
      <w:r w:rsidR="0035161A">
        <w:rPr>
          <w:lang w:bidi="he-IL"/>
        </w:rPr>
        <w:t xml:space="preserve">a </w:t>
      </w:r>
      <w:r w:rsidR="003C2C8A">
        <w:rPr>
          <w:lang w:bidi="he-IL"/>
        </w:rPr>
        <w:t>currency differently according to wh</w:t>
      </w:r>
      <w:r w:rsidR="0035161A">
        <w:rPr>
          <w:lang w:bidi="he-IL"/>
        </w:rPr>
        <w:t>ether you are buying or selling. I</w:t>
      </w:r>
      <w:r w:rsidR="003C2C8A">
        <w:rPr>
          <w:lang w:bidi="he-IL"/>
        </w:rPr>
        <w:t>n Israel, the sanctuary sheqel was dif</w:t>
      </w:r>
      <w:r w:rsidR="00C32A71">
        <w:rPr>
          <w:lang w:bidi="he-IL"/>
        </w:rPr>
        <w:t>ferent from the market sheqel (see e. g., Exod 30).</w:t>
      </w:r>
    </w:p>
    <w:p w14:paraId="4CE66997" w14:textId="30A434FE" w:rsidR="00C32A71" w:rsidRDefault="00C32A71" w:rsidP="0035161A">
      <w:pPr>
        <w:rPr>
          <w:lang w:bidi="he-IL"/>
        </w:rPr>
      </w:pPr>
      <w:r>
        <w:rPr>
          <w:lang w:bidi="he-IL"/>
        </w:rPr>
        <w:t>So the field</w:t>
      </w:r>
      <w:r w:rsidR="009D2F78">
        <w:rPr>
          <w:lang w:bidi="he-IL"/>
        </w:rPr>
        <w:t xml:space="preserve"> becomes Abraham’s </w:t>
      </w:r>
      <w:r>
        <w:rPr>
          <w:lang w:bidi="he-IL"/>
        </w:rPr>
        <w:t>h</w:t>
      </w:r>
      <w:r w:rsidR="0081712E">
        <w:rPr>
          <w:lang w:bidi="he-IL"/>
        </w:rPr>
        <w:t xml:space="preserve">is legal property (v. 18). </w:t>
      </w:r>
      <w:r w:rsidR="00002C0B">
        <w:rPr>
          <w:lang w:bidi="he-IL"/>
        </w:rPr>
        <w:t>The polite language of “giving” gives way to talk of “acquisition” (</w:t>
      </w:r>
      <w:r w:rsidR="00002C0B">
        <w:rPr>
          <w:i/>
          <w:lang w:bidi="he-IL"/>
        </w:rPr>
        <w:t>miqneh</w:t>
      </w:r>
      <w:r w:rsidR="00002C0B">
        <w:rPr>
          <w:lang w:bidi="he-IL"/>
        </w:rPr>
        <w:t>) from the verb that commonly suggests purchase.</w:t>
      </w:r>
      <w:r w:rsidR="00002C0B">
        <w:rPr>
          <w:rStyle w:val="FootnoteReference"/>
          <w:lang w:bidi="he-IL"/>
        </w:rPr>
        <w:footnoteReference w:id="774"/>
      </w:r>
      <w:r w:rsidR="00002C0B">
        <w:rPr>
          <w:i/>
          <w:lang w:bidi="he-IL"/>
        </w:rPr>
        <w:t xml:space="preserve"> </w:t>
      </w:r>
      <w:r w:rsidR="0081712E">
        <w:rPr>
          <w:lang w:bidi="he-IL"/>
        </w:rPr>
        <w:t>T</w:t>
      </w:r>
      <w:r>
        <w:rPr>
          <w:lang w:bidi="he-IL"/>
        </w:rPr>
        <w:t>he Hittite ass</w:t>
      </w:r>
      <w:r w:rsidR="0081712E">
        <w:rPr>
          <w:lang w:bidi="he-IL"/>
        </w:rPr>
        <w:t>emb</w:t>
      </w:r>
      <w:r>
        <w:rPr>
          <w:lang w:bidi="he-IL"/>
        </w:rPr>
        <w:t>ly has been there to witness the transaction, so there can be no dispute over it.</w:t>
      </w:r>
    </w:p>
    <w:p w14:paraId="3E6DA910" w14:textId="7C1EC45D" w:rsidR="00EB5019" w:rsidRPr="00913EE7" w:rsidRDefault="00C32A71" w:rsidP="00913EE7">
      <w:pPr>
        <w:ind w:firstLine="0"/>
        <w:rPr>
          <w:lang w:val="en-GB" w:bidi="he-IL"/>
        </w:rPr>
      </w:pPr>
      <w:r>
        <w:rPr>
          <w:b/>
          <w:lang w:bidi="he-IL"/>
        </w:rPr>
        <w:t>23:19-20</w:t>
      </w:r>
      <w:r w:rsidR="0035161A">
        <w:rPr>
          <w:lang w:bidi="he-IL"/>
        </w:rPr>
        <w:t xml:space="preserve">. </w:t>
      </w:r>
      <w:proofErr w:type="gramStart"/>
      <w:r w:rsidR="0035161A">
        <w:rPr>
          <w:lang w:bidi="he-IL"/>
        </w:rPr>
        <w:t>T</w:t>
      </w:r>
      <w:r>
        <w:rPr>
          <w:lang w:bidi="he-IL"/>
        </w:rPr>
        <w:t>h</w:t>
      </w:r>
      <w:r w:rsidR="0035161A">
        <w:rPr>
          <w:lang w:bidi="he-IL"/>
        </w:rPr>
        <w:t>e</w:t>
      </w:r>
      <w:proofErr w:type="gramEnd"/>
      <w:r w:rsidR="0035161A">
        <w:rPr>
          <w:lang w:bidi="he-IL"/>
        </w:rPr>
        <w:t xml:space="preserve"> question raised by vv. </w:t>
      </w:r>
      <w:r w:rsidR="004B134E">
        <w:rPr>
          <w:lang w:bidi="he-IL"/>
        </w:rPr>
        <w:t>1-2</w:t>
      </w:r>
      <w:r>
        <w:rPr>
          <w:lang w:bidi="he-IL"/>
        </w:rPr>
        <w:t xml:space="preserve"> (what is Abraham to do about burying Sarah) is solved.</w:t>
      </w:r>
      <w:r w:rsidR="004B134E">
        <w:rPr>
          <w:lang w:bidi="he-IL"/>
        </w:rPr>
        <w:t xml:space="preserve"> The two verses com</w:t>
      </w:r>
      <w:r w:rsidR="0035161A">
        <w:rPr>
          <w:lang w:bidi="he-IL"/>
        </w:rPr>
        <w:t xml:space="preserve">prise a double conclusion to vv. </w:t>
      </w:r>
      <w:r w:rsidR="004B134E">
        <w:rPr>
          <w:lang w:bidi="he-IL"/>
        </w:rPr>
        <w:t>1-18.</w:t>
      </w:r>
      <w:r w:rsidR="0035161A">
        <w:rPr>
          <w:lang w:bidi="he-IL"/>
        </w:rPr>
        <w:t xml:space="preserve"> </w:t>
      </w:r>
      <w:r w:rsidR="0035161A" w:rsidRPr="0035161A">
        <w:rPr>
          <w:lang w:bidi="he-IL"/>
        </w:rPr>
        <w:t>“Sarah’s burial in the promised land plants her in the future of the covenant.”</w:t>
      </w:r>
      <w:r w:rsidR="0035161A" w:rsidRPr="0035161A">
        <w:rPr>
          <w:vertAlign w:val="superscript"/>
          <w:lang w:bidi="he-IL"/>
        </w:rPr>
        <w:footnoteReference w:id="775"/>
      </w:r>
      <w:r w:rsidR="0035161A">
        <w:rPr>
          <w:lang w:bidi="he-IL"/>
        </w:rPr>
        <w:t xml:space="preserve"> And </w:t>
      </w:r>
      <w:r w:rsidR="0035161A" w:rsidRPr="0035161A">
        <w:rPr>
          <w:lang w:bidi="he-IL"/>
        </w:rPr>
        <w:t>“God’s word to Abraham that he would possess the land was fulfilled.”</w:t>
      </w:r>
      <w:r w:rsidR="0035161A" w:rsidRPr="0035161A">
        <w:rPr>
          <w:vertAlign w:val="superscript"/>
          <w:lang w:bidi="he-IL"/>
        </w:rPr>
        <w:footnoteReference w:id="776"/>
      </w:r>
      <w:r w:rsidR="0035161A">
        <w:rPr>
          <w:lang w:bidi="he-IL"/>
        </w:rPr>
        <w:t xml:space="preserve"> </w:t>
      </w:r>
      <w:r w:rsidR="00913EE7">
        <w:rPr>
          <w:lang w:val="en-GB" w:bidi="he-IL"/>
        </w:rPr>
        <w:t>Accepting the validity of the local peoples’ religion didn’t undermine the importance of gaining possession of land in Canaan</w:t>
      </w:r>
      <w:r w:rsidR="00913EE7" w:rsidRPr="00CA04CE">
        <w:rPr>
          <w:lang w:val="en-GB" w:bidi="he-IL"/>
        </w:rPr>
        <w:t>.</w:t>
      </w:r>
      <w:r w:rsidR="00913EE7">
        <w:rPr>
          <w:rStyle w:val="FootnoteReference"/>
          <w:lang w:val="en-GB" w:bidi="he-IL"/>
        </w:rPr>
        <w:footnoteReference w:id="777"/>
      </w:r>
      <w:r w:rsidR="00913EE7">
        <w:rPr>
          <w:lang w:val="en-GB" w:bidi="he-IL"/>
        </w:rPr>
        <w:t xml:space="preserve"> </w:t>
      </w:r>
      <w:r w:rsidR="0035161A">
        <w:rPr>
          <w:lang w:bidi="he-IL"/>
        </w:rPr>
        <w:t>Yet w</w:t>
      </w:r>
      <w:r w:rsidR="00544BFD">
        <w:rPr>
          <w:lang w:bidi="he-IL"/>
        </w:rPr>
        <w:t>hereas God</w:t>
      </w:r>
      <w:r w:rsidR="0072607A">
        <w:rPr>
          <w:lang w:bidi="he-IL"/>
        </w:rPr>
        <w:t>’s activity wa</w:t>
      </w:r>
      <w:r w:rsidR="0035161A">
        <w:rPr>
          <w:lang w:bidi="he-IL"/>
        </w:rPr>
        <w:t xml:space="preserve">s prominent in </w:t>
      </w:r>
      <w:r w:rsidR="00544BFD">
        <w:rPr>
          <w:lang w:bidi="he-IL"/>
        </w:rPr>
        <w:t>22:1-19 and will be prominent in the testimony of Abraham’s servant in Ge</w:t>
      </w:r>
      <w:r w:rsidR="0035161A">
        <w:rPr>
          <w:lang w:bidi="he-IL"/>
        </w:rPr>
        <w:t xml:space="preserve">n 24, God is unmentioned in </w:t>
      </w:r>
      <w:r w:rsidR="00544BFD">
        <w:rPr>
          <w:lang w:bidi="he-IL"/>
        </w:rPr>
        <w:t xml:space="preserve">22:20—23:20 except in the figure of speech in 23:6. </w:t>
      </w:r>
      <w:r w:rsidR="00EB5019">
        <w:rPr>
          <w:lang w:bidi="he-IL"/>
        </w:rPr>
        <w:t>“In the life of the people of God, so-called non-theological factors frequently play a role of a theological kind.”</w:t>
      </w:r>
      <w:r w:rsidR="00EB5019">
        <w:rPr>
          <w:rStyle w:val="FootnoteReference"/>
          <w:lang w:bidi="he-IL"/>
        </w:rPr>
        <w:footnoteReference w:id="778"/>
      </w:r>
      <w:r w:rsidR="00EB5019">
        <w:rPr>
          <w:lang w:bidi="he-IL"/>
        </w:rPr>
        <w:t xml:space="preserve"> </w:t>
      </w:r>
    </w:p>
    <w:p w14:paraId="0FFB912C" w14:textId="77777777" w:rsidR="00CA04CE" w:rsidRDefault="00CA04CE" w:rsidP="00544BFD">
      <w:pPr>
        <w:rPr>
          <w:lang w:bidi="he-IL"/>
        </w:rPr>
      </w:pPr>
    </w:p>
    <w:p w14:paraId="470D936C" w14:textId="77777777" w:rsidR="00CA04CE" w:rsidRDefault="00CA04CE" w:rsidP="00544BFD">
      <w:pPr>
        <w:rPr>
          <w:lang w:bidi="he-IL"/>
        </w:rPr>
      </w:pPr>
    </w:p>
    <w:p w14:paraId="6EDD7624" w14:textId="77777777" w:rsidR="00143EC4" w:rsidRDefault="00143EC4" w:rsidP="00A53627">
      <w:pPr>
        <w:rPr>
          <w:lang w:bidi="he-IL"/>
        </w:rPr>
      </w:pPr>
    </w:p>
    <w:p w14:paraId="410A3019" w14:textId="77777777" w:rsidR="00FF78B5" w:rsidRDefault="00FF78B5">
      <w:pPr>
        <w:spacing w:after="200" w:line="276" w:lineRule="auto"/>
        <w:ind w:firstLine="0"/>
        <w:rPr>
          <w:rFonts w:cs="Times New Roman"/>
          <w:sz w:val="32"/>
          <w:szCs w:val="32"/>
          <w:lang w:val="en-GB" w:bidi="he-IL"/>
        </w:rPr>
      </w:pPr>
      <w:r>
        <w:rPr>
          <w:sz w:val="32"/>
          <w:szCs w:val="32"/>
          <w:lang w:val="en-GB"/>
        </w:rPr>
        <w:br w:type="page"/>
      </w:r>
    </w:p>
    <w:p w14:paraId="3EE41403" w14:textId="77777777" w:rsidR="00FF78B5" w:rsidRDefault="00FF78B5" w:rsidP="00FF78B5">
      <w:pPr>
        <w:pStyle w:val="Heading1"/>
        <w:rPr>
          <w:lang w:bidi="he-IL"/>
        </w:rPr>
      </w:pPr>
      <w:r>
        <w:rPr>
          <w:lang w:bidi="he-IL"/>
        </w:rPr>
        <w:lastRenderedPageBreak/>
        <w:t>Genesis 24:1-67</w:t>
      </w:r>
      <w:r w:rsidR="007D6494">
        <w:rPr>
          <w:lang w:bidi="he-IL"/>
        </w:rPr>
        <w:t>—A Wife for Isaac</w:t>
      </w:r>
    </w:p>
    <w:p w14:paraId="4EE08444" w14:textId="77777777" w:rsidR="00FF78B5" w:rsidRDefault="00FF78B5" w:rsidP="00FF78B5">
      <w:pPr>
        <w:pStyle w:val="Heading2"/>
        <w:rPr>
          <w:lang w:bidi="he-IL"/>
        </w:rPr>
      </w:pPr>
      <w:r>
        <w:rPr>
          <w:lang w:bidi="he-IL"/>
        </w:rPr>
        <w:t>Overview</w:t>
      </w:r>
    </w:p>
    <w:p w14:paraId="163F01FE" w14:textId="65C282BF" w:rsidR="00FF78B5" w:rsidRDefault="003F73F8" w:rsidP="003F73F8">
      <w:pPr>
        <w:rPr>
          <w:lang w:bidi="he-IL"/>
        </w:rPr>
      </w:pPr>
      <w:r>
        <w:rPr>
          <w:lang w:bidi="he-IL"/>
        </w:rPr>
        <w:t xml:space="preserve">More years have passed, Abraham is getting old, and Isaac needs a wife if Yahweh’s promises to Abraham are to find fulfillment. Alongside the question of somewhere for the ancestors to rest in peace is the question of someone for Isaac to marry, so that he may indeed become the ancestor of many nations. And in consequence of Sarah’s death, there is need of someone to take her place as matriarch of the family. So how did Abraham find a wife for Isaac? How did Rebekah, whom we know to have been born as a member of the extended family that Abraham had left behind (22:20-24), come to be Isaac’s wife and Sarah’s successor? The answer is that </w:t>
      </w:r>
      <w:r w:rsidR="007C79AA">
        <w:rPr>
          <w:lang w:bidi="he-IL"/>
        </w:rPr>
        <w:t>Abraham</w:t>
      </w:r>
      <w:r w:rsidR="008B1998">
        <w:rPr>
          <w:lang w:bidi="he-IL"/>
        </w:rPr>
        <w:t xml:space="preserve"> commissions his sen</w:t>
      </w:r>
      <w:r w:rsidR="0033467F">
        <w:rPr>
          <w:lang w:bidi="he-IL"/>
        </w:rPr>
        <w:t>ior servant to g</w:t>
      </w:r>
      <w:r>
        <w:rPr>
          <w:lang w:bidi="he-IL"/>
        </w:rPr>
        <w:t>o and find the right wife, and the</w:t>
      </w:r>
      <w:r w:rsidR="00C65497">
        <w:rPr>
          <w:lang w:bidi="he-IL"/>
        </w:rPr>
        <w:t xml:space="preserve"> servant</w:t>
      </w:r>
      <w:r w:rsidR="0033467F">
        <w:rPr>
          <w:lang w:bidi="he-IL"/>
        </w:rPr>
        <w:t xml:space="preserve"> experiences Yahweh’s ext</w:t>
      </w:r>
      <w:r>
        <w:rPr>
          <w:lang w:bidi="he-IL"/>
        </w:rPr>
        <w:t>raordinary providence in doing so</w:t>
      </w:r>
      <w:r w:rsidR="0033467F">
        <w:rPr>
          <w:lang w:bidi="he-IL"/>
        </w:rPr>
        <w:t>.</w:t>
      </w:r>
      <w:r>
        <w:rPr>
          <w:lang w:bidi="he-IL"/>
        </w:rPr>
        <w:t xml:space="preserve"> The story relates </w:t>
      </w:r>
      <w:r w:rsidR="00BF4646">
        <w:rPr>
          <w:lang w:bidi="he-IL"/>
        </w:rPr>
        <w:t xml:space="preserve">how </w:t>
      </w:r>
      <w:r>
        <w:rPr>
          <w:lang w:bidi="he-IL"/>
        </w:rPr>
        <w:t xml:space="preserve">this happens and how </w:t>
      </w:r>
      <w:r w:rsidR="00BF4646">
        <w:rPr>
          <w:lang w:bidi="he-IL"/>
        </w:rPr>
        <w:t>the question</w:t>
      </w:r>
      <w:r w:rsidR="001A152C">
        <w:rPr>
          <w:lang w:bidi="he-IL"/>
        </w:rPr>
        <w:t xml:space="preserve"> gets resolved,</w:t>
      </w:r>
      <w:r>
        <w:rPr>
          <w:lang w:bidi="he-IL"/>
        </w:rPr>
        <w:t xml:space="preserve"> by answering a</w:t>
      </w:r>
      <w:r w:rsidR="0040098D">
        <w:rPr>
          <w:lang w:bidi="he-IL"/>
        </w:rPr>
        <w:t xml:space="preserve"> series of sub-questions. Where should t</w:t>
      </w:r>
      <w:r w:rsidR="00923E65">
        <w:rPr>
          <w:lang w:bidi="he-IL"/>
        </w:rPr>
        <w:t>he matchmaker</w:t>
      </w:r>
      <w:r w:rsidR="0040098D">
        <w:rPr>
          <w:lang w:bidi="he-IL"/>
        </w:rPr>
        <w:t xml:space="preserve"> look (vv. 1-4)? What if the girl won’t agree to the marriage (vv. 5-9)? How will the servant recognize the right girl (vv. 10-14)? When he thinks he has found her, what family does she belong to and can he gain an entrée to it (vv. 22-28)</w:t>
      </w:r>
      <w:r w:rsidR="00923E65">
        <w:rPr>
          <w:lang w:bidi="he-IL"/>
        </w:rPr>
        <w:t>? Will it be willing for her</w:t>
      </w:r>
      <w:r w:rsidR="0040098D">
        <w:rPr>
          <w:lang w:bidi="he-IL"/>
        </w:rPr>
        <w:t xml:space="preserve"> to go to marry Abraham’s son (vv. 29-</w:t>
      </w:r>
      <w:r w:rsidR="00746311">
        <w:rPr>
          <w:lang w:bidi="he-IL"/>
        </w:rPr>
        <w:t>53a</w:t>
      </w:r>
      <w:r w:rsidR="00C65497">
        <w:rPr>
          <w:lang w:bidi="he-IL"/>
        </w:rPr>
        <w:t>)? Will she be willing to go (vv. 53b-61a)? When a</w:t>
      </w:r>
      <w:r w:rsidR="00746311">
        <w:rPr>
          <w:lang w:bidi="he-IL"/>
        </w:rPr>
        <w:t>ll the questions have be</w:t>
      </w:r>
      <w:r w:rsidR="00C65497">
        <w:rPr>
          <w:lang w:bidi="he-IL"/>
        </w:rPr>
        <w:t xml:space="preserve">en satisfactorily answered, </w:t>
      </w:r>
      <w:r w:rsidR="00746311">
        <w:rPr>
          <w:lang w:bidi="he-IL"/>
        </w:rPr>
        <w:t>the story can hasten to its happy conclusion (vv. 61b-67).</w:t>
      </w:r>
    </w:p>
    <w:p w14:paraId="0A3C2639" w14:textId="77777777" w:rsidR="00FF78B5" w:rsidRPr="00C2188F" w:rsidRDefault="00FF78B5" w:rsidP="00FF78B5">
      <w:pPr>
        <w:pStyle w:val="Heading2"/>
      </w:pPr>
      <w:r>
        <w:t>Translation</w:t>
      </w:r>
    </w:p>
    <w:p w14:paraId="40930DFB" w14:textId="77777777" w:rsidR="00F5241C" w:rsidRDefault="0033467F" w:rsidP="0033467F">
      <w:pPr>
        <w:rPr>
          <w:rFonts w:ascii="Calibri" w:eastAsia="Times New Roman" w:hAnsi="Calibri" w:cs="Times New Roman"/>
          <w:szCs w:val="18"/>
          <w:lang w:val="en-GB" w:bidi="he-IL"/>
        </w:rPr>
      </w:pPr>
      <w:r>
        <w:rPr>
          <w:rFonts w:ascii="Calibri" w:eastAsia="Times New Roman" w:hAnsi="Calibri" w:cs="Times New Roman"/>
          <w:szCs w:val="18"/>
          <w:vertAlign w:val="superscript"/>
          <w:lang w:val="en-GB" w:bidi="he-IL"/>
        </w:rPr>
        <w:t>1</w:t>
      </w:r>
      <w:r w:rsidR="00926C0D">
        <w:rPr>
          <w:rFonts w:ascii="Calibri" w:eastAsia="Times New Roman" w:hAnsi="Calibri" w:cs="Times New Roman"/>
          <w:szCs w:val="18"/>
          <w:lang w:val="en-GB" w:bidi="he-IL"/>
        </w:rPr>
        <w:t>Abraham was a senior</w:t>
      </w:r>
      <w:r w:rsidRPr="0033467F">
        <w:rPr>
          <w:rFonts w:ascii="Calibri" w:eastAsia="Times New Roman" w:hAnsi="Calibri" w:cs="Times New Roman"/>
          <w:szCs w:val="18"/>
          <w:lang w:val="en-GB" w:bidi="he-IL"/>
        </w:rPr>
        <w:t>, going on in years, and Yahweh had</w:t>
      </w:r>
      <w:r>
        <w:rPr>
          <w:rFonts w:ascii="Calibri" w:eastAsia="Times New Roman" w:hAnsi="Calibri" w:cs="Times New Roman"/>
          <w:szCs w:val="18"/>
          <w:lang w:val="en-GB" w:bidi="he-IL"/>
        </w:rPr>
        <w:t xml:space="preserve"> blessed Abraham in every way.</w:t>
      </w:r>
      <w:r w:rsidRPr="0033467F">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2</w:t>
      </w:r>
      <w:r w:rsidRPr="0033467F">
        <w:rPr>
          <w:rFonts w:ascii="Calibri" w:eastAsia="Times New Roman" w:hAnsi="Calibri" w:cs="Times New Roman"/>
          <w:szCs w:val="18"/>
          <w:lang w:val="en-GB" w:bidi="he-IL"/>
        </w:rPr>
        <w:t>Abraham said to his senior servant in his household, who ruled over everything that he had,</w:t>
      </w:r>
      <w:r>
        <w:rPr>
          <w:rFonts w:ascii="Calibri" w:eastAsia="Times New Roman" w:hAnsi="Calibri" w:cs="Times New Roman"/>
          <w:szCs w:val="18"/>
          <w:lang w:val="en-GB" w:bidi="he-IL"/>
        </w:rPr>
        <w:t xml:space="preserve"> “</w:t>
      </w:r>
      <w:r w:rsidRPr="0033467F">
        <w:rPr>
          <w:rFonts w:ascii="Calibri" w:eastAsia="Times New Roman" w:hAnsi="Calibri" w:cs="Times New Roman"/>
          <w:szCs w:val="18"/>
          <w:lang w:val="en-GB" w:bidi="he-IL"/>
        </w:rPr>
        <w:t>Please p</w:t>
      </w:r>
      <w:r>
        <w:rPr>
          <w:rFonts w:ascii="Calibri" w:eastAsia="Times New Roman" w:hAnsi="Calibri" w:cs="Times New Roman"/>
          <w:szCs w:val="18"/>
          <w:lang w:val="en-GB" w:bidi="he-IL"/>
        </w:rPr>
        <w:t xml:space="preserve">ut your hand under my thigh, </w:t>
      </w:r>
      <w:r>
        <w:rPr>
          <w:rFonts w:ascii="Calibri" w:eastAsia="Times New Roman" w:hAnsi="Calibri" w:cs="Times New Roman"/>
          <w:szCs w:val="18"/>
          <w:vertAlign w:val="superscript"/>
          <w:lang w:val="en-GB" w:bidi="he-IL"/>
        </w:rPr>
        <w:t>3</w:t>
      </w:r>
      <w:r w:rsidRPr="0033467F">
        <w:rPr>
          <w:rFonts w:ascii="Calibri" w:eastAsia="Times New Roman" w:hAnsi="Calibri" w:cs="Times New Roman"/>
          <w:szCs w:val="18"/>
          <w:lang w:val="en-GB" w:bidi="he-IL"/>
        </w:rPr>
        <w:t>and I’ll get you to swear by Yahweh the God of the heavens and the God of the earth that you won’t get a wife for my son</w:t>
      </w:r>
      <w:r w:rsidR="00F2446A">
        <w:rPr>
          <w:rFonts w:ascii="Calibri" w:eastAsia="Times New Roman" w:hAnsi="Calibri" w:cs="Times New Roman"/>
          <w:szCs w:val="18"/>
          <w:lang w:val="en-GB" w:bidi="he-IL"/>
        </w:rPr>
        <w:t xml:space="preserve"> from the daughters of the Kena‘a</w:t>
      </w:r>
      <w:r w:rsidRPr="0033467F">
        <w:rPr>
          <w:rFonts w:ascii="Calibri" w:eastAsia="Times New Roman" w:hAnsi="Calibri" w:cs="Times New Roman"/>
          <w:szCs w:val="18"/>
          <w:lang w:val="en-GB" w:bidi="he-IL"/>
        </w:rPr>
        <w:t>nites among whom I’</w:t>
      </w:r>
      <w:r>
        <w:rPr>
          <w:rFonts w:ascii="Calibri" w:eastAsia="Times New Roman" w:hAnsi="Calibri" w:cs="Times New Roman"/>
          <w:szCs w:val="18"/>
          <w:lang w:val="en-GB" w:bidi="he-IL"/>
        </w:rPr>
        <w:t xml:space="preserve">m living, </w:t>
      </w:r>
      <w:r>
        <w:rPr>
          <w:rFonts w:ascii="Calibri" w:eastAsia="Times New Roman" w:hAnsi="Calibri" w:cs="Times New Roman"/>
          <w:szCs w:val="18"/>
          <w:vertAlign w:val="superscript"/>
          <w:lang w:val="en-GB" w:bidi="he-IL"/>
        </w:rPr>
        <w:t>4</w:t>
      </w:r>
      <w:r w:rsidR="00544D06">
        <w:rPr>
          <w:rFonts w:ascii="Calibri" w:eastAsia="Times New Roman" w:hAnsi="Calibri" w:cs="Times New Roman"/>
          <w:szCs w:val="18"/>
          <w:lang w:val="en-GB" w:bidi="he-IL"/>
        </w:rPr>
        <w:t>because it’</w:t>
      </w:r>
      <w:r w:rsidR="00926C0D">
        <w:rPr>
          <w:rFonts w:ascii="Calibri" w:eastAsia="Times New Roman" w:hAnsi="Calibri" w:cs="Times New Roman"/>
          <w:szCs w:val="18"/>
          <w:lang w:val="en-GB" w:bidi="he-IL"/>
        </w:rPr>
        <w:t>s</w:t>
      </w:r>
      <w:r w:rsidRPr="0033467F">
        <w:rPr>
          <w:rFonts w:ascii="Calibri" w:eastAsia="Times New Roman" w:hAnsi="Calibri" w:cs="Times New Roman"/>
          <w:szCs w:val="18"/>
          <w:lang w:val="en-GB" w:bidi="he-IL"/>
        </w:rPr>
        <w:t xml:space="preserve"> to my country, to my homeland, </w:t>
      </w:r>
      <w:r w:rsidR="007C79AA">
        <w:rPr>
          <w:rFonts w:ascii="Calibri" w:eastAsia="Times New Roman" w:hAnsi="Calibri" w:cs="Times New Roman"/>
          <w:szCs w:val="18"/>
          <w:lang w:val="en-GB" w:bidi="he-IL"/>
        </w:rPr>
        <w:t>that you’</w:t>
      </w:r>
      <w:r w:rsidR="00926C0D">
        <w:rPr>
          <w:rFonts w:ascii="Calibri" w:eastAsia="Times New Roman" w:hAnsi="Calibri" w:cs="Times New Roman"/>
          <w:szCs w:val="18"/>
          <w:lang w:val="en-GB" w:bidi="he-IL"/>
        </w:rPr>
        <w:t xml:space="preserve">re to go </w:t>
      </w:r>
      <w:r w:rsidRPr="0033467F">
        <w:rPr>
          <w:rFonts w:ascii="Calibri" w:eastAsia="Times New Roman" w:hAnsi="Calibri" w:cs="Times New Roman"/>
          <w:szCs w:val="18"/>
          <w:lang w:val="en-GB" w:bidi="he-IL"/>
        </w:rPr>
        <w:t xml:space="preserve">and get a wife for my son, for </w:t>
      </w:r>
      <w:r w:rsidR="008B1998">
        <w:rPr>
          <w:rFonts w:ascii="Calibri" w:eastAsia="Times New Roman" w:hAnsi="Calibri" w:cs="Times New Roman"/>
          <w:szCs w:val="18"/>
          <w:lang w:val="en-GB" w:bidi="he-IL"/>
        </w:rPr>
        <w:t>Yiṣḥaq</w:t>
      </w:r>
      <w:r w:rsidRPr="0033467F">
        <w:rPr>
          <w:rFonts w:ascii="Calibri" w:eastAsia="Times New Roman" w:hAnsi="Calibri" w:cs="Times New Roman"/>
          <w:szCs w:val="18"/>
          <w:lang w:val="en-GB" w:bidi="he-IL"/>
        </w:rPr>
        <w:t>.</w:t>
      </w:r>
      <w:r>
        <w:rPr>
          <w:rFonts w:ascii="Calibri" w:eastAsia="Times New Roman" w:hAnsi="Calibri" w:cs="Times New Roman"/>
          <w:szCs w:val="18"/>
          <w:lang w:val="en-GB" w:bidi="he-IL"/>
        </w:rPr>
        <w:t>”</w:t>
      </w:r>
      <w:r w:rsidRPr="0033467F">
        <w:rPr>
          <w:rFonts w:ascii="Calibri" w:eastAsia="Times New Roman" w:hAnsi="Calibri" w:cs="Times New Roman"/>
          <w:szCs w:val="18"/>
          <w:lang w:val="en-GB" w:bidi="he-IL"/>
        </w:rPr>
        <w:t xml:space="preserve"> </w:t>
      </w:r>
    </w:p>
    <w:p w14:paraId="648C35A4" w14:textId="6B1357AC" w:rsidR="00F5241C" w:rsidRDefault="0033467F" w:rsidP="0033467F">
      <w:pPr>
        <w:rPr>
          <w:rFonts w:ascii="Calibri" w:eastAsia="Times New Roman" w:hAnsi="Calibri" w:cs="Times New Roman"/>
          <w:lang w:val="en-GB" w:bidi="he-IL"/>
        </w:rPr>
      </w:pPr>
      <w:r>
        <w:rPr>
          <w:rFonts w:ascii="Calibri" w:eastAsia="Times New Roman" w:hAnsi="Calibri" w:cs="Times New Roman"/>
          <w:szCs w:val="18"/>
          <w:vertAlign w:val="superscript"/>
          <w:lang w:val="en-GB" w:bidi="he-IL"/>
        </w:rPr>
        <w:t>5</w:t>
      </w:r>
      <w:r w:rsidRPr="0033467F">
        <w:rPr>
          <w:rFonts w:ascii="Calibri" w:eastAsia="Times New Roman" w:hAnsi="Calibri" w:cs="Times New Roman"/>
          <w:szCs w:val="18"/>
          <w:lang w:val="en-GB" w:bidi="he-IL"/>
        </w:rPr>
        <w:t>The servant said to him,</w:t>
      </w:r>
      <w:r>
        <w:rPr>
          <w:rFonts w:ascii="Calibri" w:eastAsia="Times New Roman" w:hAnsi="Calibri" w:cs="Times New Roman"/>
          <w:szCs w:val="18"/>
          <w:lang w:val="en-GB" w:bidi="he-IL"/>
        </w:rPr>
        <w:t xml:space="preserve"> “</w:t>
      </w:r>
      <w:r w:rsidRPr="0033467F">
        <w:rPr>
          <w:rFonts w:ascii="Calibri" w:eastAsia="Times New Roman" w:hAnsi="Calibri" w:cs="Times New Roman"/>
          <w:szCs w:val="18"/>
          <w:lang w:val="en-GB" w:bidi="he-IL"/>
        </w:rPr>
        <w:t>Maybe the woman won’t be willing to follow me to this</w:t>
      </w:r>
      <w:r w:rsidR="00926C0D">
        <w:rPr>
          <w:rFonts w:ascii="Calibri" w:eastAsia="Times New Roman" w:hAnsi="Calibri" w:cs="Times New Roman"/>
          <w:szCs w:val="18"/>
          <w:lang w:val="en-GB" w:bidi="he-IL"/>
        </w:rPr>
        <w:t xml:space="preserve"> country. Should I actually get</w:t>
      </w:r>
      <w:r w:rsidRPr="0033467F">
        <w:rPr>
          <w:rFonts w:ascii="Calibri" w:eastAsia="Times New Roman" w:hAnsi="Calibri" w:cs="Times New Roman"/>
          <w:szCs w:val="18"/>
          <w:lang w:val="en-GB" w:bidi="he-IL"/>
        </w:rPr>
        <w:t xml:space="preserve"> your son </w:t>
      </w:r>
      <w:r w:rsidR="00926C0D">
        <w:rPr>
          <w:rFonts w:ascii="Calibri" w:eastAsia="Times New Roman" w:hAnsi="Calibri" w:cs="Times New Roman"/>
          <w:szCs w:val="18"/>
          <w:lang w:val="en-GB" w:bidi="he-IL"/>
        </w:rPr>
        <w:t xml:space="preserve">to go </w:t>
      </w:r>
      <w:r w:rsidRPr="0033467F">
        <w:rPr>
          <w:rFonts w:ascii="Calibri" w:eastAsia="Times New Roman" w:hAnsi="Calibri" w:cs="Times New Roman"/>
          <w:szCs w:val="18"/>
          <w:lang w:val="en-GB" w:bidi="he-IL"/>
        </w:rPr>
        <w:t>bac</w:t>
      </w:r>
      <w:r w:rsidR="007C79AA">
        <w:rPr>
          <w:rFonts w:ascii="Calibri" w:eastAsia="Times New Roman" w:hAnsi="Calibri" w:cs="Times New Roman"/>
          <w:szCs w:val="18"/>
          <w:lang w:val="en-GB" w:bidi="he-IL"/>
        </w:rPr>
        <w:t>k</w:t>
      </w:r>
      <w:r w:rsidR="00791481">
        <w:rPr>
          <w:rStyle w:val="FootnoteReference"/>
          <w:rFonts w:ascii="Calibri" w:eastAsia="Times New Roman" w:hAnsi="Calibri" w:cs="Times New Roman"/>
          <w:szCs w:val="18"/>
          <w:lang w:val="en-GB" w:bidi="he-IL"/>
        </w:rPr>
        <w:footnoteReference w:id="779"/>
      </w:r>
      <w:r w:rsidR="007C79AA">
        <w:rPr>
          <w:rFonts w:ascii="Calibri" w:eastAsia="Times New Roman" w:hAnsi="Calibri" w:cs="Times New Roman"/>
          <w:szCs w:val="18"/>
          <w:lang w:val="en-GB" w:bidi="he-IL"/>
        </w:rPr>
        <w:t xml:space="preserve"> to the country that you left?”</w:t>
      </w:r>
      <w:r>
        <w:rPr>
          <w:rFonts w:ascii="Calibri" w:eastAsia="Times New Roman" w:hAnsi="Calibri" w:cs="Times New Roman"/>
          <w:szCs w:val="18"/>
          <w:lang w:val="en-GB" w:bidi="he-IL"/>
        </w:rPr>
        <w:t xml:space="preserve"> </w:t>
      </w:r>
      <w:r>
        <w:rPr>
          <w:rFonts w:ascii="Calibri" w:eastAsia="Times New Roman" w:hAnsi="Calibri" w:cs="Times New Roman"/>
          <w:szCs w:val="18"/>
          <w:vertAlign w:val="superscript"/>
          <w:lang w:val="en-GB" w:bidi="he-IL"/>
        </w:rPr>
        <w:t>6</w:t>
      </w:r>
      <w:r w:rsidRPr="0033467F">
        <w:rPr>
          <w:rFonts w:ascii="Calibri" w:eastAsia="Times New Roman" w:hAnsi="Calibri" w:cs="Times New Roman"/>
          <w:szCs w:val="18"/>
          <w:lang w:val="en-GB" w:bidi="he-IL"/>
        </w:rPr>
        <w:t>Abraham said to him,</w:t>
      </w:r>
      <w:r>
        <w:rPr>
          <w:rFonts w:ascii="Calibri" w:eastAsia="Times New Roman" w:hAnsi="Calibri" w:cs="Times New Roman"/>
          <w:szCs w:val="18"/>
          <w:lang w:val="en-GB" w:bidi="he-IL"/>
        </w:rPr>
        <w:t xml:space="preserve"> “Take care </w:t>
      </w:r>
      <w:r w:rsidRPr="0033467F">
        <w:rPr>
          <w:rFonts w:ascii="Calibri" w:eastAsia="Times New Roman" w:hAnsi="Calibri" w:cs="Times New Roman"/>
          <w:szCs w:val="18"/>
          <w:lang w:val="en-GB" w:bidi="he-IL"/>
        </w:rPr>
        <w:t>that you don’</w:t>
      </w:r>
      <w:r w:rsidR="00926C0D">
        <w:rPr>
          <w:rFonts w:ascii="Calibri" w:eastAsia="Times New Roman" w:hAnsi="Calibri" w:cs="Times New Roman"/>
          <w:szCs w:val="18"/>
          <w:lang w:val="en-GB" w:bidi="he-IL"/>
        </w:rPr>
        <w:t>t get</w:t>
      </w:r>
      <w:r>
        <w:rPr>
          <w:rFonts w:ascii="Calibri" w:eastAsia="Times New Roman" w:hAnsi="Calibri" w:cs="Times New Roman"/>
          <w:szCs w:val="18"/>
          <w:lang w:val="en-GB" w:bidi="he-IL"/>
        </w:rPr>
        <w:t xml:space="preserve"> my son </w:t>
      </w:r>
      <w:r w:rsidR="00926C0D">
        <w:rPr>
          <w:rFonts w:ascii="Calibri" w:eastAsia="Times New Roman" w:hAnsi="Calibri" w:cs="Times New Roman"/>
          <w:szCs w:val="18"/>
          <w:lang w:val="en-GB" w:bidi="he-IL"/>
        </w:rPr>
        <w:t xml:space="preserve">to go </w:t>
      </w:r>
      <w:r>
        <w:rPr>
          <w:rFonts w:ascii="Calibri" w:eastAsia="Times New Roman" w:hAnsi="Calibri" w:cs="Times New Roman"/>
          <w:szCs w:val="18"/>
          <w:lang w:val="en-GB" w:bidi="he-IL"/>
        </w:rPr>
        <w:t xml:space="preserve">back there. </w:t>
      </w:r>
      <w:r>
        <w:rPr>
          <w:rFonts w:ascii="Calibri" w:eastAsia="Times New Roman" w:hAnsi="Calibri" w:cs="Times New Roman"/>
          <w:szCs w:val="18"/>
          <w:vertAlign w:val="superscript"/>
          <w:lang w:val="en-GB" w:bidi="he-IL"/>
        </w:rPr>
        <w:t>7</w:t>
      </w:r>
      <w:r w:rsidRPr="0033467F">
        <w:rPr>
          <w:rFonts w:ascii="Calibri" w:eastAsia="Times New Roman" w:hAnsi="Calibri" w:cs="Times New Roman"/>
          <w:szCs w:val="18"/>
          <w:lang w:val="en-GB" w:bidi="he-IL"/>
        </w:rPr>
        <w:t xml:space="preserve">Yahweh, the God of the heavens, who </w:t>
      </w:r>
      <w:r w:rsidR="004002A3">
        <w:rPr>
          <w:rFonts w:ascii="Calibri" w:eastAsia="Times New Roman" w:hAnsi="Calibri" w:cs="Times New Roman"/>
          <w:szCs w:val="18"/>
          <w:lang w:val="en-GB" w:bidi="he-IL"/>
        </w:rPr>
        <w:t>got</w:t>
      </w:r>
      <w:r w:rsidRPr="0033467F">
        <w:rPr>
          <w:rFonts w:ascii="Calibri" w:eastAsia="Times New Roman" w:hAnsi="Calibri" w:cs="Times New Roman"/>
          <w:szCs w:val="18"/>
          <w:lang w:val="en-GB" w:bidi="he-IL"/>
        </w:rPr>
        <w:t xml:space="preserve"> me from my father’s house</w:t>
      </w:r>
      <w:r w:rsidR="00B0114B">
        <w:rPr>
          <w:rFonts w:ascii="Calibri" w:eastAsia="Times New Roman" w:hAnsi="Calibri" w:cs="Times New Roman"/>
          <w:szCs w:val="18"/>
          <w:lang w:val="en-GB" w:bidi="he-IL"/>
        </w:rPr>
        <w:t>hold and from the country that wa</w:t>
      </w:r>
      <w:r w:rsidRPr="0033467F">
        <w:rPr>
          <w:rFonts w:ascii="Calibri" w:eastAsia="Times New Roman" w:hAnsi="Calibri" w:cs="Times New Roman"/>
          <w:szCs w:val="18"/>
          <w:lang w:val="en-GB" w:bidi="he-IL"/>
        </w:rPr>
        <w:t xml:space="preserve">s my homeland and spoke to me and swore to me: ‘To your offspring I </w:t>
      </w:r>
      <w:r w:rsidR="00D859B2">
        <w:rPr>
          <w:rFonts w:ascii="Calibri" w:eastAsia="Times New Roman" w:hAnsi="Calibri" w:cs="Times New Roman"/>
          <w:szCs w:val="18"/>
          <w:lang w:val="en-GB" w:bidi="he-IL"/>
        </w:rPr>
        <w:t>will</w:t>
      </w:r>
      <w:r w:rsidR="00791481">
        <w:rPr>
          <w:rFonts w:ascii="Calibri" w:eastAsia="Times New Roman" w:hAnsi="Calibri" w:cs="Times New Roman"/>
          <w:szCs w:val="18"/>
          <w:lang w:val="en-GB" w:bidi="he-IL"/>
        </w:rPr>
        <w:t xml:space="preserve"> give this country’ – he wi</w:t>
      </w:r>
      <w:r w:rsidRPr="0033467F">
        <w:rPr>
          <w:rFonts w:ascii="Calibri" w:eastAsia="Times New Roman" w:hAnsi="Calibri" w:cs="Times New Roman"/>
          <w:szCs w:val="18"/>
          <w:lang w:val="en-GB" w:bidi="he-IL"/>
        </w:rPr>
        <w:t>ll se</w:t>
      </w:r>
      <w:r w:rsidR="00791481">
        <w:rPr>
          <w:rFonts w:ascii="Calibri" w:eastAsia="Times New Roman" w:hAnsi="Calibri" w:cs="Times New Roman"/>
          <w:szCs w:val="18"/>
          <w:lang w:val="en-GB" w:bidi="he-IL"/>
        </w:rPr>
        <w:t>nd his envoy before you and you wi</w:t>
      </w:r>
      <w:r w:rsidRPr="0033467F">
        <w:rPr>
          <w:rFonts w:ascii="Calibri" w:eastAsia="Times New Roman" w:hAnsi="Calibri" w:cs="Times New Roman"/>
          <w:szCs w:val="18"/>
          <w:lang w:val="en-GB" w:bidi="he-IL"/>
        </w:rPr>
        <w:t>ll get</w:t>
      </w:r>
      <w:r>
        <w:rPr>
          <w:rFonts w:ascii="Calibri" w:eastAsia="Times New Roman" w:hAnsi="Calibri" w:cs="Times New Roman"/>
          <w:szCs w:val="18"/>
          <w:lang w:val="en-GB" w:bidi="he-IL"/>
        </w:rPr>
        <w:t xml:space="preserve"> a wife for my son from there. </w:t>
      </w:r>
      <w:r>
        <w:rPr>
          <w:rFonts w:ascii="Calibri" w:eastAsia="Times New Roman" w:hAnsi="Calibri" w:cs="Times New Roman"/>
          <w:szCs w:val="18"/>
          <w:vertAlign w:val="superscript"/>
          <w:lang w:val="en-GB" w:bidi="he-IL"/>
        </w:rPr>
        <w:t>8</w:t>
      </w:r>
      <w:r w:rsidR="001D6E91">
        <w:rPr>
          <w:rFonts w:ascii="Calibri" w:eastAsia="Times New Roman" w:hAnsi="Calibri" w:cs="Times New Roman"/>
          <w:szCs w:val="18"/>
          <w:lang w:val="en-GB" w:bidi="he-IL"/>
        </w:rPr>
        <w:t>If the woman’</w:t>
      </w:r>
      <w:r w:rsidRPr="0033467F">
        <w:rPr>
          <w:rFonts w:ascii="Calibri" w:eastAsia="Times New Roman" w:hAnsi="Calibri" w:cs="Times New Roman"/>
          <w:szCs w:val="18"/>
          <w:lang w:val="en-GB" w:bidi="he-IL"/>
        </w:rPr>
        <w:t xml:space="preserve">s </w:t>
      </w:r>
      <w:r w:rsidR="00923E65">
        <w:rPr>
          <w:rFonts w:ascii="Calibri" w:eastAsia="Times New Roman" w:hAnsi="Calibri" w:cs="Times New Roman"/>
          <w:szCs w:val="18"/>
          <w:lang w:val="en-GB" w:bidi="he-IL"/>
        </w:rPr>
        <w:t xml:space="preserve">not willing to follow you, </w:t>
      </w:r>
      <w:r w:rsidRPr="0033467F">
        <w:rPr>
          <w:rFonts w:ascii="Calibri" w:eastAsia="Times New Roman" w:hAnsi="Calibri" w:cs="Times New Roman"/>
          <w:szCs w:val="18"/>
          <w:lang w:val="en-GB" w:bidi="he-IL"/>
        </w:rPr>
        <w:t xml:space="preserve">you’ll be free from </w:t>
      </w:r>
      <w:r w:rsidR="00926C0D">
        <w:rPr>
          <w:rFonts w:ascii="Calibri" w:eastAsia="Times New Roman" w:hAnsi="Calibri" w:cs="Times New Roman"/>
          <w:szCs w:val="18"/>
          <w:lang w:val="en-GB" w:bidi="he-IL"/>
        </w:rPr>
        <w:t xml:space="preserve">this oath to me. Only </w:t>
      </w:r>
      <w:r w:rsidRPr="0033467F">
        <w:rPr>
          <w:rFonts w:ascii="Calibri" w:eastAsia="Times New Roman" w:hAnsi="Calibri" w:cs="Times New Roman"/>
          <w:szCs w:val="18"/>
          <w:lang w:val="en-GB" w:bidi="he-IL"/>
        </w:rPr>
        <w:t>my son</w:t>
      </w:r>
      <w:r w:rsidR="00791481">
        <w:rPr>
          <w:rFonts w:ascii="Calibri" w:eastAsia="Times New Roman" w:hAnsi="Calibri" w:cs="Times New Roman"/>
          <w:szCs w:val="18"/>
          <w:lang w:val="en-GB" w:bidi="he-IL"/>
        </w:rPr>
        <w:t>—don’t get</w:t>
      </w:r>
      <w:r w:rsidRPr="0033467F">
        <w:rPr>
          <w:rFonts w:ascii="Calibri" w:eastAsia="Times New Roman" w:hAnsi="Calibri" w:cs="Times New Roman"/>
          <w:szCs w:val="18"/>
          <w:lang w:val="en-GB" w:bidi="he-IL"/>
        </w:rPr>
        <w:t xml:space="preserve"> </w:t>
      </w:r>
      <w:r w:rsidR="00791481">
        <w:rPr>
          <w:rFonts w:ascii="Calibri" w:eastAsia="Times New Roman" w:hAnsi="Calibri" w:cs="Times New Roman"/>
          <w:szCs w:val="18"/>
          <w:lang w:val="en-GB" w:bidi="he-IL"/>
        </w:rPr>
        <w:t xml:space="preserve">him </w:t>
      </w:r>
      <w:r w:rsidR="00926C0D">
        <w:rPr>
          <w:rFonts w:ascii="Calibri" w:eastAsia="Times New Roman" w:hAnsi="Calibri" w:cs="Times New Roman"/>
          <w:szCs w:val="18"/>
          <w:lang w:val="en-GB" w:bidi="he-IL"/>
        </w:rPr>
        <w:t xml:space="preserve">to go </w:t>
      </w:r>
      <w:r w:rsidRPr="0033467F">
        <w:rPr>
          <w:rFonts w:ascii="Calibri" w:eastAsia="Times New Roman" w:hAnsi="Calibri" w:cs="Times New Roman"/>
          <w:szCs w:val="18"/>
          <w:lang w:val="en-GB" w:bidi="he-IL"/>
        </w:rPr>
        <w:t>back there.</w:t>
      </w:r>
      <w:r>
        <w:rPr>
          <w:rFonts w:ascii="Calibri" w:eastAsia="Times New Roman" w:hAnsi="Calibri" w:cs="Times New Roman"/>
          <w:szCs w:val="18"/>
          <w:lang w:val="en-GB" w:bidi="he-IL"/>
        </w:rPr>
        <w:t>”</w:t>
      </w:r>
      <w:r w:rsidRPr="0033467F">
        <w:rPr>
          <w:rFonts w:ascii="Calibri" w:eastAsia="Times New Roman" w:hAnsi="Calibri" w:cs="Times New Roman"/>
          <w:szCs w:val="18"/>
          <w:lang w:val="en-GB" w:bidi="he-IL"/>
        </w:rPr>
        <w:t xml:space="preserve"> </w:t>
      </w:r>
      <w:r w:rsidR="00F5241C">
        <w:rPr>
          <w:rFonts w:ascii="Calibri" w:eastAsia="Times New Roman" w:hAnsi="Calibri" w:cs="Times New Roman"/>
          <w:vertAlign w:val="superscript"/>
          <w:lang w:val="en-GB" w:bidi="he-IL"/>
        </w:rPr>
        <w:t>9</w:t>
      </w:r>
      <w:r w:rsidRPr="0033467F">
        <w:rPr>
          <w:rFonts w:ascii="Calibri" w:eastAsia="Times New Roman" w:hAnsi="Calibri" w:cs="Times New Roman"/>
          <w:lang w:val="en-GB" w:bidi="he-IL"/>
        </w:rPr>
        <w:t>The servant put his hand under the thigh of Abraham his lord and swore to him concerning this thing</w:t>
      </w:r>
      <w:r>
        <w:rPr>
          <w:rFonts w:ascii="Calibri" w:eastAsia="Times New Roman" w:hAnsi="Calibri" w:cs="Times New Roman"/>
          <w:lang w:val="en-GB" w:bidi="he-IL"/>
        </w:rPr>
        <w:t xml:space="preserve">. </w:t>
      </w:r>
    </w:p>
    <w:p w14:paraId="71F2BE26" w14:textId="5AEF1AA9" w:rsidR="00FF78B5" w:rsidRDefault="0033467F" w:rsidP="00FF78B5">
      <w:pPr>
        <w:rPr>
          <w:lang w:val="en-GB"/>
        </w:rPr>
      </w:pPr>
      <w:r>
        <w:rPr>
          <w:rFonts w:ascii="Calibri" w:eastAsia="Times New Roman" w:hAnsi="Calibri" w:cs="Times New Roman"/>
          <w:vertAlign w:val="superscript"/>
          <w:lang w:val="en-GB" w:bidi="he-IL"/>
        </w:rPr>
        <w:t>10</w:t>
      </w:r>
      <w:r w:rsidRPr="0033467F">
        <w:rPr>
          <w:rFonts w:ascii="Calibri" w:eastAsia="Times New Roman" w:hAnsi="Calibri" w:cs="Times New Roman"/>
          <w:lang w:val="en-GB" w:bidi="he-IL"/>
        </w:rPr>
        <w:t xml:space="preserve">The servant </w:t>
      </w:r>
      <w:r w:rsidR="004002A3">
        <w:rPr>
          <w:rFonts w:ascii="Calibri" w:eastAsia="Times New Roman" w:hAnsi="Calibri" w:cs="Times New Roman"/>
          <w:lang w:val="en-GB" w:bidi="he-IL"/>
        </w:rPr>
        <w:t>got</w:t>
      </w:r>
      <w:r w:rsidRPr="0033467F">
        <w:rPr>
          <w:rFonts w:ascii="Calibri" w:eastAsia="Times New Roman" w:hAnsi="Calibri" w:cs="Times New Roman"/>
          <w:lang w:val="en-GB" w:bidi="he-IL"/>
        </w:rPr>
        <w:t xml:space="preserve"> ten camels from his lord’s camels and went, with all the good things belonging to his lord in his possession. He </w:t>
      </w:r>
      <w:r w:rsidR="00FB7C35">
        <w:rPr>
          <w:rFonts w:ascii="Calibri" w:eastAsia="Times New Roman" w:hAnsi="Calibri" w:cs="Times New Roman"/>
          <w:lang w:val="en-GB" w:bidi="he-IL"/>
        </w:rPr>
        <w:t>set off and went to Aram Two-r</w:t>
      </w:r>
      <w:r w:rsidRPr="0033467F">
        <w:rPr>
          <w:rFonts w:ascii="Calibri" w:eastAsia="Times New Roman" w:hAnsi="Calibri" w:cs="Times New Roman"/>
          <w:lang w:val="en-GB" w:bidi="he-IL"/>
        </w:rPr>
        <w:t>ivers, to</w:t>
      </w:r>
      <w:r w:rsidRPr="00F20749">
        <w:rPr>
          <w:rFonts w:ascii="Calibri" w:eastAsia="Times New Roman" w:hAnsi="Calibri" w:cs="Times New Roman"/>
          <w:lang w:bidi="he-IL"/>
        </w:rPr>
        <w:t xml:space="preserve"> Nahor’s</w:t>
      </w:r>
      <w:r w:rsidR="006D6E27">
        <w:rPr>
          <w:rFonts w:ascii="Calibri" w:eastAsia="Times New Roman" w:hAnsi="Calibri" w:cs="Times New Roman"/>
          <w:lang w:val="en-GB" w:bidi="he-IL"/>
        </w:rPr>
        <w:t xml:space="preserve"> town.</w:t>
      </w:r>
      <w:r w:rsidRPr="0033467F">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11</w:t>
      </w:r>
      <w:r w:rsidR="006D6E27">
        <w:rPr>
          <w:rFonts w:ascii="Calibri" w:eastAsia="Times New Roman" w:hAnsi="Calibri" w:cs="Times New Roman"/>
          <w:lang w:val="en-GB" w:bidi="he-IL"/>
        </w:rPr>
        <w:t>He</w:t>
      </w:r>
      <w:r w:rsidRPr="0033467F">
        <w:rPr>
          <w:rFonts w:ascii="Calibri" w:eastAsia="Times New Roman" w:hAnsi="Calibri" w:cs="Times New Roman"/>
          <w:lang w:val="en-GB" w:bidi="he-IL"/>
        </w:rPr>
        <w:t xml:space="preserve"> got the camels to kneel outside the town at the water well, at evening time, at the time when the women who draw water go out. </w:t>
      </w:r>
      <w:r>
        <w:rPr>
          <w:vertAlign w:val="superscript"/>
          <w:lang w:val="en-GB"/>
        </w:rPr>
        <w:t>12</w:t>
      </w:r>
      <w:r>
        <w:rPr>
          <w:lang w:val="en-GB"/>
        </w:rPr>
        <w:t>He said, “</w:t>
      </w:r>
      <w:r w:rsidR="00FF78B5" w:rsidRPr="008A1109">
        <w:rPr>
          <w:lang w:val="en-GB"/>
        </w:rPr>
        <w:t xml:space="preserve">Yahweh, God of my </w:t>
      </w:r>
      <w:r w:rsidR="0016526C">
        <w:rPr>
          <w:lang w:val="en-GB"/>
        </w:rPr>
        <w:t>lord Abraham, please make it</w:t>
      </w:r>
      <w:r w:rsidR="00FF78B5" w:rsidRPr="008A1109">
        <w:rPr>
          <w:lang w:val="en-GB"/>
        </w:rPr>
        <w:t xml:space="preserve"> happen for me today. Act with co</w:t>
      </w:r>
      <w:r>
        <w:rPr>
          <w:lang w:val="en-GB"/>
        </w:rPr>
        <w:t xml:space="preserve">mmitment to my lord Abraham. </w:t>
      </w:r>
      <w:r>
        <w:rPr>
          <w:vertAlign w:val="superscript"/>
          <w:lang w:val="en-GB"/>
        </w:rPr>
        <w:t>13</w:t>
      </w:r>
      <w:r w:rsidR="000A6A55">
        <w:rPr>
          <w:lang w:val="en-GB"/>
        </w:rPr>
        <w:t>Here, I’m standing near</w:t>
      </w:r>
      <w:r w:rsidR="00FF78B5" w:rsidRPr="008A1109">
        <w:rPr>
          <w:lang w:val="en-GB"/>
        </w:rPr>
        <w:t xml:space="preserve"> the water spring, and the daughters of the townspeople </w:t>
      </w:r>
      <w:r>
        <w:rPr>
          <w:lang w:val="en-GB"/>
        </w:rPr>
        <w:t xml:space="preserve">are going out to draw water. </w:t>
      </w:r>
      <w:r>
        <w:rPr>
          <w:vertAlign w:val="superscript"/>
          <w:lang w:val="en-GB"/>
        </w:rPr>
        <w:t>14</w:t>
      </w:r>
      <w:r w:rsidR="00FF78B5" w:rsidRPr="008A1109">
        <w:rPr>
          <w:lang w:val="en-GB"/>
        </w:rPr>
        <w:t>May th</w:t>
      </w:r>
      <w:r>
        <w:rPr>
          <w:lang w:val="en-GB"/>
        </w:rPr>
        <w:t>e girl to whom I say ‘</w:t>
      </w:r>
      <w:r w:rsidR="00AE4AFD">
        <w:rPr>
          <w:lang w:val="en-GB"/>
        </w:rPr>
        <w:t xml:space="preserve">Please tip </w:t>
      </w:r>
      <w:r>
        <w:rPr>
          <w:lang w:val="en-GB"/>
        </w:rPr>
        <w:t>your pitcher so I can drink</w:t>
      </w:r>
      <w:r w:rsidR="00FF78B5" w:rsidRPr="008A1109">
        <w:rPr>
          <w:lang w:val="en-GB"/>
        </w:rPr>
        <w:t>,</w:t>
      </w:r>
      <w:r>
        <w:rPr>
          <w:lang w:val="en-GB"/>
        </w:rPr>
        <w:t>’ and she says ‘</w:t>
      </w:r>
      <w:r w:rsidR="00FF78B5" w:rsidRPr="008A1109">
        <w:rPr>
          <w:lang w:val="en-GB"/>
        </w:rPr>
        <w:t xml:space="preserve">Drink, </w:t>
      </w:r>
      <w:r>
        <w:rPr>
          <w:lang w:val="en-GB"/>
        </w:rPr>
        <w:t>and I’ll also water your camels</w:t>
      </w:r>
      <w:r w:rsidR="00FF78B5" w:rsidRPr="008A1109">
        <w:rPr>
          <w:lang w:val="en-GB"/>
        </w:rPr>
        <w:t>,</w:t>
      </w:r>
      <w:r>
        <w:rPr>
          <w:lang w:val="en-GB"/>
        </w:rPr>
        <w:t>’</w:t>
      </w:r>
      <w:r w:rsidR="00EE4B17">
        <w:rPr>
          <w:lang w:val="en-GB"/>
        </w:rPr>
        <w:t>—may it be her that</w:t>
      </w:r>
      <w:r w:rsidR="00FF78B5" w:rsidRPr="008A1109">
        <w:rPr>
          <w:lang w:val="en-GB"/>
        </w:rPr>
        <w:t xml:space="preserve"> you’ve decided on for your servant, for </w:t>
      </w:r>
      <w:r w:rsidR="008B1998">
        <w:rPr>
          <w:lang w:val="en-GB"/>
        </w:rPr>
        <w:t>Yiṣḥaq</w:t>
      </w:r>
      <w:r w:rsidR="00D859B2">
        <w:rPr>
          <w:lang w:val="en-GB"/>
        </w:rPr>
        <w:t>. By this I will</w:t>
      </w:r>
      <w:r w:rsidR="0082216C">
        <w:rPr>
          <w:lang w:val="en-GB"/>
        </w:rPr>
        <w:t xml:space="preserve"> </w:t>
      </w:r>
      <w:r w:rsidR="00791481">
        <w:rPr>
          <w:lang w:val="en-GB"/>
        </w:rPr>
        <w:t>ac</w:t>
      </w:r>
      <w:r w:rsidR="0082216C">
        <w:rPr>
          <w:lang w:val="en-GB"/>
        </w:rPr>
        <w:t>know</w:t>
      </w:r>
      <w:r w:rsidR="00791481">
        <w:rPr>
          <w:lang w:val="en-GB"/>
        </w:rPr>
        <w:t>ledge</w:t>
      </w:r>
      <w:r w:rsidR="00FF78B5" w:rsidRPr="008A1109">
        <w:rPr>
          <w:lang w:val="en-GB"/>
        </w:rPr>
        <w:t xml:space="preserve"> tha</w:t>
      </w:r>
      <w:r w:rsidR="00791481">
        <w:rPr>
          <w:lang w:val="en-GB"/>
        </w:rPr>
        <w:t>t you ha</w:t>
      </w:r>
      <w:r w:rsidR="00FF78B5" w:rsidRPr="008A1109">
        <w:rPr>
          <w:lang w:val="en-GB"/>
        </w:rPr>
        <w:t>ve acted with commitment to my</w:t>
      </w:r>
      <w:r>
        <w:rPr>
          <w:lang w:val="en-GB"/>
        </w:rPr>
        <w:t xml:space="preserve"> lord</w:t>
      </w:r>
      <w:r w:rsidR="00FF78B5">
        <w:rPr>
          <w:lang w:val="en-GB"/>
        </w:rPr>
        <w:t>.</w:t>
      </w:r>
      <w:r>
        <w:rPr>
          <w:lang w:val="en-GB"/>
        </w:rPr>
        <w:t>”</w:t>
      </w:r>
    </w:p>
    <w:p w14:paraId="0875B563" w14:textId="1E44EB0B" w:rsidR="00FF78B5" w:rsidRDefault="0033467F" w:rsidP="00FF78B5">
      <w:pPr>
        <w:rPr>
          <w:lang w:val="en-GB"/>
        </w:rPr>
      </w:pPr>
      <w:r>
        <w:rPr>
          <w:vertAlign w:val="superscript"/>
          <w:lang w:val="en-GB"/>
        </w:rPr>
        <w:t>15</w:t>
      </w:r>
      <w:r w:rsidR="00923E65">
        <w:rPr>
          <w:lang w:val="en-GB"/>
        </w:rPr>
        <w:t>Before he’</w:t>
      </w:r>
      <w:r w:rsidR="00FF78B5" w:rsidRPr="00C2188F">
        <w:rPr>
          <w:lang w:val="en-GB"/>
        </w:rPr>
        <w:t>d</w:t>
      </w:r>
      <w:r>
        <w:rPr>
          <w:lang w:val="en-GB"/>
        </w:rPr>
        <w:t xml:space="preserve"> finished speaking, there was </w:t>
      </w:r>
      <w:r w:rsidR="00FF78B5" w:rsidRPr="004C5473">
        <w:rPr>
          <w:lang w:val="en-GB"/>
        </w:rPr>
        <w:t>Ribqah</w:t>
      </w:r>
      <w:r w:rsidR="00FF78B5">
        <w:rPr>
          <w:lang w:val="en-GB"/>
        </w:rPr>
        <w:t>, who had been born to Bet</w:t>
      </w:r>
      <w:r w:rsidR="00FF78B5" w:rsidRPr="00C2188F">
        <w:rPr>
          <w:lang w:val="en-GB"/>
        </w:rPr>
        <w:t>u</w:t>
      </w:r>
      <w:r w:rsidR="00FF78B5">
        <w:rPr>
          <w:lang w:val="en-GB"/>
        </w:rPr>
        <w:t>’el ben</w:t>
      </w:r>
      <w:r w:rsidR="00FF78B5" w:rsidRPr="00C2188F">
        <w:rPr>
          <w:lang w:val="en-GB"/>
        </w:rPr>
        <w:t xml:space="preserve"> Milkah, wife of Nahor, Abraham</w:t>
      </w:r>
      <w:r w:rsidR="00FF78B5">
        <w:rPr>
          <w:lang w:val="en-GB"/>
        </w:rPr>
        <w:t>’</w:t>
      </w:r>
      <w:r w:rsidR="00FF78B5" w:rsidRPr="00C2188F">
        <w:rPr>
          <w:lang w:val="en-GB"/>
        </w:rPr>
        <w:t xml:space="preserve">s </w:t>
      </w:r>
      <w:r w:rsidR="00FF78B5">
        <w:rPr>
          <w:lang w:val="en-GB"/>
        </w:rPr>
        <w:t>brother, coming out with her pitcher</w:t>
      </w:r>
      <w:r w:rsidR="00FF78B5" w:rsidRPr="00C2188F">
        <w:rPr>
          <w:lang w:val="en-GB"/>
        </w:rPr>
        <w:t xml:space="preserve"> on her shoulder. </w:t>
      </w:r>
      <w:r>
        <w:rPr>
          <w:vertAlign w:val="superscript"/>
          <w:lang w:val="en-GB"/>
        </w:rPr>
        <w:t>16</w:t>
      </w:r>
      <w:r w:rsidR="00FF78B5">
        <w:rPr>
          <w:lang w:val="en-GB"/>
        </w:rPr>
        <w:t>The girl was</w:t>
      </w:r>
      <w:r w:rsidR="00C064F7">
        <w:rPr>
          <w:lang w:val="en-GB"/>
        </w:rPr>
        <w:t xml:space="preserve"> very </w:t>
      </w:r>
      <w:r w:rsidR="00C064F7">
        <w:rPr>
          <w:lang w:val="en-GB"/>
        </w:rPr>
        <w:lastRenderedPageBreak/>
        <w:t>good-looking, a young woman</w:t>
      </w:r>
      <w:r w:rsidR="00FF78B5" w:rsidRPr="00C2188F">
        <w:rPr>
          <w:lang w:val="en-GB"/>
        </w:rPr>
        <w:t xml:space="preserve"> that no on</w:t>
      </w:r>
      <w:r w:rsidR="008D05A8">
        <w:rPr>
          <w:lang w:val="en-GB"/>
        </w:rPr>
        <w:t>e had had been</w:t>
      </w:r>
      <w:r w:rsidR="00FF78B5" w:rsidRPr="00C2188F">
        <w:rPr>
          <w:lang w:val="en-GB"/>
        </w:rPr>
        <w:t xml:space="preserve"> with.</w:t>
      </w:r>
      <w:r w:rsidR="008D05A8">
        <w:rPr>
          <w:rStyle w:val="FootnoteReference"/>
          <w:lang w:val="en-GB"/>
        </w:rPr>
        <w:footnoteReference w:id="780"/>
      </w:r>
      <w:r w:rsidR="00FF78B5" w:rsidRPr="00C2188F">
        <w:rPr>
          <w:lang w:val="en-GB"/>
        </w:rPr>
        <w:t xml:space="preserve"> She went down to the spring, filled her </w:t>
      </w:r>
      <w:r w:rsidR="00FF78B5">
        <w:rPr>
          <w:lang w:val="en-GB"/>
        </w:rPr>
        <w:t>pitcher, and went</w:t>
      </w:r>
      <w:r w:rsidR="00FF78B5" w:rsidRPr="00C2188F">
        <w:rPr>
          <w:lang w:val="en-GB"/>
        </w:rPr>
        <w:t xml:space="preserve"> up. </w:t>
      </w:r>
      <w:r>
        <w:rPr>
          <w:vertAlign w:val="superscript"/>
          <w:lang w:val="en-GB"/>
        </w:rPr>
        <w:t>17</w:t>
      </w:r>
      <w:r w:rsidR="00FF78B5" w:rsidRPr="00C2188F">
        <w:rPr>
          <w:lang w:val="en-GB"/>
        </w:rPr>
        <w:t>The servant ran to meet her and said,</w:t>
      </w:r>
      <w:r>
        <w:rPr>
          <w:lang w:val="en-GB"/>
        </w:rPr>
        <w:t xml:space="preserve"> “</w:t>
      </w:r>
      <w:r w:rsidR="007C79AA">
        <w:rPr>
          <w:lang w:val="en-GB"/>
        </w:rPr>
        <w:t>Please let</w:t>
      </w:r>
      <w:r w:rsidR="0082216C">
        <w:rPr>
          <w:lang w:val="en-GB"/>
        </w:rPr>
        <w:t xml:space="preserve"> </w:t>
      </w:r>
      <w:r w:rsidR="00AE4AFD">
        <w:rPr>
          <w:lang w:val="en-GB"/>
        </w:rPr>
        <w:t>me</w:t>
      </w:r>
      <w:r w:rsidR="007C79AA">
        <w:rPr>
          <w:lang w:val="en-GB"/>
        </w:rPr>
        <w:t xml:space="preserve"> </w:t>
      </w:r>
      <w:r w:rsidR="0082216C">
        <w:rPr>
          <w:lang w:val="en-GB"/>
        </w:rPr>
        <w:t>drink down</w:t>
      </w:r>
      <w:r w:rsidR="00FF78B5" w:rsidRPr="00C2188F">
        <w:rPr>
          <w:lang w:val="en-GB"/>
        </w:rPr>
        <w:t xml:space="preserve"> a little water from your </w:t>
      </w:r>
      <w:r w:rsidR="0082216C">
        <w:rPr>
          <w:lang w:val="en-GB"/>
        </w:rPr>
        <w:t>pitcher.</w:t>
      </w:r>
      <w:r>
        <w:rPr>
          <w:lang w:val="en-GB"/>
        </w:rPr>
        <w:t>”</w:t>
      </w:r>
      <w:r w:rsidR="00FF78B5" w:rsidRPr="00C2188F">
        <w:rPr>
          <w:lang w:val="en-GB"/>
        </w:rPr>
        <w:t xml:space="preserve"> </w:t>
      </w:r>
      <w:r>
        <w:rPr>
          <w:vertAlign w:val="superscript"/>
          <w:lang w:val="en-GB"/>
        </w:rPr>
        <w:t>18</w:t>
      </w:r>
      <w:r w:rsidR="00FF78B5" w:rsidRPr="00C2188F">
        <w:rPr>
          <w:lang w:val="en-GB"/>
        </w:rPr>
        <w:t>She said,</w:t>
      </w:r>
      <w:r w:rsidR="00FA5669">
        <w:rPr>
          <w:lang w:val="en-GB"/>
        </w:rPr>
        <w:t xml:space="preserve"> “Drink, sir</w:t>
      </w:r>
      <w:r w:rsidR="00FF78B5">
        <w:rPr>
          <w:lang w:val="en-GB"/>
        </w:rPr>
        <w:t>,</w:t>
      </w:r>
      <w:r w:rsidR="00FA5669">
        <w:rPr>
          <w:lang w:val="en-GB"/>
        </w:rPr>
        <w:t>”</w:t>
      </w:r>
      <w:r w:rsidR="00FF78B5">
        <w:rPr>
          <w:lang w:val="en-GB"/>
        </w:rPr>
        <w:t xml:space="preserve"> and hurried and lowered</w:t>
      </w:r>
      <w:r w:rsidR="00FF78B5" w:rsidRPr="00C2188F">
        <w:rPr>
          <w:lang w:val="en-GB"/>
        </w:rPr>
        <w:t xml:space="preserve"> her </w:t>
      </w:r>
      <w:r w:rsidR="00FF78B5">
        <w:rPr>
          <w:lang w:val="en-GB"/>
        </w:rPr>
        <w:t>pitcher</w:t>
      </w:r>
      <w:r w:rsidR="00FF78B5" w:rsidRPr="00C2188F">
        <w:rPr>
          <w:lang w:val="en-GB"/>
        </w:rPr>
        <w:t xml:space="preserve"> onto</w:t>
      </w:r>
      <w:r w:rsidR="00FA5669">
        <w:rPr>
          <w:lang w:val="en-GB"/>
        </w:rPr>
        <w:t xml:space="preserve"> her hand and let him drink. </w:t>
      </w:r>
      <w:r w:rsidR="00FA5669">
        <w:rPr>
          <w:vertAlign w:val="superscript"/>
          <w:lang w:val="en-GB"/>
        </w:rPr>
        <w:t>19</w:t>
      </w:r>
      <w:r w:rsidR="00730538">
        <w:rPr>
          <w:lang w:val="en-GB"/>
        </w:rPr>
        <w:t>She finished letting him drink, and</w:t>
      </w:r>
      <w:r w:rsidR="00FF78B5" w:rsidRPr="00C2188F">
        <w:rPr>
          <w:lang w:val="en-GB"/>
        </w:rPr>
        <w:t xml:space="preserve"> said,</w:t>
      </w:r>
      <w:r w:rsidR="00FA5669">
        <w:rPr>
          <w:lang w:val="en-GB"/>
        </w:rPr>
        <w:t xml:space="preserve"> “</w:t>
      </w:r>
      <w:r w:rsidR="00FF78B5" w:rsidRPr="00C2188F">
        <w:rPr>
          <w:lang w:val="en-GB"/>
        </w:rPr>
        <w:t>I</w:t>
      </w:r>
      <w:r w:rsidR="00FF78B5">
        <w:rPr>
          <w:lang w:val="en-GB"/>
        </w:rPr>
        <w:t>’</w:t>
      </w:r>
      <w:r w:rsidR="00FF78B5" w:rsidRPr="00C2188F">
        <w:rPr>
          <w:lang w:val="en-GB"/>
        </w:rPr>
        <w:t xml:space="preserve">ll draw water for your camels as well, </w:t>
      </w:r>
      <w:r w:rsidR="00FF78B5">
        <w:rPr>
          <w:lang w:val="en-GB"/>
        </w:rPr>
        <w:t>till</w:t>
      </w:r>
      <w:r w:rsidR="00FF78B5" w:rsidRPr="00C2188F">
        <w:rPr>
          <w:lang w:val="en-GB"/>
        </w:rPr>
        <w:t xml:space="preserve"> they</w:t>
      </w:r>
      <w:r w:rsidR="00FF78B5">
        <w:rPr>
          <w:lang w:val="en-GB"/>
        </w:rPr>
        <w:t>’</w:t>
      </w:r>
      <w:r w:rsidR="00FF78B5" w:rsidRPr="00C2188F">
        <w:rPr>
          <w:lang w:val="en-GB"/>
        </w:rPr>
        <w:t>ve finished drinking</w:t>
      </w:r>
      <w:r w:rsidR="00FF78B5">
        <w:rPr>
          <w:lang w:val="en-GB"/>
        </w:rPr>
        <w:t>.</w:t>
      </w:r>
      <w:r w:rsidR="00FA5669">
        <w:rPr>
          <w:lang w:val="en-GB"/>
        </w:rPr>
        <w:t>”</w:t>
      </w:r>
      <w:r w:rsidR="00FF78B5" w:rsidRPr="00C2188F">
        <w:rPr>
          <w:lang w:val="en-GB"/>
        </w:rPr>
        <w:t xml:space="preserve"> </w:t>
      </w:r>
      <w:r w:rsidR="00FA5669">
        <w:rPr>
          <w:vertAlign w:val="superscript"/>
          <w:lang w:val="en-GB"/>
        </w:rPr>
        <w:t>20</w:t>
      </w:r>
      <w:r w:rsidR="00FF78B5">
        <w:rPr>
          <w:lang w:val="en-GB"/>
        </w:rPr>
        <w:t>She hurried and emptied</w:t>
      </w:r>
      <w:r w:rsidR="00FF78B5" w:rsidRPr="00C2188F">
        <w:rPr>
          <w:lang w:val="en-GB"/>
        </w:rPr>
        <w:t xml:space="preserve"> her </w:t>
      </w:r>
      <w:r w:rsidR="00FF78B5">
        <w:rPr>
          <w:lang w:val="en-GB"/>
        </w:rPr>
        <w:t>pitcher</w:t>
      </w:r>
      <w:r w:rsidR="00FF78B5" w:rsidRPr="00C2188F">
        <w:rPr>
          <w:lang w:val="en-GB"/>
        </w:rPr>
        <w:t xml:space="preserve"> into the trough, ra</w:t>
      </w:r>
      <w:r w:rsidR="00FF78B5">
        <w:rPr>
          <w:lang w:val="en-GB"/>
        </w:rPr>
        <w:t>n back to the well to draw</w:t>
      </w:r>
      <w:r w:rsidR="00FF78B5" w:rsidRPr="00C2188F">
        <w:rPr>
          <w:lang w:val="en-GB"/>
        </w:rPr>
        <w:t>, and drew for all his camels</w:t>
      </w:r>
      <w:r w:rsidR="00FF78B5">
        <w:rPr>
          <w:lang w:val="en-GB"/>
        </w:rPr>
        <w:t>,</w:t>
      </w:r>
      <w:r w:rsidR="00FF78B5" w:rsidRPr="00C2188F">
        <w:rPr>
          <w:lang w:val="en-GB"/>
        </w:rPr>
        <w:t xml:space="preserve"> </w:t>
      </w:r>
      <w:r w:rsidR="00FA5669">
        <w:rPr>
          <w:vertAlign w:val="superscript"/>
          <w:lang w:val="en-GB"/>
        </w:rPr>
        <w:t>21</w:t>
      </w:r>
      <w:r w:rsidR="00FF78B5">
        <w:rPr>
          <w:lang w:val="en-GB"/>
        </w:rPr>
        <w:t>while t</w:t>
      </w:r>
      <w:r w:rsidR="00FF78B5" w:rsidRPr="00C2188F">
        <w:rPr>
          <w:lang w:val="en-GB"/>
        </w:rPr>
        <w:t xml:space="preserve">he man was looking at her, staying quiet, to know whether or not Yahweh had made his journey successful. </w:t>
      </w:r>
    </w:p>
    <w:p w14:paraId="26BC5AED" w14:textId="77777777" w:rsidR="00FF78B5" w:rsidRPr="008A1109" w:rsidRDefault="00FA5669" w:rsidP="00FF78B5">
      <w:pPr>
        <w:rPr>
          <w:lang w:val="en-GB"/>
        </w:rPr>
      </w:pPr>
      <w:r>
        <w:rPr>
          <w:vertAlign w:val="superscript"/>
          <w:lang w:val="en-GB"/>
        </w:rPr>
        <w:t>22</w:t>
      </w:r>
      <w:r w:rsidR="00FF78B5" w:rsidRPr="00C2188F">
        <w:rPr>
          <w:lang w:val="en-GB"/>
        </w:rPr>
        <w:t>When the camels had finished dr</w:t>
      </w:r>
      <w:r w:rsidR="0082216C">
        <w:rPr>
          <w:lang w:val="en-GB"/>
        </w:rPr>
        <w:t xml:space="preserve">inking, the man got a gold </w:t>
      </w:r>
      <w:r w:rsidR="00FF78B5" w:rsidRPr="00C2188F">
        <w:rPr>
          <w:lang w:val="en-GB"/>
        </w:rPr>
        <w:t>ring (its weight a half-sheqel) and two gold bracelets</w:t>
      </w:r>
      <w:r>
        <w:rPr>
          <w:lang w:val="en-GB"/>
        </w:rPr>
        <w:t xml:space="preserve"> </w:t>
      </w:r>
      <w:r w:rsidR="0082216C">
        <w:rPr>
          <w:lang w:val="en-GB"/>
        </w:rPr>
        <w:t xml:space="preserve">for her hands </w:t>
      </w:r>
      <w:r>
        <w:rPr>
          <w:lang w:val="en-GB"/>
        </w:rPr>
        <w:t xml:space="preserve">(their weight ten sheqels). </w:t>
      </w:r>
      <w:r>
        <w:rPr>
          <w:vertAlign w:val="superscript"/>
          <w:lang w:val="en-GB"/>
        </w:rPr>
        <w:t>23</w:t>
      </w:r>
      <w:r w:rsidR="00FF78B5" w:rsidRPr="00C2188F">
        <w:rPr>
          <w:lang w:val="en-GB"/>
        </w:rPr>
        <w:t>He said,</w:t>
      </w:r>
      <w:r>
        <w:rPr>
          <w:lang w:val="en-GB"/>
        </w:rPr>
        <w:t xml:space="preserve"> “</w:t>
      </w:r>
      <w:r w:rsidR="00FF78B5" w:rsidRPr="00C2188F">
        <w:rPr>
          <w:lang w:val="en-GB"/>
        </w:rPr>
        <w:t xml:space="preserve">Whose daughter are you? </w:t>
      </w:r>
      <w:r w:rsidR="00FF78B5">
        <w:rPr>
          <w:lang w:val="en-GB"/>
        </w:rPr>
        <w:t>Please tell me, i</w:t>
      </w:r>
      <w:r w:rsidR="00FF78B5" w:rsidRPr="00C2188F">
        <w:rPr>
          <w:lang w:val="en-GB"/>
        </w:rPr>
        <w:t>s there room at your father</w:t>
      </w:r>
      <w:r w:rsidR="00FF78B5">
        <w:rPr>
          <w:lang w:val="en-GB"/>
        </w:rPr>
        <w:t>’</w:t>
      </w:r>
      <w:r w:rsidR="00FF78B5" w:rsidRPr="00C2188F">
        <w:rPr>
          <w:lang w:val="en-GB"/>
        </w:rPr>
        <w:t>s house for us to stay the night</w:t>
      </w:r>
      <w:r>
        <w:rPr>
          <w:lang w:val="en-GB"/>
        </w:rPr>
        <w:t xml:space="preserve">?” </w:t>
      </w:r>
      <w:r>
        <w:rPr>
          <w:vertAlign w:val="superscript"/>
          <w:lang w:val="en-GB"/>
        </w:rPr>
        <w:t>24</w:t>
      </w:r>
      <w:r w:rsidR="00FF78B5" w:rsidRPr="00C2188F">
        <w:rPr>
          <w:lang w:val="en-GB"/>
        </w:rPr>
        <w:t>She said to him,</w:t>
      </w:r>
      <w:r>
        <w:rPr>
          <w:lang w:val="en-GB"/>
        </w:rPr>
        <w:t xml:space="preserve"> “</w:t>
      </w:r>
      <w:r w:rsidR="00FF78B5" w:rsidRPr="00C2188F">
        <w:rPr>
          <w:lang w:val="en-GB"/>
        </w:rPr>
        <w:t>I</w:t>
      </w:r>
      <w:r w:rsidR="00FF78B5">
        <w:rPr>
          <w:lang w:val="en-GB"/>
        </w:rPr>
        <w:t>’m the daughter of Bet</w:t>
      </w:r>
      <w:r w:rsidR="00FF78B5" w:rsidRPr="00C2188F">
        <w:rPr>
          <w:lang w:val="en-GB"/>
        </w:rPr>
        <w:t>u</w:t>
      </w:r>
      <w:r w:rsidR="00FF78B5">
        <w:rPr>
          <w:lang w:val="en-GB"/>
        </w:rPr>
        <w:t>’el ben</w:t>
      </w:r>
      <w:r w:rsidR="00FF78B5" w:rsidRPr="00C2188F">
        <w:rPr>
          <w:lang w:val="en-GB"/>
        </w:rPr>
        <w:t xml:space="preserve"> Milkah, </w:t>
      </w:r>
      <w:r w:rsidR="00FF78B5">
        <w:rPr>
          <w:lang w:val="en-GB"/>
        </w:rPr>
        <w:t xml:space="preserve">to </w:t>
      </w:r>
      <w:r w:rsidR="00FF78B5" w:rsidRPr="00C2188F">
        <w:rPr>
          <w:lang w:val="en-GB"/>
        </w:rPr>
        <w:t xml:space="preserve">whom she </w:t>
      </w:r>
      <w:r w:rsidR="00FF78B5">
        <w:rPr>
          <w:lang w:val="en-GB"/>
        </w:rPr>
        <w:t>gave birth</w:t>
      </w:r>
      <w:r w:rsidR="00FF78B5" w:rsidRPr="00C2188F">
        <w:rPr>
          <w:lang w:val="en-GB"/>
        </w:rPr>
        <w:t xml:space="preserve"> </w:t>
      </w:r>
      <w:r w:rsidR="00FF78B5">
        <w:rPr>
          <w:lang w:val="en-GB"/>
        </w:rPr>
        <w:t xml:space="preserve">for </w:t>
      </w:r>
      <w:r w:rsidR="00FF78B5" w:rsidRPr="00C2188F">
        <w:rPr>
          <w:lang w:val="en-GB"/>
        </w:rPr>
        <w:t>Nahor</w:t>
      </w:r>
      <w:r w:rsidR="00FF78B5">
        <w:rPr>
          <w:lang w:val="en-GB"/>
        </w:rPr>
        <w:t>.</w:t>
      </w:r>
      <w:r>
        <w:rPr>
          <w:lang w:val="en-GB"/>
        </w:rPr>
        <w:t>”</w:t>
      </w:r>
      <w:r w:rsidR="00FF78B5" w:rsidRPr="00C2188F">
        <w:rPr>
          <w:lang w:val="en-GB"/>
        </w:rPr>
        <w:t xml:space="preserve"> </w:t>
      </w:r>
      <w:r>
        <w:rPr>
          <w:vertAlign w:val="superscript"/>
          <w:lang w:val="en-GB"/>
        </w:rPr>
        <w:t>25</w:t>
      </w:r>
      <w:r w:rsidR="00FF78B5">
        <w:rPr>
          <w:lang w:val="en-GB"/>
        </w:rPr>
        <w:t>And s</w:t>
      </w:r>
      <w:r w:rsidR="00FF78B5" w:rsidRPr="00C2188F">
        <w:rPr>
          <w:lang w:val="en-GB"/>
        </w:rPr>
        <w:t>he said to him,</w:t>
      </w:r>
      <w:r>
        <w:rPr>
          <w:lang w:val="en-GB"/>
        </w:rPr>
        <w:t xml:space="preserve"> “</w:t>
      </w:r>
      <w:r w:rsidR="00FF78B5" w:rsidRPr="00C2188F">
        <w:rPr>
          <w:lang w:val="en-GB"/>
        </w:rPr>
        <w:t>There</w:t>
      </w:r>
      <w:r w:rsidR="00FF78B5">
        <w:rPr>
          <w:lang w:val="en-GB"/>
        </w:rPr>
        <w:t>’</w:t>
      </w:r>
      <w:r w:rsidR="00FF78B5" w:rsidRPr="00C2188F">
        <w:rPr>
          <w:lang w:val="en-GB"/>
        </w:rPr>
        <w:t>s plent</w:t>
      </w:r>
      <w:r w:rsidR="00FF78B5">
        <w:rPr>
          <w:lang w:val="en-GB"/>
        </w:rPr>
        <w:t>y of both straw and fodder with us</w:t>
      </w:r>
      <w:r w:rsidR="00FF78B5" w:rsidRPr="00C2188F">
        <w:rPr>
          <w:lang w:val="en-GB"/>
        </w:rPr>
        <w:t>, and also a place to stay the night</w:t>
      </w:r>
      <w:r w:rsidR="00FF78B5">
        <w:rPr>
          <w:lang w:val="en-GB"/>
        </w:rPr>
        <w:t>.</w:t>
      </w:r>
      <w:r>
        <w:rPr>
          <w:lang w:val="en-GB"/>
        </w:rPr>
        <w:t>”</w:t>
      </w:r>
      <w:r w:rsidR="00FF78B5" w:rsidRPr="00C2188F">
        <w:rPr>
          <w:lang w:val="en-GB"/>
        </w:rPr>
        <w:t xml:space="preserve"> </w:t>
      </w:r>
      <w:r>
        <w:rPr>
          <w:vertAlign w:val="superscript"/>
          <w:lang w:val="en-GB"/>
        </w:rPr>
        <w:t>26</w:t>
      </w:r>
      <w:r w:rsidR="00FF78B5" w:rsidRPr="008A1109">
        <w:rPr>
          <w:lang w:val="en-GB"/>
        </w:rPr>
        <w:t xml:space="preserve">The man bent his </w:t>
      </w:r>
      <w:r w:rsidR="00843DA5">
        <w:rPr>
          <w:lang w:val="en-GB"/>
        </w:rPr>
        <w:t>head,</w:t>
      </w:r>
      <w:r>
        <w:rPr>
          <w:lang w:val="en-GB"/>
        </w:rPr>
        <w:t xml:space="preserve"> bowed low to Yahweh</w:t>
      </w:r>
      <w:r w:rsidR="00843DA5">
        <w:rPr>
          <w:lang w:val="en-GB"/>
        </w:rPr>
        <w:t>,</w:t>
      </w:r>
      <w:r>
        <w:rPr>
          <w:lang w:val="en-GB"/>
        </w:rPr>
        <w:t xml:space="preserve"> </w:t>
      </w:r>
      <w:r>
        <w:rPr>
          <w:vertAlign w:val="superscript"/>
          <w:lang w:val="en-GB"/>
        </w:rPr>
        <w:t>27</w:t>
      </w:r>
      <w:r>
        <w:rPr>
          <w:lang w:val="en-GB"/>
        </w:rPr>
        <w:t>and said, “</w:t>
      </w:r>
      <w:r w:rsidR="00FF78B5" w:rsidRPr="008A1109">
        <w:rPr>
          <w:lang w:val="en-GB"/>
        </w:rPr>
        <w:t>Yahweh the God of my lord Abraham be blessed, who hasn’t abandon</w:t>
      </w:r>
      <w:r>
        <w:rPr>
          <w:lang w:val="en-GB"/>
        </w:rPr>
        <w:t>ed</w:t>
      </w:r>
      <w:r w:rsidR="00FF78B5" w:rsidRPr="008A1109">
        <w:rPr>
          <w:lang w:val="en-GB"/>
        </w:rPr>
        <w:t xml:space="preserve"> his commitment and his truthfulness with my lord. I myself – Yahweh has led me on the way to t</w:t>
      </w:r>
      <w:r>
        <w:rPr>
          <w:lang w:val="en-GB"/>
        </w:rPr>
        <w:t>he house of my lord’s brothers!”</w:t>
      </w:r>
      <w:r w:rsidR="00E05DF5">
        <w:rPr>
          <w:rStyle w:val="FootnoteReference"/>
          <w:lang w:val="en-GB"/>
        </w:rPr>
        <w:footnoteReference w:id="781"/>
      </w:r>
      <w:r>
        <w:rPr>
          <w:lang w:val="en-GB"/>
        </w:rPr>
        <w:t xml:space="preserve"> </w:t>
      </w:r>
      <w:r>
        <w:rPr>
          <w:vertAlign w:val="superscript"/>
          <w:lang w:val="en-GB"/>
        </w:rPr>
        <w:t>28</w:t>
      </w:r>
      <w:r w:rsidR="00FF78B5" w:rsidRPr="008A1109">
        <w:rPr>
          <w:lang w:val="en-GB"/>
        </w:rPr>
        <w:t>The girl ran and told her mother’s household al</w:t>
      </w:r>
      <w:r w:rsidR="00FF78B5">
        <w:rPr>
          <w:lang w:val="en-GB"/>
        </w:rPr>
        <w:t>l these actual</w:t>
      </w:r>
      <w:r w:rsidR="00C77648">
        <w:rPr>
          <w:lang w:val="en-GB"/>
        </w:rPr>
        <w:t xml:space="preserve"> thing</w:t>
      </w:r>
      <w:r w:rsidR="00FF78B5" w:rsidRPr="008A1109">
        <w:rPr>
          <w:lang w:val="en-GB"/>
        </w:rPr>
        <w:t xml:space="preserve">s. </w:t>
      </w:r>
    </w:p>
    <w:p w14:paraId="22F90646" w14:textId="48EBD6B0" w:rsidR="00FF78B5" w:rsidRPr="00C2188F" w:rsidRDefault="00FA5669" w:rsidP="00FF78B5">
      <w:pPr>
        <w:rPr>
          <w:lang w:val="en-GB"/>
        </w:rPr>
      </w:pPr>
      <w:r>
        <w:rPr>
          <w:vertAlign w:val="superscript"/>
          <w:lang w:val="en-GB"/>
        </w:rPr>
        <w:t>29</w:t>
      </w:r>
      <w:r w:rsidR="00FF78B5" w:rsidRPr="00C2188F">
        <w:rPr>
          <w:lang w:val="en-GB"/>
        </w:rPr>
        <w:t>N</w:t>
      </w:r>
      <w:r>
        <w:rPr>
          <w:lang w:val="en-GB"/>
        </w:rPr>
        <w:t>ow Ribqa</w:t>
      </w:r>
      <w:r w:rsidR="00FF78B5" w:rsidRPr="00C2188F">
        <w:rPr>
          <w:lang w:val="en-GB"/>
        </w:rPr>
        <w:t>h</w:t>
      </w:r>
      <w:r w:rsidR="00C77648">
        <w:rPr>
          <w:rStyle w:val="FootnoteReference"/>
          <w:lang w:val="en-GB"/>
        </w:rPr>
        <w:footnoteReference w:id="782"/>
      </w:r>
      <w:r w:rsidR="00FF78B5" w:rsidRPr="00C2188F">
        <w:rPr>
          <w:lang w:val="en-GB"/>
        </w:rPr>
        <w:t xml:space="preserve"> had a brother</w:t>
      </w:r>
      <w:r w:rsidR="00FF78B5">
        <w:rPr>
          <w:lang w:val="en-GB"/>
        </w:rPr>
        <w:t>; his name was Laban.</w:t>
      </w:r>
      <w:r w:rsidR="00FF78B5" w:rsidRPr="00C2188F">
        <w:rPr>
          <w:lang w:val="en-GB"/>
        </w:rPr>
        <w:t xml:space="preserve"> Laban ran </w:t>
      </w:r>
      <w:r>
        <w:rPr>
          <w:lang w:val="en-GB"/>
        </w:rPr>
        <w:t>out to the spring to the man.</w:t>
      </w:r>
      <w:r w:rsidR="00FF78B5" w:rsidRPr="00C2188F">
        <w:rPr>
          <w:lang w:val="en-GB"/>
        </w:rPr>
        <w:t xml:space="preserve"> </w:t>
      </w:r>
      <w:r>
        <w:rPr>
          <w:vertAlign w:val="superscript"/>
          <w:lang w:val="en-GB"/>
        </w:rPr>
        <w:t>30</w:t>
      </w:r>
      <w:r w:rsidR="00912C14">
        <w:rPr>
          <w:lang w:val="en-GB"/>
        </w:rPr>
        <w:t>When he saw the ring</w:t>
      </w:r>
      <w:r w:rsidR="00BD62F3">
        <w:rPr>
          <w:lang w:val="en-GB"/>
        </w:rPr>
        <w:t>,</w:t>
      </w:r>
      <w:r w:rsidR="00912C14">
        <w:rPr>
          <w:lang w:val="en-GB"/>
        </w:rPr>
        <w:t xml:space="preserve"> and the </w:t>
      </w:r>
      <w:r w:rsidR="00FF78B5">
        <w:rPr>
          <w:lang w:val="en-GB"/>
        </w:rPr>
        <w:t>brace</w:t>
      </w:r>
      <w:r w:rsidR="00FF78B5" w:rsidRPr="00C2188F">
        <w:rPr>
          <w:lang w:val="en-GB"/>
        </w:rPr>
        <w:t xml:space="preserve">lets </w:t>
      </w:r>
      <w:r w:rsidR="00912C14">
        <w:rPr>
          <w:lang w:val="en-GB"/>
        </w:rPr>
        <w:t>on his sister’s hands</w:t>
      </w:r>
      <w:r w:rsidR="00BD62F3">
        <w:rPr>
          <w:lang w:val="en-GB"/>
        </w:rPr>
        <w:t>,</w:t>
      </w:r>
      <w:r w:rsidR="00912C14">
        <w:rPr>
          <w:lang w:val="en-GB"/>
        </w:rPr>
        <w:t xml:space="preserve"> </w:t>
      </w:r>
      <w:r w:rsidR="00FF78B5" w:rsidRPr="00C2188F">
        <w:rPr>
          <w:lang w:val="en-GB"/>
        </w:rPr>
        <w:t>and hear</w:t>
      </w:r>
      <w:r>
        <w:rPr>
          <w:lang w:val="en-GB"/>
        </w:rPr>
        <w:t>d the words of his sister Ribqa</w:t>
      </w:r>
      <w:r w:rsidR="00FF78B5" w:rsidRPr="00C2188F">
        <w:rPr>
          <w:lang w:val="en-GB"/>
        </w:rPr>
        <w:t>h</w:t>
      </w:r>
      <w:r>
        <w:rPr>
          <w:lang w:val="en-GB"/>
        </w:rPr>
        <w:t>, “</w:t>
      </w:r>
      <w:r w:rsidR="00FF78B5" w:rsidRPr="00C2188F">
        <w:rPr>
          <w:lang w:val="en-GB"/>
        </w:rPr>
        <w:t>This is how the man spoke to me</w:t>
      </w:r>
      <w:r w:rsidR="00FF78B5">
        <w:rPr>
          <w:lang w:val="en-GB"/>
        </w:rPr>
        <w:t>,</w:t>
      </w:r>
      <w:r>
        <w:rPr>
          <w:lang w:val="en-GB"/>
        </w:rPr>
        <w:t>”</w:t>
      </w:r>
      <w:r w:rsidR="00FF78B5">
        <w:rPr>
          <w:lang w:val="en-GB"/>
        </w:rPr>
        <w:t xml:space="preserve"> he came</w:t>
      </w:r>
      <w:r w:rsidR="00FF78B5" w:rsidRPr="00C2188F">
        <w:rPr>
          <w:lang w:val="en-GB"/>
        </w:rPr>
        <w:t xml:space="preserve"> to the man. There he was, st</w:t>
      </w:r>
      <w:r w:rsidR="000A6A55">
        <w:rPr>
          <w:lang w:val="en-GB"/>
        </w:rPr>
        <w:t>anding near the camels, near</w:t>
      </w:r>
      <w:r w:rsidR="00FF78B5">
        <w:rPr>
          <w:lang w:val="en-GB"/>
        </w:rPr>
        <w:t xml:space="preserve"> the spring</w:t>
      </w:r>
      <w:r w:rsidR="00D532DD">
        <w:rPr>
          <w:lang w:val="en-GB"/>
        </w:rPr>
        <w:t>.</w:t>
      </w:r>
      <w:r>
        <w:rPr>
          <w:lang w:val="en-GB"/>
        </w:rPr>
        <w:t xml:space="preserve"> </w:t>
      </w:r>
      <w:r>
        <w:rPr>
          <w:vertAlign w:val="superscript"/>
          <w:lang w:val="en-GB"/>
        </w:rPr>
        <w:t>31</w:t>
      </w:r>
      <w:r w:rsidR="00D532DD">
        <w:rPr>
          <w:lang w:val="en-GB"/>
        </w:rPr>
        <w:t>He</w:t>
      </w:r>
      <w:r w:rsidR="00FF78B5" w:rsidRPr="00C2188F">
        <w:rPr>
          <w:lang w:val="en-GB"/>
        </w:rPr>
        <w:t xml:space="preserve"> said,</w:t>
      </w:r>
      <w:r>
        <w:rPr>
          <w:lang w:val="en-GB"/>
        </w:rPr>
        <w:t xml:space="preserve"> “</w:t>
      </w:r>
      <w:r w:rsidR="00FF78B5" w:rsidRPr="00C2188F">
        <w:rPr>
          <w:lang w:val="en-GB"/>
        </w:rPr>
        <w:t xml:space="preserve">Come in, you who are blessed by Yahweh. Why </w:t>
      </w:r>
      <w:r w:rsidR="00EE4B17">
        <w:rPr>
          <w:lang w:val="en-GB"/>
        </w:rPr>
        <w:t xml:space="preserve">do you </w:t>
      </w:r>
      <w:r w:rsidR="00FF78B5" w:rsidRPr="00C2188F">
        <w:rPr>
          <w:lang w:val="en-GB"/>
        </w:rPr>
        <w:t xml:space="preserve">stand outside when </w:t>
      </w:r>
      <w:r w:rsidR="00FF78B5">
        <w:rPr>
          <w:lang w:val="en-GB"/>
        </w:rPr>
        <w:t>I’ve cleared the house and</w:t>
      </w:r>
      <w:r w:rsidR="00FF78B5" w:rsidRPr="00C2188F">
        <w:rPr>
          <w:lang w:val="en-GB"/>
        </w:rPr>
        <w:t xml:space="preserve"> a place for the camels</w:t>
      </w:r>
      <w:r>
        <w:rPr>
          <w:lang w:val="en-GB"/>
        </w:rPr>
        <w:t>?”</w:t>
      </w:r>
      <w:r w:rsidR="00F14C8F">
        <w:rPr>
          <w:lang w:val="en-GB"/>
        </w:rPr>
        <w:t xml:space="preserve"> </w:t>
      </w:r>
      <w:r>
        <w:rPr>
          <w:vertAlign w:val="superscript"/>
          <w:lang w:val="en-GB"/>
        </w:rPr>
        <w:t>32</w:t>
      </w:r>
      <w:r w:rsidR="00FF78B5">
        <w:rPr>
          <w:lang w:val="en-GB"/>
        </w:rPr>
        <w:t>So the man came</w:t>
      </w:r>
      <w:r w:rsidR="005E0B8D">
        <w:rPr>
          <w:lang w:val="en-GB"/>
        </w:rPr>
        <w:t xml:space="preserve"> into the house. He</w:t>
      </w:r>
      <w:r w:rsidR="0000340A">
        <w:rPr>
          <w:lang w:val="en-GB"/>
        </w:rPr>
        <w:t xml:space="preserve"> unharnessed</w:t>
      </w:r>
      <w:r w:rsidR="005E0B8D">
        <w:rPr>
          <w:rStyle w:val="FootnoteReference"/>
          <w:lang w:val="en-GB"/>
        </w:rPr>
        <w:footnoteReference w:id="783"/>
      </w:r>
      <w:r w:rsidR="0000340A">
        <w:rPr>
          <w:lang w:val="en-GB"/>
        </w:rPr>
        <w:t xml:space="preserve"> the camels,</w:t>
      </w:r>
      <w:r w:rsidR="00FF78B5" w:rsidRPr="00C2188F">
        <w:rPr>
          <w:lang w:val="en-GB"/>
        </w:rPr>
        <w:t xml:space="preserve"> </w:t>
      </w:r>
      <w:r w:rsidR="005E0B8D">
        <w:rPr>
          <w:lang w:val="en-GB"/>
        </w:rPr>
        <w:t xml:space="preserve">and </w:t>
      </w:r>
      <w:r w:rsidR="00BF4646">
        <w:rPr>
          <w:lang w:val="en-GB"/>
        </w:rPr>
        <w:t>gave</w:t>
      </w:r>
      <w:r w:rsidR="00FF78B5" w:rsidRPr="00C2188F">
        <w:rPr>
          <w:lang w:val="en-GB"/>
        </w:rPr>
        <w:t xml:space="preserve"> straw and fodder</w:t>
      </w:r>
      <w:r w:rsidR="00BF4646">
        <w:rPr>
          <w:lang w:val="en-GB"/>
        </w:rPr>
        <w:t xml:space="preserve"> to the camels</w:t>
      </w:r>
      <w:r w:rsidR="00FF78B5" w:rsidRPr="00C2188F">
        <w:rPr>
          <w:lang w:val="en-GB"/>
        </w:rPr>
        <w:t>, and water to wash his feet and the feet o</w:t>
      </w:r>
      <w:r>
        <w:rPr>
          <w:lang w:val="en-GB"/>
        </w:rPr>
        <w:t xml:space="preserve">f the men who were with him. </w:t>
      </w:r>
      <w:r>
        <w:rPr>
          <w:vertAlign w:val="superscript"/>
          <w:lang w:val="en-GB"/>
        </w:rPr>
        <w:t>33</w:t>
      </w:r>
      <w:r w:rsidR="00FF78B5" w:rsidRPr="00C2188F">
        <w:rPr>
          <w:lang w:val="en-GB"/>
        </w:rPr>
        <w:t>Something to eat was set</w:t>
      </w:r>
      <w:r w:rsidR="00D223E4">
        <w:rPr>
          <w:rStyle w:val="FootnoteReference"/>
          <w:lang w:val="en-GB"/>
        </w:rPr>
        <w:footnoteReference w:id="784"/>
      </w:r>
      <w:r w:rsidR="00FF78B5" w:rsidRPr="00C2188F">
        <w:rPr>
          <w:lang w:val="en-GB"/>
        </w:rPr>
        <w:t xml:space="preserve"> </w:t>
      </w:r>
      <w:r w:rsidR="00FF78B5">
        <w:rPr>
          <w:lang w:val="en-GB"/>
        </w:rPr>
        <w:t>before him, b</w:t>
      </w:r>
      <w:r w:rsidR="00FF78B5" w:rsidRPr="00C2188F">
        <w:rPr>
          <w:lang w:val="en-GB"/>
        </w:rPr>
        <w:t>ut he said,</w:t>
      </w:r>
      <w:r>
        <w:rPr>
          <w:lang w:val="en-GB"/>
        </w:rPr>
        <w:t xml:space="preserve"> “</w:t>
      </w:r>
      <w:r w:rsidR="00FF78B5" w:rsidRPr="00C2188F">
        <w:rPr>
          <w:lang w:val="en-GB"/>
        </w:rPr>
        <w:t>I won</w:t>
      </w:r>
      <w:r w:rsidR="00FF78B5">
        <w:rPr>
          <w:lang w:val="en-GB"/>
        </w:rPr>
        <w:t>’</w:t>
      </w:r>
      <w:r w:rsidR="00FF78B5" w:rsidRPr="00C2188F">
        <w:rPr>
          <w:lang w:val="en-GB"/>
        </w:rPr>
        <w:t>t eat until I</w:t>
      </w:r>
      <w:r w:rsidR="00FF78B5">
        <w:rPr>
          <w:lang w:val="en-GB"/>
        </w:rPr>
        <w:t>’</w:t>
      </w:r>
      <w:r w:rsidR="00FF78B5" w:rsidRPr="00C2188F">
        <w:rPr>
          <w:lang w:val="en-GB"/>
        </w:rPr>
        <w:t>ve spoken my words</w:t>
      </w:r>
      <w:r w:rsidR="00FF78B5">
        <w:rPr>
          <w:lang w:val="en-GB"/>
        </w:rPr>
        <w:t>.</w:t>
      </w:r>
      <w:r>
        <w:rPr>
          <w:lang w:val="en-GB"/>
        </w:rPr>
        <w:t>”</w:t>
      </w:r>
      <w:r w:rsidR="00FF78B5" w:rsidRPr="00C2188F">
        <w:rPr>
          <w:lang w:val="en-GB"/>
        </w:rPr>
        <w:t xml:space="preserve"> So he said,</w:t>
      </w:r>
      <w:r>
        <w:rPr>
          <w:lang w:val="en-GB"/>
        </w:rPr>
        <w:t xml:space="preserve"> “</w:t>
      </w:r>
      <w:r w:rsidR="00FF78B5" w:rsidRPr="00C2188F">
        <w:rPr>
          <w:lang w:val="en-GB"/>
        </w:rPr>
        <w:t>Speak</w:t>
      </w:r>
      <w:r w:rsidR="00FF78B5">
        <w:rPr>
          <w:lang w:val="en-GB"/>
        </w:rPr>
        <w:t>.</w:t>
      </w:r>
      <w:r>
        <w:rPr>
          <w:lang w:val="en-GB"/>
        </w:rPr>
        <w:t>”</w:t>
      </w:r>
    </w:p>
    <w:p w14:paraId="46726C8B" w14:textId="69EC12B7" w:rsidR="00FF78B5" w:rsidRPr="00C2188F" w:rsidRDefault="00FA5669" w:rsidP="00FF78B5">
      <w:pPr>
        <w:rPr>
          <w:lang w:val="en-GB"/>
        </w:rPr>
      </w:pPr>
      <w:r>
        <w:rPr>
          <w:vertAlign w:val="superscript"/>
          <w:lang w:val="en-GB"/>
        </w:rPr>
        <w:t>34</w:t>
      </w:r>
      <w:r w:rsidR="00FF78B5" w:rsidRPr="00C2188F">
        <w:rPr>
          <w:lang w:val="en-GB"/>
        </w:rPr>
        <w:t>He said,</w:t>
      </w:r>
      <w:r>
        <w:rPr>
          <w:lang w:val="en-GB"/>
        </w:rPr>
        <w:t xml:space="preserve"> “</w:t>
      </w:r>
      <w:r w:rsidR="00BD62F3">
        <w:rPr>
          <w:lang w:val="en-GB"/>
        </w:rPr>
        <w:t>I a</w:t>
      </w:r>
      <w:r w:rsidR="00FF78B5">
        <w:rPr>
          <w:lang w:val="en-GB"/>
        </w:rPr>
        <w:t>m</w:t>
      </w:r>
      <w:r w:rsidR="00FF78B5" w:rsidRPr="00C2188F">
        <w:rPr>
          <w:lang w:val="en-GB"/>
        </w:rPr>
        <w:t xml:space="preserve"> Abraham</w:t>
      </w:r>
      <w:r w:rsidR="00FF78B5">
        <w:rPr>
          <w:lang w:val="en-GB"/>
        </w:rPr>
        <w:t>’</w:t>
      </w:r>
      <w:r>
        <w:rPr>
          <w:lang w:val="en-GB"/>
        </w:rPr>
        <w:t xml:space="preserve">s servant. </w:t>
      </w:r>
      <w:r>
        <w:rPr>
          <w:vertAlign w:val="superscript"/>
          <w:lang w:val="en-GB"/>
        </w:rPr>
        <w:t>35</w:t>
      </w:r>
      <w:r w:rsidR="00ED5BD3">
        <w:rPr>
          <w:lang w:val="en-GB"/>
        </w:rPr>
        <w:t>In that</w:t>
      </w:r>
      <w:r w:rsidR="00FF78B5" w:rsidRPr="00C2188F">
        <w:rPr>
          <w:lang w:val="en-GB"/>
        </w:rPr>
        <w:t xml:space="preserve"> Yahweh has greatly blessed my </w:t>
      </w:r>
      <w:r w:rsidR="00FF78B5">
        <w:rPr>
          <w:lang w:val="en-GB"/>
        </w:rPr>
        <w:t>lord</w:t>
      </w:r>
      <w:r w:rsidR="00FF78B5" w:rsidRPr="00C2188F">
        <w:rPr>
          <w:lang w:val="en-GB"/>
        </w:rPr>
        <w:t xml:space="preserve">, </w:t>
      </w:r>
      <w:r w:rsidR="00FF78B5">
        <w:rPr>
          <w:lang w:val="en-GB"/>
        </w:rPr>
        <w:t>he’s become big</w:t>
      </w:r>
      <w:r w:rsidR="00FF78B5" w:rsidRPr="00C2188F">
        <w:rPr>
          <w:lang w:val="en-GB"/>
        </w:rPr>
        <w:t xml:space="preserve">. </w:t>
      </w:r>
      <w:r w:rsidR="00FF78B5">
        <w:rPr>
          <w:lang w:val="en-GB"/>
        </w:rPr>
        <w:t>He’s given him flock and herd</w:t>
      </w:r>
      <w:r w:rsidR="00FF78B5" w:rsidRPr="00C2188F">
        <w:rPr>
          <w:lang w:val="en-GB"/>
        </w:rPr>
        <w:t xml:space="preserve">, silver and gold, </w:t>
      </w:r>
      <w:r w:rsidR="00FF78B5">
        <w:rPr>
          <w:lang w:val="en-GB"/>
        </w:rPr>
        <w:t xml:space="preserve">servants </w:t>
      </w:r>
      <w:r w:rsidR="00FF78B5" w:rsidRPr="00C2188F">
        <w:rPr>
          <w:lang w:val="en-GB"/>
        </w:rPr>
        <w:t xml:space="preserve">and </w:t>
      </w:r>
      <w:r w:rsidR="00FF78B5">
        <w:rPr>
          <w:lang w:val="en-GB"/>
        </w:rPr>
        <w:t>maidservant</w:t>
      </w:r>
      <w:r>
        <w:rPr>
          <w:lang w:val="en-GB"/>
        </w:rPr>
        <w:t>s, camels and donkeys.</w:t>
      </w:r>
      <w:r w:rsidR="00FF78B5" w:rsidRPr="00C2188F">
        <w:rPr>
          <w:lang w:val="en-GB"/>
        </w:rPr>
        <w:t xml:space="preserve"> </w:t>
      </w:r>
      <w:r>
        <w:rPr>
          <w:vertAlign w:val="superscript"/>
          <w:lang w:val="en-GB"/>
        </w:rPr>
        <w:t>36</w:t>
      </w:r>
      <w:r w:rsidR="00FF78B5" w:rsidRPr="00C2188F">
        <w:rPr>
          <w:lang w:val="en-GB"/>
        </w:rPr>
        <w:t xml:space="preserve">Sarah, my </w:t>
      </w:r>
      <w:r w:rsidR="00FF78B5">
        <w:rPr>
          <w:lang w:val="en-GB"/>
        </w:rPr>
        <w:t>lord’</w:t>
      </w:r>
      <w:r w:rsidR="00FF78B5" w:rsidRPr="00C2188F">
        <w:rPr>
          <w:lang w:val="en-GB"/>
        </w:rPr>
        <w:t xml:space="preserve">s wife, </w:t>
      </w:r>
      <w:r w:rsidR="00FF78B5">
        <w:rPr>
          <w:lang w:val="en-GB"/>
        </w:rPr>
        <w:t>gave birth to</w:t>
      </w:r>
      <w:r w:rsidR="00FF78B5" w:rsidRPr="00C2188F">
        <w:rPr>
          <w:lang w:val="en-GB"/>
        </w:rPr>
        <w:t xml:space="preserve"> a son</w:t>
      </w:r>
      <w:r w:rsidR="00FF78B5" w:rsidRPr="002B2172">
        <w:rPr>
          <w:lang w:val="en-GB"/>
        </w:rPr>
        <w:t xml:space="preserve"> </w:t>
      </w:r>
      <w:r w:rsidR="00FF78B5">
        <w:rPr>
          <w:lang w:val="en-GB"/>
        </w:rPr>
        <w:t xml:space="preserve">for </w:t>
      </w:r>
      <w:r w:rsidR="00FF78B5" w:rsidRPr="002B2172">
        <w:rPr>
          <w:lang w:val="en-GB"/>
        </w:rPr>
        <w:t xml:space="preserve">my </w:t>
      </w:r>
      <w:r w:rsidR="00FF78B5">
        <w:rPr>
          <w:lang w:val="en-GB"/>
        </w:rPr>
        <w:t>lord</w:t>
      </w:r>
      <w:r w:rsidR="00FF78B5" w:rsidRPr="00C2188F">
        <w:rPr>
          <w:lang w:val="en-GB"/>
        </w:rPr>
        <w:t xml:space="preserve"> in her</w:t>
      </w:r>
      <w:r w:rsidR="00140874">
        <w:rPr>
          <w:rStyle w:val="FootnoteReference"/>
          <w:lang w:val="en-GB"/>
        </w:rPr>
        <w:footnoteReference w:id="785"/>
      </w:r>
      <w:r w:rsidR="00FF78B5" w:rsidRPr="00C2188F">
        <w:rPr>
          <w:lang w:val="en-GB"/>
        </w:rPr>
        <w:t xml:space="preserve"> old age, and </w:t>
      </w:r>
      <w:r w:rsidR="00FF78B5">
        <w:rPr>
          <w:lang w:val="en-GB"/>
        </w:rPr>
        <w:t>he’s</w:t>
      </w:r>
      <w:r w:rsidR="00FF78B5" w:rsidRPr="00C2188F">
        <w:rPr>
          <w:lang w:val="en-GB"/>
        </w:rPr>
        <w:t xml:space="preserve"> give</w:t>
      </w:r>
      <w:r>
        <w:rPr>
          <w:lang w:val="en-GB"/>
        </w:rPr>
        <w:t xml:space="preserve">n him everything that he has. </w:t>
      </w:r>
      <w:r>
        <w:rPr>
          <w:vertAlign w:val="superscript"/>
          <w:lang w:val="en-GB"/>
        </w:rPr>
        <w:t>37</w:t>
      </w:r>
      <w:r w:rsidR="00FF78B5" w:rsidRPr="00C2188F">
        <w:rPr>
          <w:lang w:val="en-GB"/>
        </w:rPr>
        <w:t xml:space="preserve">My </w:t>
      </w:r>
      <w:r w:rsidR="00FF78B5">
        <w:rPr>
          <w:lang w:val="en-GB"/>
        </w:rPr>
        <w:t>lord</w:t>
      </w:r>
      <w:r w:rsidR="00FF78B5" w:rsidRPr="00C2188F">
        <w:rPr>
          <w:lang w:val="en-GB"/>
        </w:rPr>
        <w:t xml:space="preserve"> got me to swear, saying</w:t>
      </w:r>
      <w:r>
        <w:rPr>
          <w:lang w:val="en-GB"/>
        </w:rPr>
        <w:t xml:space="preserve"> ‘</w:t>
      </w:r>
      <w:r w:rsidR="00FF78B5" w:rsidRPr="00C2188F">
        <w:rPr>
          <w:lang w:val="en-GB"/>
        </w:rPr>
        <w:t xml:space="preserve">You </w:t>
      </w:r>
      <w:r w:rsidR="00FF78B5">
        <w:rPr>
          <w:lang w:val="en-GB"/>
        </w:rPr>
        <w:t xml:space="preserve">will not </w:t>
      </w:r>
      <w:r w:rsidR="00FF78B5" w:rsidRPr="00C2188F">
        <w:rPr>
          <w:lang w:val="en-GB"/>
        </w:rPr>
        <w:t xml:space="preserve">get a wife for my </w:t>
      </w:r>
      <w:r w:rsidR="00BD62F3">
        <w:rPr>
          <w:lang w:val="en-GB"/>
        </w:rPr>
        <w:t>son from the daughters of the Ke</w:t>
      </w:r>
      <w:r w:rsidR="00FF78B5" w:rsidRPr="00C2188F">
        <w:rPr>
          <w:lang w:val="en-GB"/>
        </w:rPr>
        <w:t>na</w:t>
      </w:r>
      <w:r w:rsidR="00BD62F3">
        <w:rPr>
          <w:lang w:val="en-GB"/>
        </w:rPr>
        <w:t>‘</w:t>
      </w:r>
      <w:r w:rsidR="00FF78B5" w:rsidRPr="00C2188F">
        <w:rPr>
          <w:lang w:val="en-GB"/>
        </w:rPr>
        <w:t xml:space="preserve">anites among whom </w:t>
      </w:r>
      <w:r>
        <w:rPr>
          <w:lang w:val="en-GB"/>
        </w:rPr>
        <w:t xml:space="preserve">I’m living in their country. </w:t>
      </w:r>
      <w:r>
        <w:rPr>
          <w:vertAlign w:val="superscript"/>
          <w:lang w:val="en-GB"/>
        </w:rPr>
        <w:t>38</w:t>
      </w:r>
      <w:r w:rsidR="00FF78B5">
        <w:rPr>
          <w:lang w:val="en-GB"/>
        </w:rPr>
        <w:t>No,</w:t>
      </w:r>
      <w:r w:rsidR="00FF78B5" w:rsidRPr="00C2188F">
        <w:rPr>
          <w:lang w:val="en-GB"/>
        </w:rPr>
        <w:t xml:space="preserve"> </w:t>
      </w:r>
      <w:r>
        <w:rPr>
          <w:lang w:val="en-GB"/>
        </w:rPr>
        <w:t>you’</w:t>
      </w:r>
      <w:r w:rsidR="00FF78B5">
        <w:rPr>
          <w:lang w:val="en-GB"/>
        </w:rPr>
        <w:t xml:space="preserve">re to </w:t>
      </w:r>
      <w:r w:rsidR="00FF78B5" w:rsidRPr="00C2188F">
        <w:rPr>
          <w:lang w:val="en-GB"/>
        </w:rPr>
        <w:t xml:space="preserve">go to my </w:t>
      </w:r>
      <w:r w:rsidR="00FF78B5">
        <w:rPr>
          <w:lang w:val="en-GB"/>
        </w:rPr>
        <w:t>father’s household, to my kin-group</w:t>
      </w:r>
      <w:r w:rsidR="00FF78B5" w:rsidRPr="00C2188F">
        <w:rPr>
          <w:lang w:val="en-GB"/>
        </w:rPr>
        <w:t>, and get a wife for my son</w:t>
      </w:r>
      <w:r w:rsidR="00FF78B5">
        <w:rPr>
          <w:lang w:val="en-GB"/>
        </w:rPr>
        <w:t>.</w:t>
      </w:r>
      <w:r>
        <w:rPr>
          <w:lang w:val="en-GB"/>
        </w:rPr>
        <w:t>’</w:t>
      </w:r>
      <w:r w:rsidR="00FF78B5" w:rsidRPr="00C2188F">
        <w:rPr>
          <w:lang w:val="en-GB"/>
        </w:rPr>
        <w:t xml:space="preserve"> </w:t>
      </w:r>
    </w:p>
    <w:p w14:paraId="2EBAE46B" w14:textId="42655C30" w:rsidR="00FF78B5" w:rsidRPr="00C2188F" w:rsidRDefault="00FA5669" w:rsidP="00FF78B5">
      <w:pPr>
        <w:rPr>
          <w:lang w:val="en-GB"/>
        </w:rPr>
      </w:pPr>
      <w:r>
        <w:rPr>
          <w:vertAlign w:val="superscript"/>
          <w:lang w:val="en-GB"/>
        </w:rPr>
        <w:t>39</w:t>
      </w:r>
      <w:r w:rsidR="00FF78B5" w:rsidRPr="00C2188F">
        <w:rPr>
          <w:lang w:val="en-GB"/>
        </w:rPr>
        <w:t xml:space="preserve">I said to my </w:t>
      </w:r>
      <w:r w:rsidR="00FF78B5">
        <w:rPr>
          <w:lang w:val="en-GB"/>
        </w:rPr>
        <w:t>lord</w:t>
      </w:r>
      <w:r w:rsidR="00FF78B5" w:rsidRPr="00C2188F">
        <w:rPr>
          <w:lang w:val="en-GB"/>
        </w:rPr>
        <w:t>,</w:t>
      </w:r>
      <w:r>
        <w:rPr>
          <w:lang w:val="en-GB"/>
        </w:rPr>
        <w:t xml:space="preserve"> ‘</w:t>
      </w:r>
      <w:r w:rsidR="00FF78B5">
        <w:rPr>
          <w:lang w:val="en-GB"/>
        </w:rPr>
        <w:t>Maybe</w:t>
      </w:r>
      <w:r w:rsidR="00FF78B5" w:rsidRPr="00C2188F">
        <w:rPr>
          <w:lang w:val="en-GB"/>
        </w:rPr>
        <w:t xml:space="preserve"> the woman won</w:t>
      </w:r>
      <w:r w:rsidR="00FF78B5">
        <w:rPr>
          <w:lang w:val="en-GB"/>
        </w:rPr>
        <w:t>’</w:t>
      </w:r>
      <w:r w:rsidR="00FF78B5" w:rsidRPr="00C2188F">
        <w:rPr>
          <w:lang w:val="en-GB"/>
        </w:rPr>
        <w:t xml:space="preserve">t </w:t>
      </w:r>
      <w:r w:rsidR="00FF78B5">
        <w:rPr>
          <w:lang w:val="en-GB"/>
        </w:rPr>
        <w:t>follow</w:t>
      </w:r>
      <w:r w:rsidR="00FF78B5" w:rsidRPr="00C2188F">
        <w:rPr>
          <w:lang w:val="en-GB"/>
        </w:rPr>
        <w:t xml:space="preserve"> me</w:t>
      </w:r>
      <w:r w:rsidR="00FF78B5">
        <w:rPr>
          <w:lang w:val="en-GB"/>
        </w:rPr>
        <w:t>.</w:t>
      </w:r>
      <w:r>
        <w:rPr>
          <w:lang w:val="en-GB"/>
        </w:rPr>
        <w:t xml:space="preserve">’ </w:t>
      </w:r>
      <w:r>
        <w:rPr>
          <w:vertAlign w:val="superscript"/>
          <w:lang w:val="en-GB"/>
        </w:rPr>
        <w:t>40</w:t>
      </w:r>
      <w:r w:rsidR="00FF78B5" w:rsidRPr="00C2188F">
        <w:rPr>
          <w:lang w:val="en-GB"/>
        </w:rPr>
        <w:t>He said to me,</w:t>
      </w:r>
      <w:r>
        <w:rPr>
          <w:lang w:val="en-GB"/>
        </w:rPr>
        <w:t xml:space="preserve"> ‘</w:t>
      </w:r>
      <w:r w:rsidR="00FF78B5" w:rsidRPr="00C2188F">
        <w:rPr>
          <w:lang w:val="en-GB"/>
        </w:rPr>
        <w:t xml:space="preserve">Yahweh, before whom </w:t>
      </w:r>
      <w:r w:rsidR="00FF78B5">
        <w:rPr>
          <w:lang w:val="en-GB"/>
        </w:rPr>
        <w:t>I’ve</w:t>
      </w:r>
      <w:r w:rsidR="00FF78B5" w:rsidRPr="00C2188F">
        <w:rPr>
          <w:lang w:val="en-GB"/>
        </w:rPr>
        <w:t xml:space="preserve"> walked </w:t>
      </w:r>
      <w:r w:rsidR="00983E71">
        <w:rPr>
          <w:lang w:val="en-GB"/>
        </w:rPr>
        <w:t>about</w:t>
      </w:r>
      <w:r w:rsidR="00BD62F3">
        <w:rPr>
          <w:lang w:val="en-GB"/>
        </w:rPr>
        <w:t>– he wi</w:t>
      </w:r>
      <w:r w:rsidR="00FF78B5" w:rsidRPr="00C2188F">
        <w:rPr>
          <w:lang w:val="en-GB"/>
        </w:rPr>
        <w:t xml:space="preserve">ll send his </w:t>
      </w:r>
      <w:r w:rsidR="00FF78B5">
        <w:rPr>
          <w:lang w:val="en-GB"/>
        </w:rPr>
        <w:t>envoy</w:t>
      </w:r>
      <w:r w:rsidR="00BD62F3">
        <w:rPr>
          <w:lang w:val="en-GB"/>
        </w:rPr>
        <w:t xml:space="preserve"> with you and he wi</w:t>
      </w:r>
      <w:r w:rsidR="00FF78B5" w:rsidRPr="00C2188F">
        <w:rPr>
          <w:lang w:val="en-GB"/>
        </w:rPr>
        <w:t>ll make your journey successful. You</w:t>
      </w:r>
      <w:r w:rsidR="00BD62F3">
        <w:rPr>
          <w:lang w:val="en-GB"/>
        </w:rPr>
        <w:t xml:space="preserve"> wi</w:t>
      </w:r>
      <w:r w:rsidR="00FF78B5" w:rsidRPr="00C2188F">
        <w:rPr>
          <w:lang w:val="en-GB"/>
        </w:rPr>
        <w:t xml:space="preserve">ll get </w:t>
      </w:r>
      <w:r w:rsidR="00FF78B5">
        <w:rPr>
          <w:lang w:val="en-GB"/>
        </w:rPr>
        <w:t>a wife for my son from my kin-group</w:t>
      </w:r>
      <w:r w:rsidR="00FF78B5" w:rsidRPr="00C2188F">
        <w:rPr>
          <w:lang w:val="en-GB"/>
        </w:rPr>
        <w:t xml:space="preserve">. </w:t>
      </w:r>
      <w:r w:rsidR="0005285E">
        <w:rPr>
          <w:vertAlign w:val="superscript"/>
          <w:lang w:val="en-GB"/>
        </w:rPr>
        <w:t>41</w:t>
      </w:r>
      <w:r w:rsidR="00FF78B5">
        <w:rPr>
          <w:lang w:val="en-GB"/>
        </w:rPr>
        <w:t xml:space="preserve">Then </w:t>
      </w:r>
      <w:r w:rsidR="00FF78B5" w:rsidRPr="00C2188F">
        <w:rPr>
          <w:lang w:val="en-GB"/>
        </w:rPr>
        <w:t>you</w:t>
      </w:r>
      <w:r w:rsidR="00BD62F3">
        <w:rPr>
          <w:lang w:val="en-GB"/>
        </w:rPr>
        <w:t xml:space="preserve"> wi</w:t>
      </w:r>
      <w:r w:rsidR="007C336F">
        <w:rPr>
          <w:lang w:val="en-GB"/>
        </w:rPr>
        <w:t>ll be free from my imprecation</w:t>
      </w:r>
      <w:r w:rsidR="00730538">
        <w:rPr>
          <w:lang w:val="en-GB"/>
        </w:rPr>
        <w:t xml:space="preserve"> </w:t>
      </w:r>
      <w:r w:rsidR="00FF78B5" w:rsidRPr="00C2188F">
        <w:rPr>
          <w:lang w:val="en-GB"/>
        </w:rPr>
        <w:t>w</w:t>
      </w:r>
      <w:r w:rsidR="00FF78B5">
        <w:rPr>
          <w:lang w:val="en-GB"/>
        </w:rPr>
        <w:t>hen you come to my kin-group</w:t>
      </w:r>
      <w:r w:rsidR="00FF78B5" w:rsidRPr="00C2188F">
        <w:rPr>
          <w:lang w:val="en-GB"/>
        </w:rPr>
        <w:t xml:space="preserve">, </w:t>
      </w:r>
      <w:r w:rsidR="00730538">
        <w:rPr>
          <w:lang w:val="en-GB"/>
        </w:rPr>
        <w:t xml:space="preserve">if </w:t>
      </w:r>
      <w:r w:rsidR="00FF78B5" w:rsidRPr="00C2188F">
        <w:rPr>
          <w:lang w:val="en-GB"/>
        </w:rPr>
        <w:t>they don</w:t>
      </w:r>
      <w:r w:rsidR="00FF78B5">
        <w:rPr>
          <w:lang w:val="en-GB"/>
        </w:rPr>
        <w:t>’</w:t>
      </w:r>
      <w:r w:rsidR="00FF78B5" w:rsidRPr="00C2188F">
        <w:rPr>
          <w:lang w:val="en-GB"/>
        </w:rPr>
        <w:t>t give her to you. You</w:t>
      </w:r>
      <w:r w:rsidR="00FF78B5">
        <w:rPr>
          <w:lang w:val="en-GB"/>
        </w:rPr>
        <w:t>’</w:t>
      </w:r>
      <w:r w:rsidR="00FF78B5" w:rsidRPr="00C2188F">
        <w:rPr>
          <w:lang w:val="en-GB"/>
        </w:rPr>
        <w:t>ll</w:t>
      </w:r>
      <w:r w:rsidR="0005285E">
        <w:rPr>
          <w:lang w:val="en-GB"/>
        </w:rPr>
        <w:t xml:space="preserve"> b</w:t>
      </w:r>
      <w:r w:rsidR="007C336F">
        <w:rPr>
          <w:lang w:val="en-GB"/>
        </w:rPr>
        <w:t>e free from my imprecation</w:t>
      </w:r>
      <w:r w:rsidR="00FF78B5">
        <w:rPr>
          <w:lang w:val="en-GB"/>
        </w:rPr>
        <w:t>.</w:t>
      </w:r>
      <w:r w:rsidR="0005285E">
        <w:rPr>
          <w:lang w:val="en-GB"/>
        </w:rPr>
        <w:t>’</w:t>
      </w:r>
    </w:p>
    <w:p w14:paraId="52D9A121" w14:textId="17C618E8" w:rsidR="00FF78B5" w:rsidRPr="00C2188F" w:rsidRDefault="0005285E" w:rsidP="00FF78B5">
      <w:pPr>
        <w:rPr>
          <w:lang w:val="en-GB"/>
        </w:rPr>
      </w:pPr>
      <w:r>
        <w:rPr>
          <w:vertAlign w:val="superscript"/>
          <w:lang w:val="en-GB"/>
        </w:rPr>
        <w:t>42</w:t>
      </w:r>
      <w:r w:rsidR="00FF78B5" w:rsidRPr="00C2188F">
        <w:rPr>
          <w:lang w:val="en-GB"/>
        </w:rPr>
        <w:t>So I came today to the spring</w:t>
      </w:r>
      <w:r w:rsidR="001906D4">
        <w:rPr>
          <w:lang w:val="en-GB"/>
        </w:rPr>
        <w:t>,</w:t>
      </w:r>
      <w:r w:rsidR="00BD62F3">
        <w:rPr>
          <w:lang w:val="en-GB"/>
        </w:rPr>
        <w:t xml:space="preserve"> and </w:t>
      </w:r>
      <w:r w:rsidR="00FF78B5" w:rsidRPr="00C2188F">
        <w:rPr>
          <w:lang w:val="en-GB"/>
        </w:rPr>
        <w:t>said,</w:t>
      </w:r>
      <w:r>
        <w:rPr>
          <w:lang w:val="en-GB"/>
        </w:rPr>
        <w:t xml:space="preserve"> ‘</w:t>
      </w:r>
      <w:r w:rsidR="00FF78B5" w:rsidRPr="00C2188F">
        <w:rPr>
          <w:lang w:val="en-GB"/>
        </w:rPr>
        <w:t xml:space="preserve">Yahweh, God of my </w:t>
      </w:r>
      <w:r w:rsidR="00FF78B5">
        <w:rPr>
          <w:lang w:val="en-GB"/>
        </w:rPr>
        <w:t>lord</w:t>
      </w:r>
      <w:r w:rsidR="00FF78B5" w:rsidRPr="00C2188F">
        <w:rPr>
          <w:lang w:val="en-GB"/>
        </w:rPr>
        <w:t xml:space="preserve"> Abraham: i</w:t>
      </w:r>
      <w:r w:rsidR="00FF78B5">
        <w:rPr>
          <w:lang w:val="en-GB"/>
        </w:rPr>
        <w:t>f you could please</w:t>
      </w:r>
      <w:r w:rsidR="00FF78B5" w:rsidRPr="00C2188F">
        <w:rPr>
          <w:lang w:val="en-GB"/>
        </w:rPr>
        <w:t xml:space="preserve"> be one who </w:t>
      </w:r>
      <w:r w:rsidR="00FF78B5">
        <w:rPr>
          <w:lang w:val="en-GB"/>
        </w:rPr>
        <w:t xml:space="preserve">makes </w:t>
      </w:r>
      <w:r w:rsidR="00FF78B5" w:rsidRPr="00C2188F">
        <w:rPr>
          <w:lang w:val="en-GB"/>
        </w:rPr>
        <w:t xml:space="preserve">my journey that </w:t>
      </w:r>
      <w:r w:rsidR="00FF78B5">
        <w:rPr>
          <w:lang w:val="en-GB"/>
        </w:rPr>
        <w:t>I’m going on successful</w:t>
      </w:r>
      <w:r>
        <w:rPr>
          <w:lang w:val="en-GB"/>
        </w:rPr>
        <w:t xml:space="preserve">! </w:t>
      </w:r>
      <w:r>
        <w:rPr>
          <w:vertAlign w:val="superscript"/>
          <w:lang w:val="en-GB"/>
        </w:rPr>
        <w:t>43</w:t>
      </w:r>
      <w:r w:rsidR="00FF78B5">
        <w:rPr>
          <w:lang w:val="en-GB"/>
        </w:rPr>
        <w:t>Here,</w:t>
      </w:r>
      <w:r w:rsidR="00FF78B5" w:rsidRPr="00C2188F">
        <w:rPr>
          <w:lang w:val="en-GB"/>
        </w:rPr>
        <w:t xml:space="preserve"> I</w:t>
      </w:r>
      <w:r w:rsidR="00FF78B5">
        <w:rPr>
          <w:lang w:val="en-GB"/>
        </w:rPr>
        <w:t>’</w:t>
      </w:r>
      <w:r w:rsidR="00FF78B5" w:rsidRPr="00C2188F">
        <w:rPr>
          <w:lang w:val="en-GB"/>
        </w:rPr>
        <w:t xml:space="preserve">m standing by the </w:t>
      </w:r>
      <w:r w:rsidR="00FF78B5">
        <w:rPr>
          <w:lang w:val="en-GB"/>
        </w:rPr>
        <w:t>water spring</w:t>
      </w:r>
      <w:r w:rsidR="00FF78B5" w:rsidRPr="00C2188F">
        <w:rPr>
          <w:lang w:val="en-GB"/>
        </w:rPr>
        <w:t xml:space="preserve">. </w:t>
      </w:r>
      <w:r w:rsidR="00527BCB">
        <w:rPr>
          <w:lang w:val="en-GB"/>
        </w:rPr>
        <w:t>May the young lady</w:t>
      </w:r>
      <w:r w:rsidR="00FF78B5">
        <w:rPr>
          <w:lang w:val="en-GB"/>
        </w:rPr>
        <w:t xml:space="preserve"> who go</w:t>
      </w:r>
      <w:r w:rsidR="00FF78B5" w:rsidRPr="00C2188F">
        <w:rPr>
          <w:lang w:val="en-GB"/>
        </w:rPr>
        <w:t>es out to draw and to whom I say</w:t>
      </w:r>
      <w:r>
        <w:rPr>
          <w:lang w:val="en-GB"/>
        </w:rPr>
        <w:t xml:space="preserve"> “</w:t>
      </w:r>
      <w:r w:rsidR="00FF78B5">
        <w:rPr>
          <w:lang w:val="en-GB"/>
        </w:rPr>
        <w:t>Please</w:t>
      </w:r>
      <w:r w:rsidR="00FF78B5" w:rsidRPr="00C2188F">
        <w:rPr>
          <w:lang w:val="en-GB"/>
        </w:rPr>
        <w:t xml:space="preserve"> let me drink a little water from </w:t>
      </w:r>
      <w:r w:rsidR="00FF78B5" w:rsidRPr="00C2188F">
        <w:rPr>
          <w:lang w:val="en-GB"/>
        </w:rPr>
        <w:lastRenderedPageBreak/>
        <w:t xml:space="preserve">your </w:t>
      </w:r>
      <w:r>
        <w:rPr>
          <w:lang w:val="en-GB"/>
        </w:rPr>
        <w:t>pitcher</w:t>
      </w:r>
      <w:r w:rsidR="00FF78B5">
        <w:rPr>
          <w:lang w:val="en-GB"/>
        </w:rPr>
        <w:t>,</w:t>
      </w:r>
      <w:r>
        <w:rPr>
          <w:lang w:val="en-GB"/>
        </w:rPr>
        <w:t xml:space="preserve">” </w:t>
      </w:r>
      <w:r>
        <w:rPr>
          <w:vertAlign w:val="superscript"/>
          <w:lang w:val="en-GB"/>
        </w:rPr>
        <w:t>44</w:t>
      </w:r>
      <w:r w:rsidR="00FF78B5" w:rsidRPr="00C2188F">
        <w:rPr>
          <w:lang w:val="en-GB"/>
        </w:rPr>
        <w:t>and she says to me</w:t>
      </w:r>
      <w:r>
        <w:rPr>
          <w:lang w:val="en-GB"/>
        </w:rPr>
        <w:t xml:space="preserve"> “</w:t>
      </w:r>
      <w:r w:rsidR="00FF78B5" w:rsidRPr="00C2188F">
        <w:rPr>
          <w:lang w:val="en-GB"/>
        </w:rPr>
        <w:t>Drink, and I</w:t>
      </w:r>
      <w:r w:rsidR="00FF78B5">
        <w:rPr>
          <w:lang w:val="en-GB"/>
        </w:rPr>
        <w:t>’</w:t>
      </w:r>
      <w:r w:rsidR="00FF78B5" w:rsidRPr="00C2188F">
        <w:rPr>
          <w:lang w:val="en-GB"/>
        </w:rPr>
        <w:t>ll also draw for your camels</w:t>
      </w:r>
      <w:r w:rsidR="00FF78B5">
        <w:rPr>
          <w:lang w:val="en-GB"/>
        </w:rPr>
        <w:t>,</w:t>
      </w:r>
      <w:r>
        <w:rPr>
          <w:lang w:val="en-GB"/>
        </w:rPr>
        <w:t>”</w:t>
      </w:r>
      <w:r w:rsidR="00D50CD2">
        <w:rPr>
          <w:lang w:val="en-GB"/>
        </w:rPr>
        <w:t xml:space="preserve"> may she be the woman that</w:t>
      </w:r>
      <w:r w:rsidR="00FF78B5" w:rsidRPr="00C2188F">
        <w:rPr>
          <w:lang w:val="en-GB"/>
        </w:rPr>
        <w:t xml:space="preserve"> Yahweh has decided on for my </w:t>
      </w:r>
      <w:r w:rsidR="00FF78B5">
        <w:rPr>
          <w:lang w:val="en-GB"/>
        </w:rPr>
        <w:t>lord’</w:t>
      </w:r>
      <w:r w:rsidR="00FF78B5" w:rsidRPr="00C2188F">
        <w:rPr>
          <w:lang w:val="en-GB"/>
        </w:rPr>
        <w:t>s son</w:t>
      </w:r>
      <w:r w:rsidR="00FF78B5">
        <w:rPr>
          <w:lang w:val="en-GB"/>
        </w:rPr>
        <w:t>.</w:t>
      </w:r>
      <w:r>
        <w:rPr>
          <w:lang w:val="en-GB"/>
        </w:rPr>
        <w:t>’</w:t>
      </w:r>
      <w:r w:rsidR="00FF78B5" w:rsidRPr="00C2188F">
        <w:rPr>
          <w:lang w:val="en-GB"/>
        </w:rPr>
        <w:t xml:space="preserve"> </w:t>
      </w:r>
    </w:p>
    <w:p w14:paraId="02075B0A" w14:textId="21C10E5F" w:rsidR="00FF78B5" w:rsidRDefault="0005285E" w:rsidP="00FF78B5">
      <w:pPr>
        <w:rPr>
          <w:lang w:val="en-GB"/>
        </w:rPr>
      </w:pPr>
      <w:r>
        <w:rPr>
          <w:vertAlign w:val="superscript"/>
          <w:lang w:val="en-GB"/>
        </w:rPr>
        <w:t>45</w:t>
      </w:r>
      <w:r w:rsidR="00EE4B17">
        <w:rPr>
          <w:lang w:val="en-GB"/>
        </w:rPr>
        <w:t>I—b</w:t>
      </w:r>
      <w:r w:rsidR="00FF78B5" w:rsidRPr="00C2188F">
        <w:rPr>
          <w:lang w:val="en-GB"/>
        </w:rPr>
        <w:t>efore I</w:t>
      </w:r>
      <w:r w:rsidR="00FF78B5">
        <w:rPr>
          <w:lang w:val="en-GB"/>
        </w:rPr>
        <w:t>’</w:t>
      </w:r>
      <w:r w:rsidR="00FF78B5" w:rsidRPr="00C2188F">
        <w:rPr>
          <w:lang w:val="en-GB"/>
        </w:rPr>
        <w:t>d finished speaking in</w:t>
      </w:r>
      <w:r>
        <w:rPr>
          <w:lang w:val="en-GB"/>
        </w:rPr>
        <w:t xml:space="preserve"> my mind, there was Ribqa</w:t>
      </w:r>
      <w:r w:rsidR="00FF78B5">
        <w:rPr>
          <w:lang w:val="en-GB"/>
        </w:rPr>
        <w:t>h go</w:t>
      </w:r>
      <w:r w:rsidR="00FF78B5" w:rsidRPr="00C2188F">
        <w:rPr>
          <w:lang w:val="en-GB"/>
        </w:rPr>
        <w:t xml:space="preserve">ing out with her </w:t>
      </w:r>
      <w:r w:rsidR="00FF78B5">
        <w:rPr>
          <w:lang w:val="en-GB"/>
        </w:rPr>
        <w:t>pitcher</w:t>
      </w:r>
      <w:r w:rsidR="00FF78B5" w:rsidRPr="00C2188F">
        <w:rPr>
          <w:lang w:val="en-GB"/>
        </w:rPr>
        <w:t xml:space="preserve"> on her shoulder. She went down to the spring and drew. I said to her,</w:t>
      </w:r>
      <w:r>
        <w:rPr>
          <w:lang w:val="en-GB"/>
        </w:rPr>
        <w:t xml:space="preserve"> ‘</w:t>
      </w:r>
      <w:r w:rsidR="00FF78B5">
        <w:rPr>
          <w:lang w:val="en-GB"/>
        </w:rPr>
        <w:t>Please</w:t>
      </w:r>
      <w:r w:rsidR="00FF78B5" w:rsidRPr="00C2188F">
        <w:rPr>
          <w:lang w:val="en-GB"/>
        </w:rPr>
        <w:t xml:space="preserve"> give me a drink</w:t>
      </w:r>
      <w:r w:rsidR="00FF78B5">
        <w:rPr>
          <w:lang w:val="en-GB"/>
        </w:rPr>
        <w:t>.</w:t>
      </w:r>
      <w:r>
        <w:rPr>
          <w:lang w:val="en-GB"/>
        </w:rPr>
        <w:t>’</w:t>
      </w:r>
      <w:r w:rsidR="00FF78B5" w:rsidRPr="00C2188F">
        <w:rPr>
          <w:lang w:val="en-GB"/>
        </w:rPr>
        <w:t xml:space="preserve"> </w:t>
      </w:r>
      <w:r>
        <w:rPr>
          <w:vertAlign w:val="superscript"/>
          <w:lang w:val="en-GB"/>
        </w:rPr>
        <w:t>46</w:t>
      </w:r>
      <w:r w:rsidR="00FF78B5">
        <w:rPr>
          <w:lang w:val="en-GB"/>
        </w:rPr>
        <w:t>She hurried and lowered</w:t>
      </w:r>
      <w:r w:rsidR="00FF78B5" w:rsidRPr="00C2188F">
        <w:rPr>
          <w:lang w:val="en-GB"/>
        </w:rPr>
        <w:t xml:space="preserve"> her </w:t>
      </w:r>
      <w:r w:rsidR="00FF78B5">
        <w:rPr>
          <w:lang w:val="en-GB"/>
        </w:rPr>
        <w:t>pitcher</w:t>
      </w:r>
      <w:r w:rsidR="00FF78B5" w:rsidRPr="00C2188F">
        <w:rPr>
          <w:lang w:val="en-GB"/>
        </w:rPr>
        <w:t xml:space="preserve"> from on her shoulder and said,</w:t>
      </w:r>
      <w:r>
        <w:rPr>
          <w:lang w:val="en-GB"/>
        </w:rPr>
        <w:t xml:space="preserve"> ‘</w:t>
      </w:r>
      <w:r w:rsidR="00FF78B5" w:rsidRPr="00C2188F">
        <w:rPr>
          <w:lang w:val="en-GB"/>
        </w:rPr>
        <w:t>Drink, and I</w:t>
      </w:r>
      <w:r w:rsidR="00FF78B5">
        <w:rPr>
          <w:lang w:val="en-GB"/>
        </w:rPr>
        <w:t>’</w:t>
      </w:r>
      <w:r w:rsidR="00FF78B5" w:rsidRPr="00C2188F">
        <w:rPr>
          <w:lang w:val="en-GB"/>
        </w:rPr>
        <w:t>ll water your camels as well</w:t>
      </w:r>
      <w:r w:rsidR="00FF78B5">
        <w:rPr>
          <w:lang w:val="en-GB"/>
        </w:rPr>
        <w:t>.</w:t>
      </w:r>
      <w:r>
        <w:rPr>
          <w:lang w:val="en-GB"/>
        </w:rPr>
        <w:t>’</w:t>
      </w:r>
      <w:r w:rsidR="00FF78B5" w:rsidRPr="00C2188F">
        <w:rPr>
          <w:lang w:val="en-GB"/>
        </w:rPr>
        <w:t xml:space="preserve"> So I drank, and she</w:t>
      </w:r>
      <w:r>
        <w:rPr>
          <w:lang w:val="en-GB"/>
        </w:rPr>
        <w:t xml:space="preserve"> watered the camels as well. </w:t>
      </w:r>
      <w:r>
        <w:rPr>
          <w:vertAlign w:val="superscript"/>
          <w:lang w:val="en-GB"/>
        </w:rPr>
        <w:t>47</w:t>
      </w:r>
      <w:r w:rsidR="00FF78B5" w:rsidRPr="00C2188F">
        <w:rPr>
          <w:lang w:val="en-GB"/>
        </w:rPr>
        <w:t>I asked her,</w:t>
      </w:r>
      <w:r>
        <w:rPr>
          <w:lang w:val="en-GB"/>
        </w:rPr>
        <w:t xml:space="preserve"> ‘</w:t>
      </w:r>
      <w:r w:rsidR="00FF78B5" w:rsidRPr="00C2188F">
        <w:rPr>
          <w:lang w:val="en-GB"/>
        </w:rPr>
        <w:t>Whose daughter are you</w:t>
      </w:r>
      <w:r>
        <w:rPr>
          <w:lang w:val="en-GB"/>
        </w:rPr>
        <w:t>?</w:t>
      </w:r>
      <w:r w:rsidR="00D50CD2">
        <w:rPr>
          <w:lang w:val="en-GB"/>
        </w:rPr>
        <w:t>’</w:t>
      </w:r>
      <w:r w:rsidR="00FF78B5" w:rsidRPr="00C2188F">
        <w:rPr>
          <w:lang w:val="en-GB"/>
        </w:rPr>
        <w:t xml:space="preserve"> and she said,</w:t>
      </w:r>
      <w:r>
        <w:rPr>
          <w:lang w:val="en-GB"/>
        </w:rPr>
        <w:t xml:space="preserve"> ‘</w:t>
      </w:r>
      <w:r w:rsidR="00FF78B5">
        <w:rPr>
          <w:lang w:val="en-GB"/>
        </w:rPr>
        <w:t>The daughter of Bet</w:t>
      </w:r>
      <w:r w:rsidR="00FF78B5" w:rsidRPr="00C2188F">
        <w:rPr>
          <w:lang w:val="en-GB"/>
        </w:rPr>
        <w:t>u</w:t>
      </w:r>
      <w:r w:rsidR="00FF78B5">
        <w:rPr>
          <w:lang w:val="en-GB"/>
        </w:rPr>
        <w:t>’el ben</w:t>
      </w:r>
      <w:r w:rsidR="00FF78B5" w:rsidRPr="00C2188F">
        <w:rPr>
          <w:lang w:val="en-GB"/>
        </w:rPr>
        <w:t xml:space="preserve"> Nahor, </w:t>
      </w:r>
      <w:r w:rsidR="00FF78B5">
        <w:rPr>
          <w:lang w:val="en-GB"/>
        </w:rPr>
        <w:t xml:space="preserve">to </w:t>
      </w:r>
      <w:r w:rsidR="00FF78B5" w:rsidRPr="00C2188F">
        <w:rPr>
          <w:lang w:val="en-GB"/>
        </w:rPr>
        <w:t xml:space="preserve">whom Milkah </w:t>
      </w:r>
      <w:r w:rsidR="00FF78B5">
        <w:rPr>
          <w:lang w:val="en-GB"/>
        </w:rPr>
        <w:t>gave birth</w:t>
      </w:r>
      <w:r w:rsidR="00FF78B5" w:rsidRPr="00C2188F">
        <w:rPr>
          <w:lang w:val="en-GB"/>
        </w:rPr>
        <w:t xml:space="preserve"> </w:t>
      </w:r>
      <w:r w:rsidR="00FF78B5">
        <w:rPr>
          <w:lang w:val="en-GB"/>
        </w:rPr>
        <w:t xml:space="preserve">for </w:t>
      </w:r>
      <w:r w:rsidR="00FF78B5" w:rsidRPr="00C2188F">
        <w:rPr>
          <w:lang w:val="en-GB"/>
        </w:rPr>
        <w:t>him</w:t>
      </w:r>
      <w:r w:rsidR="00FF78B5">
        <w:rPr>
          <w:lang w:val="en-GB"/>
        </w:rPr>
        <w:t>.</w:t>
      </w:r>
      <w:r>
        <w:rPr>
          <w:lang w:val="en-GB"/>
        </w:rPr>
        <w:t>’</w:t>
      </w:r>
      <w:r w:rsidR="00FF78B5" w:rsidRPr="00C2188F">
        <w:rPr>
          <w:lang w:val="en-GB"/>
        </w:rPr>
        <w:t xml:space="preserve"> I put the ring on her nose and the bracel</w:t>
      </w:r>
      <w:r w:rsidR="00FF78B5">
        <w:rPr>
          <w:lang w:val="en-GB"/>
        </w:rPr>
        <w:t>ets on her hand</w:t>
      </w:r>
      <w:r w:rsidR="00E35AA7">
        <w:rPr>
          <w:lang w:val="en-GB"/>
        </w:rPr>
        <w:t>s,</w:t>
      </w:r>
      <w:r w:rsidR="00FF78B5" w:rsidRPr="00C2188F">
        <w:rPr>
          <w:lang w:val="en-GB"/>
        </w:rPr>
        <w:t xml:space="preserve"> </w:t>
      </w:r>
      <w:r>
        <w:rPr>
          <w:vertAlign w:val="superscript"/>
          <w:lang w:val="en-GB"/>
        </w:rPr>
        <w:t>48</w:t>
      </w:r>
      <w:r w:rsidR="00E35AA7">
        <w:rPr>
          <w:lang w:val="en-GB"/>
        </w:rPr>
        <w:t>and I</w:t>
      </w:r>
      <w:r w:rsidR="00FF78B5">
        <w:rPr>
          <w:lang w:val="en-GB"/>
        </w:rPr>
        <w:t xml:space="preserve"> bent my head</w:t>
      </w:r>
      <w:r w:rsidR="00FF78B5" w:rsidRPr="00C2188F">
        <w:rPr>
          <w:lang w:val="en-GB"/>
        </w:rPr>
        <w:t xml:space="preserve"> and bowed low to Yahweh and </w:t>
      </w:r>
      <w:r w:rsidR="00FF78B5">
        <w:rPr>
          <w:lang w:val="en-GB"/>
        </w:rPr>
        <w:t>blessed</w:t>
      </w:r>
      <w:r w:rsidR="004224AF">
        <w:rPr>
          <w:lang w:val="en-GB"/>
        </w:rPr>
        <w:t xml:space="preserve"> Yahweh the God of my lord</w:t>
      </w:r>
      <w:r w:rsidR="00FF78B5" w:rsidRPr="00C2188F">
        <w:rPr>
          <w:lang w:val="en-GB"/>
        </w:rPr>
        <w:t xml:space="preserve"> Abra</w:t>
      </w:r>
      <w:r w:rsidR="00FF78B5">
        <w:rPr>
          <w:lang w:val="en-GB"/>
        </w:rPr>
        <w:t>ham, who had led me on a true</w:t>
      </w:r>
      <w:r w:rsidR="00FF78B5" w:rsidRPr="00C2188F">
        <w:rPr>
          <w:lang w:val="en-GB"/>
        </w:rPr>
        <w:t xml:space="preserve"> way to get the daughter of my </w:t>
      </w:r>
      <w:r w:rsidR="00FF78B5">
        <w:rPr>
          <w:lang w:val="en-GB"/>
        </w:rPr>
        <w:t>lord’</w:t>
      </w:r>
      <w:r w:rsidR="00FF78B5" w:rsidRPr="00C2188F">
        <w:rPr>
          <w:lang w:val="en-GB"/>
        </w:rPr>
        <w:t>s brother</w:t>
      </w:r>
      <w:r w:rsidR="00FA37D6">
        <w:rPr>
          <w:rStyle w:val="FootnoteReference"/>
          <w:lang w:val="en-GB"/>
        </w:rPr>
        <w:footnoteReference w:id="786"/>
      </w:r>
      <w:r w:rsidR="00FF78B5" w:rsidRPr="00C2188F">
        <w:rPr>
          <w:lang w:val="en-GB"/>
        </w:rPr>
        <w:t xml:space="preserve"> for his son</w:t>
      </w:r>
      <w:r w:rsidR="00FF78B5">
        <w:rPr>
          <w:lang w:val="en-GB"/>
        </w:rPr>
        <w:t>.</w:t>
      </w:r>
      <w:r w:rsidR="00FF78B5" w:rsidRPr="00C2188F">
        <w:rPr>
          <w:lang w:val="en-GB"/>
        </w:rPr>
        <w:t xml:space="preserve"> </w:t>
      </w:r>
    </w:p>
    <w:p w14:paraId="6F3C3F42" w14:textId="77777777" w:rsidR="00FF78B5" w:rsidRPr="00C2188F" w:rsidRDefault="0005285E" w:rsidP="00FF78B5">
      <w:pPr>
        <w:rPr>
          <w:lang w:val="en-GB"/>
        </w:rPr>
      </w:pPr>
      <w:r>
        <w:rPr>
          <w:vertAlign w:val="superscript"/>
          <w:lang w:val="en-GB"/>
        </w:rPr>
        <w:t>49</w:t>
      </w:r>
      <w:r w:rsidR="00FF78B5" w:rsidRPr="00C2188F">
        <w:rPr>
          <w:lang w:val="en-GB"/>
        </w:rPr>
        <w:t xml:space="preserve">So </w:t>
      </w:r>
      <w:r w:rsidR="00FF78B5">
        <w:rPr>
          <w:lang w:val="en-GB"/>
        </w:rPr>
        <w:t>now:</w:t>
      </w:r>
      <w:r w:rsidR="00FF78B5" w:rsidRPr="00C2188F">
        <w:rPr>
          <w:lang w:val="en-GB"/>
        </w:rPr>
        <w:t xml:space="preserve"> if you</w:t>
      </w:r>
      <w:r w:rsidR="00FF78B5">
        <w:rPr>
          <w:lang w:val="en-GB"/>
        </w:rPr>
        <w:t>’</w:t>
      </w:r>
      <w:r w:rsidR="00FF78B5" w:rsidRPr="00C2188F">
        <w:rPr>
          <w:lang w:val="en-GB"/>
        </w:rPr>
        <w:t>re going to act w</w:t>
      </w:r>
      <w:r w:rsidR="00FF78B5">
        <w:rPr>
          <w:lang w:val="en-GB"/>
        </w:rPr>
        <w:t>ith commitment and truthfulness</w:t>
      </w:r>
      <w:r w:rsidR="00FF78B5" w:rsidRPr="00C2188F">
        <w:rPr>
          <w:lang w:val="en-GB"/>
        </w:rPr>
        <w:t xml:space="preserve"> to my </w:t>
      </w:r>
      <w:r w:rsidR="00FF78B5">
        <w:rPr>
          <w:lang w:val="en-GB"/>
        </w:rPr>
        <w:t>lord</w:t>
      </w:r>
      <w:r w:rsidR="00FF78B5" w:rsidRPr="00C2188F">
        <w:rPr>
          <w:lang w:val="en-GB"/>
        </w:rPr>
        <w:t xml:space="preserve">, tell me. And if not, tell me, </w:t>
      </w:r>
      <w:r w:rsidR="00FF78B5">
        <w:rPr>
          <w:lang w:val="en-GB"/>
        </w:rPr>
        <w:t>so</w:t>
      </w:r>
      <w:r w:rsidR="00FF78B5" w:rsidRPr="00C2188F">
        <w:rPr>
          <w:lang w:val="en-GB"/>
        </w:rPr>
        <w:t xml:space="preserve"> I may </w:t>
      </w:r>
      <w:r w:rsidR="00FF78B5">
        <w:rPr>
          <w:lang w:val="en-GB"/>
        </w:rPr>
        <w:t xml:space="preserve">turn my face to the </w:t>
      </w:r>
      <w:r w:rsidR="00FF78B5" w:rsidRPr="00C2188F">
        <w:rPr>
          <w:lang w:val="en-GB"/>
        </w:rPr>
        <w:t xml:space="preserve">right or </w:t>
      </w:r>
      <w:r w:rsidR="00FF78B5">
        <w:rPr>
          <w:lang w:val="en-GB"/>
        </w:rPr>
        <w:t xml:space="preserve">to the </w:t>
      </w:r>
      <w:r w:rsidR="00FF78B5" w:rsidRPr="00C2188F">
        <w:rPr>
          <w:lang w:val="en-GB"/>
        </w:rPr>
        <w:t>left</w:t>
      </w:r>
      <w:r w:rsidR="00FF78B5">
        <w:rPr>
          <w:lang w:val="en-GB"/>
        </w:rPr>
        <w:t>.</w:t>
      </w:r>
      <w:r>
        <w:rPr>
          <w:lang w:val="en-GB"/>
        </w:rPr>
        <w:t>”</w:t>
      </w:r>
      <w:r w:rsidR="00FF78B5" w:rsidRPr="00C2188F">
        <w:rPr>
          <w:lang w:val="en-GB"/>
        </w:rPr>
        <w:t xml:space="preserve"> </w:t>
      </w:r>
    </w:p>
    <w:p w14:paraId="7553C2C2" w14:textId="2776ABCE" w:rsidR="00FF78B5" w:rsidRPr="00C2188F" w:rsidRDefault="0005285E" w:rsidP="00FF78B5">
      <w:pPr>
        <w:rPr>
          <w:lang w:val="en-GB"/>
        </w:rPr>
      </w:pPr>
      <w:r>
        <w:rPr>
          <w:vertAlign w:val="superscript"/>
          <w:lang w:val="en-GB"/>
        </w:rPr>
        <w:t>50</w:t>
      </w:r>
      <w:r w:rsidR="00FF78B5">
        <w:rPr>
          <w:lang w:val="en-GB"/>
        </w:rPr>
        <w:t xml:space="preserve">Laban </w:t>
      </w:r>
      <w:r w:rsidR="00347BE9">
        <w:rPr>
          <w:lang w:val="en-GB"/>
        </w:rPr>
        <w:t>and</w:t>
      </w:r>
      <w:r w:rsidR="00347BE9" w:rsidRPr="00347BE9">
        <w:rPr>
          <w:lang w:val="en-GB"/>
        </w:rPr>
        <w:t xml:space="preserve"> Betu’el </w:t>
      </w:r>
      <w:r w:rsidR="00347BE9">
        <w:rPr>
          <w:lang w:val="en-GB"/>
        </w:rPr>
        <w:t>answered</w:t>
      </w:r>
      <w:r w:rsidR="00FF78B5" w:rsidRPr="00C2188F">
        <w:rPr>
          <w:lang w:val="en-GB"/>
        </w:rPr>
        <w:t>,</w:t>
      </w:r>
      <w:r w:rsidR="00347BE9">
        <w:rPr>
          <w:rStyle w:val="FootnoteReference"/>
          <w:lang w:val="en-GB"/>
        </w:rPr>
        <w:footnoteReference w:id="787"/>
      </w:r>
      <w:r w:rsidR="00FF78B5">
        <w:rPr>
          <w:lang w:val="en-GB"/>
        </w:rPr>
        <w:t xml:space="preserve"> ‘It’s</w:t>
      </w:r>
      <w:r w:rsidR="00FF78B5" w:rsidRPr="00C2188F">
        <w:rPr>
          <w:lang w:val="en-GB"/>
        </w:rPr>
        <w:t xml:space="preserve"> from Yahwe</w:t>
      </w:r>
      <w:r w:rsidR="00FF78B5">
        <w:rPr>
          <w:lang w:val="en-GB"/>
        </w:rPr>
        <w:t>h that the thing has issued</w:t>
      </w:r>
      <w:r w:rsidR="00FF78B5" w:rsidRPr="00C2188F">
        <w:rPr>
          <w:lang w:val="en-GB"/>
        </w:rPr>
        <w:t xml:space="preserve">. </w:t>
      </w:r>
      <w:r w:rsidR="00FF78B5">
        <w:rPr>
          <w:lang w:val="en-GB"/>
        </w:rPr>
        <w:t>We can’</w:t>
      </w:r>
      <w:r w:rsidR="00FF78B5" w:rsidRPr="00C2188F">
        <w:rPr>
          <w:lang w:val="en-GB"/>
        </w:rPr>
        <w:t xml:space="preserve">t speak to you bad or good. </w:t>
      </w:r>
      <w:r>
        <w:rPr>
          <w:vertAlign w:val="superscript"/>
          <w:lang w:val="en-GB"/>
        </w:rPr>
        <w:t>51</w:t>
      </w:r>
      <w:r w:rsidR="00FF78B5">
        <w:rPr>
          <w:lang w:val="en-GB"/>
        </w:rPr>
        <w:t>H</w:t>
      </w:r>
      <w:r>
        <w:rPr>
          <w:lang w:val="en-GB"/>
        </w:rPr>
        <w:t>ere is Ribq</w:t>
      </w:r>
      <w:r w:rsidR="00FF78B5" w:rsidRPr="00C2188F">
        <w:rPr>
          <w:lang w:val="en-GB"/>
        </w:rPr>
        <w:t xml:space="preserve">ah </w:t>
      </w:r>
      <w:r w:rsidR="00FF78B5">
        <w:rPr>
          <w:lang w:val="en-GB"/>
        </w:rPr>
        <w:t>before</w:t>
      </w:r>
      <w:r w:rsidR="00B55AEA">
        <w:rPr>
          <w:lang w:val="en-GB"/>
        </w:rPr>
        <w:t xml:space="preserve"> you. Get</w:t>
      </w:r>
      <w:r w:rsidR="00FF78B5" w:rsidRPr="00C2188F">
        <w:rPr>
          <w:lang w:val="en-GB"/>
        </w:rPr>
        <w:t xml:space="preserve"> her and go,</w:t>
      </w:r>
      <w:r w:rsidR="00FF78B5">
        <w:rPr>
          <w:lang w:val="en-GB"/>
        </w:rPr>
        <w:t xml:space="preserve"> so</w:t>
      </w:r>
      <w:r w:rsidR="00FF78B5" w:rsidRPr="00C2188F">
        <w:rPr>
          <w:lang w:val="en-GB"/>
        </w:rPr>
        <w:t xml:space="preserve"> she can be a wife for your </w:t>
      </w:r>
      <w:r w:rsidR="00FF78B5">
        <w:rPr>
          <w:lang w:val="en-GB"/>
        </w:rPr>
        <w:t>lord’</w:t>
      </w:r>
      <w:r w:rsidR="00FF78B5" w:rsidRPr="00C2188F">
        <w:rPr>
          <w:lang w:val="en-GB"/>
        </w:rPr>
        <w:t>s son, as Yahweh has said</w:t>
      </w:r>
      <w:r w:rsidR="00FF78B5">
        <w:rPr>
          <w:lang w:val="en-GB"/>
        </w:rPr>
        <w:t>.</w:t>
      </w:r>
      <w:r>
        <w:rPr>
          <w:lang w:val="en-GB"/>
        </w:rPr>
        <w:t>”</w:t>
      </w:r>
      <w:r w:rsidR="00FF78B5" w:rsidRPr="00C2188F">
        <w:rPr>
          <w:lang w:val="en-GB"/>
        </w:rPr>
        <w:t xml:space="preserve"> </w:t>
      </w:r>
      <w:r>
        <w:rPr>
          <w:vertAlign w:val="superscript"/>
          <w:lang w:val="en-GB"/>
        </w:rPr>
        <w:t>52</w:t>
      </w:r>
      <w:r w:rsidR="00FF78B5" w:rsidRPr="00C2188F">
        <w:rPr>
          <w:lang w:val="en-GB"/>
        </w:rPr>
        <w:t>When Abraham</w:t>
      </w:r>
      <w:r w:rsidR="00FF78B5">
        <w:rPr>
          <w:lang w:val="en-GB"/>
        </w:rPr>
        <w:t>’</w:t>
      </w:r>
      <w:r w:rsidR="00FF78B5" w:rsidRPr="00C2188F">
        <w:rPr>
          <w:lang w:val="en-GB"/>
        </w:rPr>
        <w:t>s servant heard their words, he bowed low</w:t>
      </w:r>
      <w:r>
        <w:rPr>
          <w:lang w:val="en-GB"/>
        </w:rPr>
        <w:t xml:space="preserve"> to the ground before Yahweh.</w:t>
      </w:r>
      <w:r w:rsidR="00FF78B5" w:rsidRPr="00C2188F">
        <w:rPr>
          <w:lang w:val="en-GB"/>
        </w:rPr>
        <w:t xml:space="preserve"> </w:t>
      </w:r>
      <w:r>
        <w:rPr>
          <w:vertAlign w:val="superscript"/>
          <w:lang w:val="en-GB"/>
        </w:rPr>
        <w:t>53</w:t>
      </w:r>
      <w:r w:rsidR="00FF78B5" w:rsidRPr="00C2188F">
        <w:rPr>
          <w:lang w:val="en-GB"/>
        </w:rPr>
        <w:t>The servant brought out objects of silver and objects of gold, and clothes, and gav</w:t>
      </w:r>
      <w:r>
        <w:rPr>
          <w:lang w:val="en-GB"/>
        </w:rPr>
        <w:t>e them to Ribq</w:t>
      </w:r>
      <w:r w:rsidR="00FF78B5" w:rsidRPr="00C2188F">
        <w:rPr>
          <w:lang w:val="en-GB"/>
        </w:rPr>
        <w:t xml:space="preserve">ah, and </w:t>
      </w:r>
      <w:r w:rsidR="00FF78B5">
        <w:rPr>
          <w:lang w:val="en-GB"/>
        </w:rPr>
        <w:t>he gave choice things</w:t>
      </w:r>
      <w:r w:rsidR="007D0074">
        <w:rPr>
          <w:rStyle w:val="FootnoteReference"/>
          <w:lang w:val="en-GB"/>
        </w:rPr>
        <w:footnoteReference w:id="788"/>
      </w:r>
      <w:r w:rsidR="00FF78B5" w:rsidRPr="00C2188F">
        <w:rPr>
          <w:lang w:val="en-GB"/>
        </w:rPr>
        <w:t xml:space="preserve"> to her brother and </w:t>
      </w:r>
      <w:r w:rsidR="00FF78B5">
        <w:rPr>
          <w:lang w:val="en-GB"/>
        </w:rPr>
        <w:t xml:space="preserve">to </w:t>
      </w:r>
      <w:r>
        <w:rPr>
          <w:lang w:val="en-GB"/>
        </w:rPr>
        <w:t xml:space="preserve">her mother. </w:t>
      </w:r>
      <w:r w:rsidR="004224AF">
        <w:rPr>
          <w:vertAlign w:val="superscript"/>
          <w:lang w:val="en-GB"/>
        </w:rPr>
        <w:t>54</w:t>
      </w:r>
      <w:r w:rsidR="00FF78B5" w:rsidRPr="00C2188F">
        <w:rPr>
          <w:lang w:val="en-GB"/>
        </w:rPr>
        <w:t xml:space="preserve">They ate and drank, </w:t>
      </w:r>
      <w:proofErr w:type="gramStart"/>
      <w:r w:rsidR="00FF78B5" w:rsidRPr="00C2188F">
        <w:rPr>
          <w:lang w:val="en-GB"/>
        </w:rPr>
        <w:t>he</w:t>
      </w:r>
      <w:proofErr w:type="gramEnd"/>
      <w:r w:rsidR="00FF78B5" w:rsidRPr="00C2188F">
        <w:rPr>
          <w:lang w:val="en-GB"/>
        </w:rPr>
        <w:t xml:space="preserve"> and the m</w:t>
      </w:r>
      <w:r w:rsidR="00FF78B5">
        <w:rPr>
          <w:lang w:val="en-GB"/>
        </w:rPr>
        <w:t xml:space="preserve">en who were with him, and stayed </w:t>
      </w:r>
      <w:r w:rsidR="00FF78B5" w:rsidRPr="00C2188F">
        <w:rPr>
          <w:lang w:val="en-GB"/>
        </w:rPr>
        <w:t xml:space="preserve">the night. </w:t>
      </w:r>
    </w:p>
    <w:p w14:paraId="29638018" w14:textId="393E4F19" w:rsidR="00FF78B5" w:rsidRPr="00C2188F" w:rsidRDefault="00FF78B5" w:rsidP="00FF78B5">
      <w:pPr>
        <w:rPr>
          <w:lang w:val="en-GB"/>
        </w:rPr>
      </w:pPr>
      <w:r w:rsidRPr="00C2188F">
        <w:rPr>
          <w:lang w:val="en-GB"/>
        </w:rPr>
        <w:t>They got up in the morning, and he said,</w:t>
      </w:r>
      <w:r w:rsidR="0005285E">
        <w:rPr>
          <w:lang w:val="en-GB"/>
        </w:rPr>
        <w:t xml:space="preserve"> “</w:t>
      </w:r>
      <w:r w:rsidRPr="00C2188F">
        <w:rPr>
          <w:lang w:val="en-GB"/>
        </w:rPr>
        <w:t xml:space="preserve">Send me off to my </w:t>
      </w:r>
      <w:r w:rsidR="0005285E">
        <w:rPr>
          <w:lang w:val="en-GB"/>
        </w:rPr>
        <w:t>lord</w:t>
      </w:r>
      <w:r>
        <w:rPr>
          <w:lang w:val="en-GB"/>
        </w:rPr>
        <w:t>.</w:t>
      </w:r>
      <w:r w:rsidR="0005285E">
        <w:rPr>
          <w:lang w:val="en-GB"/>
        </w:rPr>
        <w:t xml:space="preserve">” </w:t>
      </w:r>
      <w:r w:rsidR="004224AF">
        <w:rPr>
          <w:vertAlign w:val="superscript"/>
          <w:lang w:val="en-GB"/>
        </w:rPr>
        <w:t>55</w:t>
      </w:r>
      <w:r w:rsidRPr="00C2188F">
        <w:rPr>
          <w:lang w:val="en-GB"/>
        </w:rPr>
        <w:t>Her brother and her mother said,</w:t>
      </w:r>
      <w:r w:rsidR="0005285E">
        <w:rPr>
          <w:lang w:val="en-GB"/>
        </w:rPr>
        <w:t xml:space="preserve"> “</w:t>
      </w:r>
      <w:r w:rsidRPr="00C2188F">
        <w:rPr>
          <w:lang w:val="en-GB"/>
        </w:rPr>
        <w:t>The girl should stay with us for</w:t>
      </w:r>
      <w:r>
        <w:rPr>
          <w:lang w:val="en-GB"/>
        </w:rPr>
        <w:t xml:space="preserve"> some days—say ten</w:t>
      </w:r>
      <w:r w:rsidRPr="00C2188F">
        <w:rPr>
          <w:lang w:val="en-GB"/>
        </w:rPr>
        <w:t>.</w:t>
      </w:r>
      <w:r w:rsidR="00830492">
        <w:rPr>
          <w:rStyle w:val="FootnoteReference"/>
          <w:lang w:val="en-GB"/>
        </w:rPr>
        <w:footnoteReference w:id="789"/>
      </w:r>
      <w:r w:rsidRPr="00C2188F">
        <w:rPr>
          <w:lang w:val="en-GB"/>
        </w:rPr>
        <w:t xml:space="preserve"> </w:t>
      </w:r>
      <w:r>
        <w:rPr>
          <w:lang w:val="en-GB"/>
        </w:rPr>
        <w:t>Afterward</w:t>
      </w:r>
      <w:r w:rsidR="0005285E">
        <w:rPr>
          <w:lang w:val="en-GB"/>
        </w:rPr>
        <w:t>s</w:t>
      </w:r>
      <w:r>
        <w:rPr>
          <w:lang w:val="en-GB"/>
        </w:rPr>
        <w:t>, she</w:t>
      </w:r>
      <w:r w:rsidRPr="00C2188F">
        <w:rPr>
          <w:lang w:val="en-GB"/>
        </w:rPr>
        <w:t xml:space="preserve"> can go</w:t>
      </w:r>
      <w:r>
        <w:rPr>
          <w:lang w:val="en-GB"/>
        </w:rPr>
        <w:t>.</w:t>
      </w:r>
      <w:r w:rsidR="0005285E">
        <w:rPr>
          <w:lang w:val="en-GB"/>
        </w:rPr>
        <w:t xml:space="preserve">” </w:t>
      </w:r>
      <w:r w:rsidR="0005285E">
        <w:rPr>
          <w:vertAlign w:val="superscript"/>
          <w:lang w:val="en-GB"/>
        </w:rPr>
        <w:t>56</w:t>
      </w:r>
      <w:r w:rsidRPr="00C2188F">
        <w:rPr>
          <w:lang w:val="en-GB"/>
        </w:rPr>
        <w:t>He said to them,</w:t>
      </w:r>
      <w:r w:rsidR="0005285E">
        <w:rPr>
          <w:lang w:val="en-GB"/>
        </w:rPr>
        <w:t xml:space="preserve"> “</w:t>
      </w:r>
      <w:r w:rsidRPr="00C2188F">
        <w:rPr>
          <w:lang w:val="en-GB"/>
        </w:rPr>
        <w:t>Don</w:t>
      </w:r>
      <w:r>
        <w:rPr>
          <w:lang w:val="en-GB"/>
        </w:rPr>
        <w:t>’</w:t>
      </w:r>
      <w:r w:rsidR="00ED5BD3">
        <w:rPr>
          <w:lang w:val="en-GB"/>
        </w:rPr>
        <w:t>t make me delay, in that</w:t>
      </w:r>
      <w:r w:rsidRPr="00C2188F">
        <w:rPr>
          <w:lang w:val="en-GB"/>
        </w:rPr>
        <w:t xml:space="preserve"> Yahweh has made my journey successful. Send me off so I can go to my </w:t>
      </w:r>
      <w:r w:rsidR="0005285E">
        <w:rPr>
          <w:lang w:val="en-GB"/>
        </w:rPr>
        <w:t>lord</w:t>
      </w:r>
      <w:r>
        <w:rPr>
          <w:lang w:val="en-GB"/>
        </w:rPr>
        <w:t>.</w:t>
      </w:r>
      <w:r w:rsidR="0005285E">
        <w:rPr>
          <w:lang w:val="en-GB"/>
        </w:rPr>
        <w:t>”</w:t>
      </w:r>
      <w:r w:rsidRPr="00C2188F">
        <w:rPr>
          <w:lang w:val="en-GB"/>
        </w:rPr>
        <w:t xml:space="preserve"> </w:t>
      </w:r>
      <w:r w:rsidR="0005285E">
        <w:rPr>
          <w:vertAlign w:val="superscript"/>
          <w:lang w:val="en-GB"/>
        </w:rPr>
        <w:t>57</w:t>
      </w:r>
      <w:r w:rsidRPr="00C2188F">
        <w:rPr>
          <w:lang w:val="en-GB"/>
        </w:rPr>
        <w:t>They said,</w:t>
      </w:r>
      <w:r w:rsidR="0005285E">
        <w:rPr>
          <w:lang w:val="en-GB"/>
        </w:rPr>
        <w:t xml:space="preserve"> “</w:t>
      </w:r>
      <w:r>
        <w:rPr>
          <w:lang w:val="en-GB"/>
        </w:rPr>
        <w:t>Let’s</w:t>
      </w:r>
      <w:r w:rsidRPr="00C2188F">
        <w:rPr>
          <w:lang w:val="en-GB"/>
        </w:rPr>
        <w:t xml:space="preserve"> call the girl and </w:t>
      </w:r>
      <w:r>
        <w:rPr>
          <w:lang w:val="en-GB"/>
        </w:rPr>
        <w:t>ask for her</w:t>
      </w:r>
      <w:r w:rsidR="0005285E">
        <w:rPr>
          <w:lang w:val="en-GB"/>
        </w:rPr>
        <w:t xml:space="preserve"> bidding</w:t>
      </w:r>
      <w:r>
        <w:rPr>
          <w:lang w:val="en-GB"/>
        </w:rPr>
        <w:t>.</w:t>
      </w:r>
      <w:r w:rsidR="0005285E">
        <w:rPr>
          <w:lang w:val="en-GB"/>
        </w:rPr>
        <w:t>”</w:t>
      </w:r>
      <w:r w:rsidRPr="00C2188F">
        <w:rPr>
          <w:lang w:val="en-GB"/>
        </w:rPr>
        <w:t xml:space="preserve"> </w:t>
      </w:r>
      <w:r w:rsidR="0005285E">
        <w:rPr>
          <w:vertAlign w:val="superscript"/>
          <w:lang w:val="en-GB"/>
        </w:rPr>
        <w:t>58</w:t>
      </w:r>
      <w:r>
        <w:rPr>
          <w:lang w:val="en-GB"/>
        </w:rPr>
        <w:t>T</w:t>
      </w:r>
      <w:r w:rsidR="0005285E">
        <w:rPr>
          <w:lang w:val="en-GB"/>
        </w:rPr>
        <w:t>hey called Ribq</w:t>
      </w:r>
      <w:r w:rsidRPr="00C2188F">
        <w:rPr>
          <w:lang w:val="en-GB"/>
        </w:rPr>
        <w:t>ah and said to her,</w:t>
      </w:r>
      <w:r w:rsidR="0005285E">
        <w:rPr>
          <w:lang w:val="en-GB"/>
        </w:rPr>
        <w:t xml:space="preserve"> “</w:t>
      </w:r>
      <w:r w:rsidRPr="00C2188F">
        <w:rPr>
          <w:lang w:val="en-GB"/>
        </w:rPr>
        <w:t>Will you go with this man</w:t>
      </w:r>
      <w:r w:rsidR="0005285E">
        <w:rPr>
          <w:lang w:val="en-GB"/>
        </w:rPr>
        <w:t>?”</w:t>
      </w:r>
      <w:r w:rsidRPr="00C2188F">
        <w:rPr>
          <w:lang w:val="en-GB"/>
        </w:rPr>
        <w:t xml:space="preserve"> She said,</w:t>
      </w:r>
      <w:r w:rsidR="0005285E">
        <w:rPr>
          <w:lang w:val="en-GB"/>
        </w:rPr>
        <w:t xml:space="preserve"> “</w:t>
      </w:r>
      <w:r w:rsidRPr="00C2188F">
        <w:rPr>
          <w:lang w:val="en-GB"/>
        </w:rPr>
        <w:t>I</w:t>
      </w:r>
      <w:r>
        <w:rPr>
          <w:lang w:val="en-GB"/>
        </w:rPr>
        <w:t>’</w:t>
      </w:r>
      <w:r w:rsidRPr="00C2188F">
        <w:rPr>
          <w:lang w:val="en-GB"/>
        </w:rPr>
        <w:t>ll go</w:t>
      </w:r>
      <w:r>
        <w:rPr>
          <w:lang w:val="en-GB"/>
        </w:rPr>
        <w:t>.</w:t>
      </w:r>
      <w:r w:rsidR="0005285E">
        <w:rPr>
          <w:lang w:val="en-GB"/>
        </w:rPr>
        <w:t>”</w:t>
      </w:r>
      <w:r w:rsidR="003E2A19">
        <w:rPr>
          <w:lang w:val="en-GB"/>
        </w:rPr>
        <w:t xml:space="preserve"> </w:t>
      </w:r>
      <w:r w:rsidR="003E2A19">
        <w:rPr>
          <w:vertAlign w:val="superscript"/>
          <w:lang w:val="en-GB"/>
        </w:rPr>
        <w:t>59</w:t>
      </w:r>
      <w:r w:rsidRPr="00C2188F">
        <w:rPr>
          <w:lang w:val="en-GB"/>
        </w:rPr>
        <w:t xml:space="preserve">So they sent </w:t>
      </w:r>
      <w:r w:rsidR="0005285E">
        <w:rPr>
          <w:lang w:val="en-GB"/>
        </w:rPr>
        <w:t>Ribqa</w:t>
      </w:r>
      <w:r>
        <w:rPr>
          <w:lang w:val="en-GB"/>
        </w:rPr>
        <w:t>h their sister</w:t>
      </w:r>
      <w:r w:rsidRPr="00C2188F">
        <w:rPr>
          <w:lang w:val="en-GB"/>
        </w:rPr>
        <w:t xml:space="preserve"> off, with her nanny and Abraham</w:t>
      </w:r>
      <w:r>
        <w:rPr>
          <w:lang w:val="en-GB"/>
        </w:rPr>
        <w:t>’</w:t>
      </w:r>
      <w:r w:rsidR="0005285E">
        <w:rPr>
          <w:lang w:val="en-GB"/>
        </w:rPr>
        <w:t xml:space="preserve">s servant and his men. </w:t>
      </w:r>
      <w:r w:rsidR="0005285E">
        <w:rPr>
          <w:vertAlign w:val="superscript"/>
          <w:lang w:val="en-GB"/>
        </w:rPr>
        <w:t>60</w:t>
      </w:r>
      <w:r w:rsidR="0005285E">
        <w:rPr>
          <w:lang w:val="en-GB"/>
        </w:rPr>
        <w:t>They blessed Ribqa</w:t>
      </w:r>
      <w:r w:rsidRPr="00C2188F">
        <w:rPr>
          <w:lang w:val="en-GB"/>
        </w:rPr>
        <w:t>h and said to her,</w:t>
      </w:r>
      <w:r w:rsidR="0005285E">
        <w:rPr>
          <w:lang w:val="en-GB"/>
        </w:rPr>
        <w:t xml:space="preserve"> “</w:t>
      </w:r>
      <w:r>
        <w:rPr>
          <w:lang w:val="en-GB"/>
        </w:rPr>
        <w:t>Our sister, may you become</w:t>
      </w:r>
      <w:r w:rsidRPr="00C2188F">
        <w:rPr>
          <w:lang w:val="en-GB"/>
        </w:rPr>
        <w:t xml:space="preserve"> thousands of myriads, and may your o</w:t>
      </w:r>
      <w:r>
        <w:rPr>
          <w:lang w:val="en-GB"/>
        </w:rPr>
        <w:t>ffspring take possessio</w:t>
      </w:r>
      <w:r w:rsidR="00A81599">
        <w:rPr>
          <w:lang w:val="en-GB"/>
        </w:rPr>
        <w:t xml:space="preserve">n of the </w:t>
      </w:r>
      <w:r w:rsidR="00B814B0">
        <w:rPr>
          <w:lang w:val="en-GB"/>
        </w:rPr>
        <w:t>gateway</w:t>
      </w:r>
      <w:r w:rsidR="00A81599">
        <w:rPr>
          <w:lang w:val="en-GB"/>
        </w:rPr>
        <w:t xml:space="preserve"> of people who are hostile to them</w:t>
      </w:r>
      <w:r>
        <w:rPr>
          <w:lang w:val="en-GB"/>
        </w:rPr>
        <w:t>.</w:t>
      </w:r>
      <w:r w:rsidR="0005285E">
        <w:rPr>
          <w:lang w:val="en-GB"/>
        </w:rPr>
        <w:t>”</w:t>
      </w:r>
      <w:r w:rsidRPr="00C2188F">
        <w:rPr>
          <w:lang w:val="en-GB"/>
        </w:rPr>
        <w:t xml:space="preserve"> </w:t>
      </w:r>
      <w:r w:rsidR="0005285E">
        <w:rPr>
          <w:vertAlign w:val="superscript"/>
          <w:lang w:val="en-GB"/>
        </w:rPr>
        <w:t>61</w:t>
      </w:r>
      <w:r w:rsidR="0005285E">
        <w:rPr>
          <w:lang w:val="en-GB"/>
        </w:rPr>
        <w:t>Ribq</w:t>
      </w:r>
      <w:r>
        <w:rPr>
          <w:lang w:val="en-GB"/>
        </w:rPr>
        <w:t xml:space="preserve">ah </w:t>
      </w:r>
      <w:r w:rsidR="00347BE9">
        <w:rPr>
          <w:lang w:val="en-GB"/>
        </w:rPr>
        <w:t>got up, she and</w:t>
      </w:r>
      <w:r w:rsidR="009F4B2D">
        <w:rPr>
          <w:lang w:val="en-GB"/>
        </w:rPr>
        <w:t xml:space="preserve"> her girls</w:t>
      </w:r>
      <w:r>
        <w:rPr>
          <w:lang w:val="en-GB"/>
        </w:rPr>
        <w:t>,</w:t>
      </w:r>
      <w:r w:rsidRPr="00C2188F">
        <w:rPr>
          <w:lang w:val="en-GB"/>
        </w:rPr>
        <w:t xml:space="preserve"> </w:t>
      </w:r>
      <w:r w:rsidR="009F4B2D">
        <w:rPr>
          <w:lang w:val="en-GB"/>
        </w:rPr>
        <w:t xml:space="preserve">and they </w:t>
      </w:r>
      <w:r w:rsidRPr="00C2188F">
        <w:rPr>
          <w:lang w:val="en-GB"/>
        </w:rPr>
        <w:t>m</w:t>
      </w:r>
      <w:r w:rsidR="009F4B2D">
        <w:rPr>
          <w:lang w:val="en-GB"/>
        </w:rPr>
        <w:t>ounted their camels</w:t>
      </w:r>
      <w:r>
        <w:rPr>
          <w:lang w:val="en-GB"/>
        </w:rPr>
        <w:t xml:space="preserve"> and followed</w:t>
      </w:r>
      <w:r w:rsidRPr="00C2188F">
        <w:rPr>
          <w:lang w:val="en-GB"/>
        </w:rPr>
        <w:t xml:space="preserve"> the man. </w:t>
      </w:r>
    </w:p>
    <w:p w14:paraId="6935D6AF" w14:textId="0EA9B68F" w:rsidR="00FF78B5" w:rsidRDefault="00FF78B5" w:rsidP="00FF78B5">
      <w:pPr>
        <w:rPr>
          <w:lang w:val="en-GB"/>
        </w:rPr>
      </w:pPr>
      <w:r w:rsidRPr="00C2188F">
        <w:rPr>
          <w:lang w:val="en-GB"/>
        </w:rPr>
        <w:t>So the se</w:t>
      </w:r>
      <w:r w:rsidR="00196B48">
        <w:rPr>
          <w:lang w:val="en-GB"/>
        </w:rPr>
        <w:t xml:space="preserve">rvant </w:t>
      </w:r>
      <w:r w:rsidR="004002A3">
        <w:rPr>
          <w:lang w:val="en-GB"/>
        </w:rPr>
        <w:t>got</w:t>
      </w:r>
      <w:r w:rsidR="00196B48">
        <w:rPr>
          <w:lang w:val="en-GB"/>
        </w:rPr>
        <w:t xml:space="preserve"> Ribq</w:t>
      </w:r>
      <w:r w:rsidR="0005285E">
        <w:rPr>
          <w:lang w:val="en-GB"/>
        </w:rPr>
        <w:t xml:space="preserve">ah and went. </w:t>
      </w:r>
      <w:r w:rsidR="0005285E">
        <w:rPr>
          <w:vertAlign w:val="superscript"/>
          <w:lang w:val="en-GB"/>
        </w:rPr>
        <w:t>62</w:t>
      </w:r>
      <w:r w:rsidRPr="00C2188F">
        <w:rPr>
          <w:lang w:val="en-GB"/>
        </w:rPr>
        <w:t xml:space="preserve">Now </w:t>
      </w:r>
      <w:r w:rsidR="008B1998">
        <w:rPr>
          <w:lang w:val="en-GB"/>
        </w:rPr>
        <w:t>Yiṣḥaq</w:t>
      </w:r>
      <w:r w:rsidRPr="00C2188F">
        <w:rPr>
          <w:lang w:val="en-GB"/>
        </w:rPr>
        <w:t xml:space="preserve"> had come from </w:t>
      </w:r>
      <w:r>
        <w:rPr>
          <w:lang w:val="en-GB"/>
        </w:rPr>
        <w:t>where you come</w:t>
      </w:r>
      <w:r w:rsidRPr="00C2188F">
        <w:rPr>
          <w:lang w:val="en-GB"/>
        </w:rPr>
        <w:t xml:space="preserve"> to </w:t>
      </w:r>
      <w:r w:rsidR="002A69CA">
        <w:rPr>
          <w:lang w:val="en-GB"/>
        </w:rPr>
        <w:t>t</w:t>
      </w:r>
      <w:r w:rsidRPr="00D87042">
        <w:rPr>
          <w:lang w:val="en-GB"/>
        </w:rPr>
        <w:t>h</w:t>
      </w:r>
      <w:r w:rsidR="00196B48">
        <w:rPr>
          <w:lang w:val="en-GB"/>
        </w:rPr>
        <w:t xml:space="preserve">e </w:t>
      </w:r>
      <w:r w:rsidR="00196B48" w:rsidRPr="00196B48">
        <w:rPr>
          <w:lang w:val="en-GB"/>
        </w:rPr>
        <w:t>Ḥay Ro’i Well</w:t>
      </w:r>
      <w:r w:rsidR="002A69CA">
        <w:rPr>
          <w:lang w:val="en-GB"/>
        </w:rPr>
        <w:t>;</w:t>
      </w:r>
      <w:r w:rsidR="00F42072">
        <w:rPr>
          <w:rStyle w:val="FootnoteReference"/>
          <w:lang w:val="en-GB"/>
        </w:rPr>
        <w:footnoteReference w:id="790"/>
      </w:r>
      <w:r w:rsidR="002A69CA">
        <w:rPr>
          <w:lang w:val="en-GB"/>
        </w:rPr>
        <w:t xml:space="preserve"> he was liv</w:t>
      </w:r>
      <w:r w:rsidRPr="00C2188F">
        <w:rPr>
          <w:lang w:val="en-GB"/>
        </w:rPr>
        <w:t xml:space="preserve">ing in the </w:t>
      </w:r>
      <w:r w:rsidR="006C2DA7">
        <w:rPr>
          <w:lang w:val="en-GB"/>
        </w:rPr>
        <w:t>southland</w:t>
      </w:r>
      <w:r w:rsidR="0005285E">
        <w:rPr>
          <w:lang w:val="en-GB"/>
        </w:rPr>
        <w:t xml:space="preserve"> region. </w:t>
      </w:r>
      <w:r w:rsidR="0005285E">
        <w:rPr>
          <w:vertAlign w:val="superscript"/>
          <w:lang w:val="en-GB"/>
        </w:rPr>
        <w:t>63</w:t>
      </w:r>
      <w:r w:rsidR="008B1998">
        <w:rPr>
          <w:lang w:val="en-GB"/>
        </w:rPr>
        <w:t>Yiṣḥaq</w:t>
      </w:r>
      <w:r>
        <w:rPr>
          <w:lang w:val="en-GB"/>
        </w:rPr>
        <w:t xml:space="preserve"> had gone out to </w:t>
      </w:r>
      <w:r w:rsidRPr="00C2188F">
        <w:rPr>
          <w:lang w:val="en-GB"/>
        </w:rPr>
        <w:t>think</w:t>
      </w:r>
      <w:r w:rsidR="007B23BC">
        <w:rPr>
          <w:rStyle w:val="FootnoteReference"/>
          <w:lang w:val="en-GB"/>
        </w:rPr>
        <w:footnoteReference w:id="791"/>
      </w:r>
      <w:r w:rsidRPr="00C2188F">
        <w:rPr>
          <w:lang w:val="en-GB"/>
        </w:rPr>
        <w:t xml:space="preserve"> in the </w:t>
      </w:r>
      <w:r>
        <w:rPr>
          <w:lang w:val="en-GB"/>
        </w:rPr>
        <w:t>open country</w:t>
      </w:r>
      <w:r w:rsidR="00B55AEA">
        <w:rPr>
          <w:lang w:val="en-GB"/>
        </w:rPr>
        <w:t>,</w:t>
      </w:r>
      <w:r>
        <w:rPr>
          <w:lang w:val="en-GB"/>
        </w:rPr>
        <w:t xml:space="preserve"> as</w:t>
      </w:r>
      <w:r w:rsidRPr="00C2188F">
        <w:rPr>
          <w:lang w:val="en-GB"/>
        </w:rPr>
        <w:t xml:space="preserve"> evening</w:t>
      </w:r>
      <w:r>
        <w:rPr>
          <w:lang w:val="en-GB"/>
        </w:rPr>
        <w:t xml:space="preserve"> turned its face</w:t>
      </w:r>
      <w:r w:rsidRPr="00C2188F">
        <w:rPr>
          <w:lang w:val="en-GB"/>
        </w:rPr>
        <w:t>. H</w:t>
      </w:r>
      <w:r>
        <w:rPr>
          <w:lang w:val="en-GB"/>
        </w:rPr>
        <w:t>e lifted his eyes and saw: there,</w:t>
      </w:r>
      <w:r w:rsidRPr="00C2188F">
        <w:rPr>
          <w:lang w:val="en-GB"/>
        </w:rPr>
        <w:t xml:space="preserve"> camels coming. </w:t>
      </w:r>
    </w:p>
    <w:p w14:paraId="4AA2B2D3" w14:textId="0B777D2D" w:rsidR="00FF78B5" w:rsidRPr="00C2188F" w:rsidRDefault="008B1998" w:rsidP="00E35AA7">
      <w:pPr>
        <w:rPr>
          <w:lang w:val="en-GB"/>
        </w:rPr>
      </w:pPr>
      <w:r>
        <w:rPr>
          <w:vertAlign w:val="superscript"/>
          <w:lang w:val="en-GB"/>
        </w:rPr>
        <w:t>6</w:t>
      </w:r>
      <w:r w:rsidR="00D4151B">
        <w:rPr>
          <w:vertAlign w:val="superscript"/>
          <w:lang w:val="en-GB"/>
        </w:rPr>
        <w:t>4</w:t>
      </w:r>
      <w:r w:rsidR="006218D3">
        <w:rPr>
          <w:lang w:val="en-GB"/>
        </w:rPr>
        <w:t>R</w:t>
      </w:r>
      <w:r w:rsidR="00196B48">
        <w:rPr>
          <w:lang w:val="en-GB"/>
        </w:rPr>
        <w:t>ibq</w:t>
      </w:r>
      <w:r w:rsidR="00FF78B5">
        <w:rPr>
          <w:lang w:val="en-GB"/>
        </w:rPr>
        <w:t>ah lifted her eyes</w:t>
      </w:r>
      <w:r w:rsidR="00FB41A8">
        <w:rPr>
          <w:lang w:val="en-GB"/>
        </w:rPr>
        <w:t xml:space="preserve"> and</w:t>
      </w:r>
      <w:r w:rsidR="00FF78B5" w:rsidRPr="00C2188F">
        <w:rPr>
          <w:lang w:val="en-GB"/>
        </w:rPr>
        <w:t xml:space="preserve"> saw </w:t>
      </w:r>
      <w:r>
        <w:rPr>
          <w:lang w:val="en-GB"/>
        </w:rPr>
        <w:t>Yiṣḥaq</w:t>
      </w:r>
      <w:r w:rsidR="001066EA">
        <w:rPr>
          <w:lang w:val="en-GB"/>
        </w:rPr>
        <w:t>, and</w:t>
      </w:r>
      <w:r w:rsidR="00FF78B5">
        <w:rPr>
          <w:lang w:val="en-GB"/>
        </w:rPr>
        <w:t xml:space="preserve"> jumped down</w:t>
      </w:r>
      <w:r w:rsidR="001066EA">
        <w:rPr>
          <w:rStyle w:val="FootnoteReference"/>
          <w:lang w:val="en-GB"/>
        </w:rPr>
        <w:footnoteReference w:id="792"/>
      </w:r>
      <w:r w:rsidR="00FF78B5">
        <w:rPr>
          <w:lang w:val="en-GB"/>
        </w:rPr>
        <w:t xml:space="preserve"> from </w:t>
      </w:r>
      <w:r w:rsidR="001066EA">
        <w:rPr>
          <w:lang w:val="en-GB"/>
        </w:rPr>
        <w:t>on the</w:t>
      </w:r>
      <w:r>
        <w:rPr>
          <w:lang w:val="en-GB"/>
        </w:rPr>
        <w:t xml:space="preserve"> camel</w:t>
      </w:r>
      <w:r w:rsidR="001066EA">
        <w:rPr>
          <w:lang w:val="en-GB"/>
        </w:rPr>
        <w:t>.</w:t>
      </w:r>
      <w:r>
        <w:rPr>
          <w:lang w:val="en-GB"/>
        </w:rPr>
        <w:t xml:space="preserve"> </w:t>
      </w:r>
      <w:r>
        <w:rPr>
          <w:vertAlign w:val="superscript"/>
          <w:lang w:val="en-GB"/>
        </w:rPr>
        <w:t>65</w:t>
      </w:r>
      <w:r w:rsidR="001066EA">
        <w:rPr>
          <w:lang w:val="en-GB"/>
        </w:rPr>
        <w:t>She</w:t>
      </w:r>
      <w:r w:rsidR="00FF78B5" w:rsidRPr="00C2188F">
        <w:rPr>
          <w:lang w:val="en-GB"/>
        </w:rPr>
        <w:t xml:space="preserve"> said to the servant,</w:t>
      </w:r>
      <w:r>
        <w:rPr>
          <w:lang w:val="en-GB"/>
        </w:rPr>
        <w:t xml:space="preserve"> “</w:t>
      </w:r>
      <w:r w:rsidR="00FF78B5">
        <w:rPr>
          <w:lang w:val="en-GB"/>
        </w:rPr>
        <w:t>Who’</w:t>
      </w:r>
      <w:r w:rsidR="00FF78B5" w:rsidRPr="00C2188F">
        <w:rPr>
          <w:lang w:val="en-GB"/>
        </w:rPr>
        <w:t>s tha</w:t>
      </w:r>
      <w:r w:rsidR="00FF78B5">
        <w:rPr>
          <w:lang w:val="en-GB"/>
        </w:rPr>
        <w:t>t man walking in the open country</w:t>
      </w:r>
      <w:r w:rsidR="00FF78B5" w:rsidRPr="00C2188F">
        <w:rPr>
          <w:lang w:val="en-GB"/>
        </w:rPr>
        <w:t xml:space="preserve"> about to meet us</w:t>
      </w:r>
      <w:r>
        <w:rPr>
          <w:lang w:val="en-GB"/>
        </w:rPr>
        <w:t>?”</w:t>
      </w:r>
      <w:r w:rsidR="00FF78B5" w:rsidRPr="00C2188F">
        <w:rPr>
          <w:lang w:val="en-GB"/>
        </w:rPr>
        <w:t xml:space="preserve"> The servant said,</w:t>
      </w:r>
      <w:r>
        <w:rPr>
          <w:lang w:val="en-GB"/>
        </w:rPr>
        <w:t xml:space="preserve"> “</w:t>
      </w:r>
      <w:r w:rsidR="00FF78B5" w:rsidRPr="00C2188F">
        <w:rPr>
          <w:lang w:val="en-GB"/>
        </w:rPr>
        <w:t>That</w:t>
      </w:r>
      <w:r w:rsidR="00FF78B5">
        <w:rPr>
          <w:lang w:val="en-GB"/>
        </w:rPr>
        <w:t>’</w:t>
      </w:r>
      <w:r w:rsidR="00FF78B5" w:rsidRPr="00C2188F">
        <w:rPr>
          <w:lang w:val="en-GB"/>
        </w:rPr>
        <w:t xml:space="preserve">s my </w:t>
      </w:r>
      <w:r>
        <w:rPr>
          <w:lang w:val="en-GB"/>
        </w:rPr>
        <w:t>lord</w:t>
      </w:r>
      <w:r w:rsidR="00FF78B5">
        <w:rPr>
          <w:lang w:val="en-GB"/>
        </w:rPr>
        <w:t>.</w:t>
      </w:r>
      <w:r>
        <w:rPr>
          <w:lang w:val="en-GB"/>
        </w:rPr>
        <w:t>”</w:t>
      </w:r>
      <w:r w:rsidR="00FF78B5" w:rsidRPr="00C2188F">
        <w:rPr>
          <w:lang w:val="en-GB"/>
        </w:rPr>
        <w:t xml:space="preserve"> S</w:t>
      </w:r>
      <w:r w:rsidR="00B55AEA">
        <w:rPr>
          <w:lang w:val="en-GB"/>
        </w:rPr>
        <w:t>o s</w:t>
      </w:r>
      <w:r w:rsidR="00FF78B5" w:rsidRPr="00C2188F">
        <w:rPr>
          <w:lang w:val="en-GB"/>
        </w:rPr>
        <w:t xml:space="preserve">he </w:t>
      </w:r>
      <w:r w:rsidR="004002A3">
        <w:rPr>
          <w:lang w:val="en-GB"/>
        </w:rPr>
        <w:t>got</w:t>
      </w:r>
      <w:r w:rsidR="00FF78B5" w:rsidRPr="00C2188F">
        <w:rPr>
          <w:lang w:val="en-GB"/>
        </w:rPr>
        <w:t xml:space="preserve"> h</w:t>
      </w:r>
      <w:r>
        <w:rPr>
          <w:lang w:val="en-GB"/>
        </w:rPr>
        <w:t xml:space="preserve">er veil and covered herself. </w:t>
      </w:r>
      <w:r>
        <w:rPr>
          <w:vertAlign w:val="superscript"/>
          <w:lang w:val="en-GB"/>
        </w:rPr>
        <w:t>66</w:t>
      </w:r>
      <w:r>
        <w:rPr>
          <w:lang w:val="en-GB"/>
        </w:rPr>
        <w:t>T</w:t>
      </w:r>
      <w:r w:rsidR="00FF78B5" w:rsidRPr="00C2188F">
        <w:rPr>
          <w:lang w:val="en-GB"/>
        </w:rPr>
        <w:t xml:space="preserve">he servant told </w:t>
      </w:r>
      <w:r>
        <w:rPr>
          <w:lang w:val="en-GB"/>
        </w:rPr>
        <w:t>Yiṣḥaq</w:t>
      </w:r>
      <w:r w:rsidR="00FF78B5" w:rsidRPr="00C2188F">
        <w:rPr>
          <w:lang w:val="en-GB"/>
        </w:rPr>
        <w:t xml:space="preserve"> all </w:t>
      </w:r>
      <w:r w:rsidR="00FF78B5">
        <w:rPr>
          <w:lang w:val="en-GB"/>
        </w:rPr>
        <w:t xml:space="preserve">the things </w:t>
      </w:r>
      <w:r w:rsidR="00FF78B5" w:rsidRPr="00C2188F">
        <w:rPr>
          <w:lang w:val="en-GB"/>
        </w:rPr>
        <w:t>that he</w:t>
      </w:r>
      <w:r w:rsidR="00FF78B5">
        <w:rPr>
          <w:lang w:val="en-GB"/>
        </w:rPr>
        <w:t>’</w:t>
      </w:r>
      <w:r w:rsidR="00FF78B5" w:rsidRPr="00C2188F">
        <w:rPr>
          <w:lang w:val="en-GB"/>
        </w:rPr>
        <w:t>d done</w:t>
      </w:r>
      <w:r w:rsidR="00E35AA7">
        <w:rPr>
          <w:lang w:val="en-GB"/>
        </w:rPr>
        <w:t xml:space="preserve">, </w:t>
      </w:r>
      <w:r>
        <w:rPr>
          <w:vertAlign w:val="superscript"/>
          <w:lang w:val="en-GB"/>
        </w:rPr>
        <w:lastRenderedPageBreak/>
        <w:t>67</w:t>
      </w:r>
      <w:r w:rsidR="00E35AA7">
        <w:rPr>
          <w:lang w:val="en-GB"/>
        </w:rPr>
        <w:t>and Y</w:t>
      </w:r>
      <w:r>
        <w:rPr>
          <w:lang w:val="en-GB"/>
        </w:rPr>
        <w:t>iṣḥaq</w:t>
      </w:r>
      <w:r w:rsidR="00347BE9">
        <w:rPr>
          <w:lang w:val="en-GB"/>
        </w:rPr>
        <w:t xml:space="preserve"> brought her into the tent</w:t>
      </w:r>
      <w:r w:rsidR="00FF78B5" w:rsidRPr="00C2188F">
        <w:rPr>
          <w:lang w:val="en-GB"/>
        </w:rPr>
        <w:t xml:space="preserve"> </w:t>
      </w:r>
      <w:r w:rsidR="00347BE9">
        <w:rPr>
          <w:lang w:val="en-GB"/>
        </w:rPr>
        <w:t>(</w:t>
      </w:r>
      <w:r w:rsidR="00FF78B5">
        <w:rPr>
          <w:lang w:val="en-GB"/>
        </w:rPr>
        <w:t>Sarah his mother</w:t>
      </w:r>
      <w:r w:rsidR="00347BE9">
        <w:rPr>
          <w:lang w:val="en-GB"/>
        </w:rPr>
        <w:t>’s)</w:t>
      </w:r>
      <w:r w:rsidR="00FF78B5" w:rsidRPr="00C2188F">
        <w:rPr>
          <w:lang w:val="en-GB"/>
        </w:rPr>
        <w:t>.</w:t>
      </w:r>
      <w:r w:rsidR="006218D3">
        <w:rPr>
          <w:rStyle w:val="FootnoteReference"/>
          <w:lang w:val="en-GB"/>
        </w:rPr>
        <w:footnoteReference w:id="793"/>
      </w:r>
      <w:r w:rsidR="00FF78B5" w:rsidRPr="00C2188F">
        <w:rPr>
          <w:lang w:val="en-GB"/>
        </w:rPr>
        <w:t xml:space="preserve"> </w:t>
      </w:r>
      <w:r w:rsidR="00B55AEA">
        <w:rPr>
          <w:lang w:val="en-GB"/>
        </w:rPr>
        <w:t>H</w:t>
      </w:r>
      <w:r w:rsidR="00D50CD2">
        <w:rPr>
          <w:lang w:val="en-GB"/>
        </w:rPr>
        <w:t>e got</w:t>
      </w:r>
      <w:r>
        <w:rPr>
          <w:lang w:val="en-GB"/>
        </w:rPr>
        <w:t xml:space="preserve"> Ribqa</w:t>
      </w:r>
      <w:r w:rsidR="00FF78B5">
        <w:rPr>
          <w:lang w:val="en-GB"/>
        </w:rPr>
        <w:t>h</w:t>
      </w:r>
      <w:r w:rsidR="00FF78B5" w:rsidRPr="00C2188F">
        <w:rPr>
          <w:lang w:val="en-GB"/>
        </w:rPr>
        <w:t xml:space="preserve"> and she becam</w:t>
      </w:r>
      <w:r w:rsidR="00D50CD2">
        <w:rPr>
          <w:lang w:val="en-GB"/>
        </w:rPr>
        <w:t>e his wife, and he loved her, and</w:t>
      </w:r>
      <w:r w:rsidR="00FF78B5" w:rsidRPr="00C2188F">
        <w:rPr>
          <w:lang w:val="en-GB"/>
        </w:rPr>
        <w:t xml:space="preserve"> </w:t>
      </w:r>
      <w:r>
        <w:rPr>
          <w:lang w:val="en-GB"/>
        </w:rPr>
        <w:t>Yiṣḥaq</w:t>
      </w:r>
      <w:r w:rsidR="00FF78B5" w:rsidRPr="00C2188F">
        <w:rPr>
          <w:lang w:val="en-GB"/>
        </w:rPr>
        <w:t xml:space="preserve"> found cons</w:t>
      </w:r>
      <w:r w:rsidR="00FF78B5">
        <w:rPr>
          <w:lang w:val="en-GB"/>
        </w:rPr>
        <w:t>olation after his mother</w:t>
      </w:r>
      <w:r w:rsidR="00FF78B5" w:rsidRPr="00C2188F">
        <w:rPr>
          <w:lang w:val="en-GB"/>
        </w:rPr>
        <w:t>.</w:t>
      </w:r>
    </w:p>
    <w:p w14:paraId="5EB324F6" w14:textId="77777777" w:rsidR="00FF78B5" w:rsidRPr="00C2188F" w:rsidRDefault="00FF78B5" w:rsidP="00FF78B5">
      <w:pPr>
        <w:pStyle w:val="Heading2"/>
      </w:pPr>
      <w:r>
        <w:t>Interpretation</w:t>
      </w:r>
    </w:p>
    <w:p w14:paraId="6B485C3E" w14:textId="34C7D0AD" w:rsidR="003B6839" w:rsidRPr="002C0314" w:rsidRDefault="003F73F8" w:rsidP="003B6839">
      <w:pPr>
        <w:rPr>
          <w:lang w:bidi="he-IL"/>
        </w:rPr>
      </w:pPr>
      <w:r>
        <w:rPr>
          <w:lang w:bidi="he-IL"/>
        </w:rPr>
        <w:t>Gen 24 tells its</w:t>
      </w:r>
      <w:r w:rsidR="00B76837">
        <w:rPr>
          <w:lang w:bidi="he-IL"/>
        </w:rPr>
        <w:t xml:space="preserve"> story at great length</w:t>
      </w:r>
      <w:r w:rsidR="009D13E8">
        <w:rPr>
          <w:lang w:bidi="he-IL"/>
        </w:rPr>
        <w:t>. I</w:t>
      </w:r>
      <w:r w:rsidR="004F2A44">
        <w:rPr>
          <w:lang w:bidi="he-IL"/>
        </w:rPr>
        <w:t>t is the longest short story</w:t>
      </w:r>
      <w:r w:rsidR="00210E2D">
        <w:rPr>
          <w:lang w:bidi="he-IL"/>
        </w:rPr>
        <w:t xml:space="preserve"> in Genesis</w:t>
      </w:r>
      <w:r w:rsidR="00CA69C7">
        <w:rPr>
          <w:lang w:bidi="he-IL"/>
        </w:rPr>
        <w:t>, longer than the creation narrative or the account</w:t>
      </w:r>
      <w:r w:rsidR="00665962">
        <w:rPr>
          <w:lang w:bidi="he-IL"/>
        </w:rPr>
        <w:t xml:space="preserve"> of God’s </w:t>
      </w:r>
      <w:r w:rsidR="00CA69C7">
        <w:rPr>
          <w:lang w:bidi="he-IL"/>
        </w:rPr>
        <w:t xml:space="preserve">making a </w:t>
      </w:r>
      <w:r w:rsidR="00665962">
        <w:rPr>
          <w:lang w:bidi="he-IL"/>
        </w:rPr>
        <w:t>covenant with Abraham,</w:t>
      </w:r>
      <w:r w:rsidR="00210E2D">
        <w:rPr>
          <w:rStyle w:val="FootnoteReference"/>
          <w:lang w:bidi="he-IL"/>
        </w:rPr>
        <w:footnoteReference w:id="794"/>
      </w:r>
      <w:r w:rsidR="00665962">
        <w:rPr>
          <w:lang w:bidi="he-IL"/>
        </w:rPr>
        <w:t xml:space="preserve"> and </w:t>
      </w:r>
      <w:r w:rsidR="00CA69C7">
        <w:rPr>
          <w:i/>
          <w:lang w:bidi="he-IL"/>
        </w:rPr>
        <w:t xml:space="preserve">GenR </w:t>
      </w:r>
      <w:r w:rsidR="002B3FE2">
        <w:rPr>
          <w:lang w:bidi="he-IL"/>
        </w:rPr>
        <w:t>60:8 notes the extraordinary phenomenon of its</w:t>
      </w:r>
      <w:r w:rsidR="00665962">
        <w:rPr>
          <w:lang w:bidi="he-IL"/>
        </w:rPr>
        <w:t xml:space="preserve"> length </w:t>
      </w:r>
      <w:r w:rsidR="00474637">
        <w:rPr>
          <w:lang w:bidi="he-IL"/>
        </w:rPr>
        <w:t>considering its lack of g</w:t>
      </w:r>
      <w:r w:rsidR="00FF127D">
        <w:rPr>
          <w:lang w:bidi="he-IL"/>
        </w:rPr>
        <w:t>reat signific</w:t>
      </w:r>
      <w:r w:rsidR="00474637">
        <w:rPr>
          <w:lang w:bidi="he-IL"/>
        </w:rPr>
        <w:t>a</w:t>
      </w:r>
      <w:r w:rsidR="00FF127D">
        <w:rPr>
          <w:lang w:bidi="he-IL"/>
        </w:rPr>
        <w:t>n</w:t>
      </w:r>
      <w:r w:rsidR="00474637">
        <w:rPr>
          <w:lang w:bidi="he-IL"/>
        </w:rPr>
        <w:t xml:space="preserve">ce for </w:t>
      </w:r>
      <w:proofErr w:type="gramStart"/>
      <w:r w:rsidR="00474637">
        <w:rPr>
          <w:lang w:bidi="he-IL"/>
        </w:rPr>
        <w:t>halakah</w:t>
      </w:r>
      <w:proofErr w:type="gramEnd"/>
      <w:r w:rsidR="00474637">
        <w:rPr>
          <w:lang w:bidi="he-IL"/>
        </w:rPr>
        <w:t>.</w:t>
      </w:r>
      <w:r w:rsidR="00210E2D">
        <w:rPr>
          <w:lang w:bidi="he-IL"/>
        </w:rPr>
        <w:t xml:space="preserve"> </w:t>
      </w:r>
      <w:r w:rsidR="00CA69C7">
        <w:rPr>
          <w:lang w:bidi="he-IL"/>
        </w:rPr>
        <w:t xml:space="preserve">It has </w:t>
      </w:r>
      <w:r w:rsidR="002B3FE2">
        <w:rPr>
          <w:lang w:bidi="he-IL"/>
        </w:rPr>
        <w:t>been describ</w:t>
      </w:r>
      <w:r w:rsidR="00DA3CA7" w:rsidRPr="00DA3CA7">
        <w:rPr>
          <w:lang w:bidi="he-IL"/>
        </w:rPr>
        <w:t>ed a</w:t>
      </w:r>
      <w:r w:rsidR="002B3FE2">
        <w:rPr>
          <w:lang w:bidi="he-IL"/>
        </w:rPr>
        <w:t>s a</w:t>
      </w:r>
      <w:r w:rsidR="00DA3CA7" w:rsidRPr="00DA3CA7">
        <w:rPr>
          <w:lang w:bidi="he-IL"/>
        </w:rPr>
        <w:t xml:space="preserve"> novella,</w:t>
      </w:r>
      <w:r w:rsidR="00DA3CA7">
        <w:rPr>
          <w:rStyle w:val="FootnoteReference"/>
          <w:lang w:bidi="he-IL"/>
        </w:rPr>
        <w:footnoteReference w:id="795"/>
      </w:r>
      <w:r w:rsidR="00DA3CA7" w:rsidRPr="00DA3CA7">
        <w:rPr>
          <w:lang w:bidi="he-IL"/>
        </w:rPr>
        <w:t xml:space="preserve"> </w:t>
      </w:r>
      <w:r w:rsidR="009A0E2D">
        <w:rPr>
          <w:lang w:bidi="he-IL"/>
        </w:rPr>
        <w:t xml:space="preserve">a short novel, </w:t>
      </w:r>
      <w:r w:rsidR="00DA3CA7" w:rsidRPr="00DA3CA7">
        <w:rPr>
          <w:lang w:bidi="he-IL"/>
        </w:rPr>
        <w:t>though in regular English usage a novella is much longer</w:t>
      </w:r>
      <w:r w:rsidR="00AA2E55">
        <w:rPr>
          <w:lang w:bidi="he-IL"/>
        </w:rPr>
        <w:t>, and that</w:t>
      </w:r>
      <w:r w:rsidR="00DA3CA7">
        <w:rPr>
          <w:lang w:bidi="he-IL"/>
        </w:rPr>
        <w:t xml:space="preserve"> term bette</w:t>
      </w:r>
      <w:r w:rsidR="00CA69C7">
        <w:rPr>
          <w:lang w:bidi="he-IL"/>
        </w:rPr>
        <w:t>r fits the Joseph story—which Gen 24 does resemble in the way it portrays</w:t>
      </w:r>
      <w:r w:rsidR="00DA3CA7">
        <w:rPr>
          <w:lang w:bidi="he-IL"/>
        </w:rPr>
        <w:t xml:space="preserve"> human actions and God’s involvement with them.</w:t>
      </w:r>
      <w:r w:rsidR="00DA3CA7">
        <w:rPr>
          <w:rStyle w:val="FootnoteReference"/>
          <w:lang w:bidi="he-IL"/>
        </w:rPr>
        <w:footnoteReference w:id="796"/>
      </w:r>
      <w:r w:rsidR="00DA3CA7" w:rsidRPr="00DA3CA7">
        <w:rPr>
          <w:lang w:bidi="he-IL"/>
        </w:rPr>
        <w:t xml:space="preserve"> </w:t>
      </w:r>
      <w:r w:rsidR="00210E2D">
        <w:rPr>
          <w:lang w:bidi="he-IL"/>
        </w:rPr>
        <w:t>Its length</w:t>
      </w:r>
      <w:r w:rsidR="00210E2D" w:rsidRPr="00210E2D">
        <w:rPr>
          <w:lang w:bidi="he-IL"/>
        </w:rPr>
        <w:t xml:space="preserve"> undersco</w:t>
      </w:r>
      <w:r w:rsidR="002B3FE2">
        <w:rPr>
          <w:lang w:bidi="he-IL"/>
        </w:rPr>
        <w:t>res the importance of finding</w:t>
      </w:r>
      <w:r w:rsidR="00CA69C7">
        <w:rPr>
          <w:lang w:bidi="he-IL"/>
        </w:rPr>
        <w:t xml:space="preserve"> a wife for Isaac in connection with</w:t>
      </w:r>
      <w:r w:rsidR="00210E2D">
        <w:rPr>
          <w:lang w:bidi="he-IL"/>
        </w:rPr>
        <w:t xml:space="preserve"> the fulfillment of Yahweh’s promises and purpose</w:t>
      </w:r>
      <w:r w:rsidR="007A553E">
        <w:rPr>
          <w:lang w:bidi="he-IL"/>
        </w:rPr>
        <w:t>: see v. 7</w:t>
      </w:r>
      <w:r w:rsidR="00210E2D">
        <w:rPr>
          <w:lang w:bidi="he-IL"/>
        </w:rPr>
        <w:t xml:space="preserve">. </w:t>
      </w:r>
      <w:r w:rsidR="00FF127D">
        <w:rPr>
          <w:lang w:bidi="he-IL"/>
        </w:rPr>
        <w:t>Yet t</w:t>
      </w:r>
      <w:r w:rsidR="002B3FE2">
        <w:rPr>
          <w:lang w:bidi="he-IL"/>
        </w:rPr>
        <w:t xml:space="preserve">he story </w:t>
      </w:r>
      <w:r w:rsidR="007A553E">
        <w:rPr>
          <w:lang w:bidi="he-IL"/>
        </w:rPr>
        <w:t>does not focus on</w:t>
      </w:r>
      <w:r w:rsidR="002B3FE2">
        <w:rPr>
          <w:lang w:bidi="he-IL"/>
        </w:rPr>
        <w:t xml:space="preserve"> that aspect of it significance</w:t>
      </w:r>
      <w:r w:rsidR="00D54A64">
        <w:rPr>
          <w:lang w:bidi="he-IL"/>
        </w:rPr>
        <w:t xml:space="preserve">, and in this sense </w:t>
      </w:r>
      <w:r w:rsidR="00A42120">
        <w:rPr>
          <w:lang w:bidi="he-IL"/>
        </w:rPr>
        <w:t xml:space="preserve">it </w:t>
      </w:r>
      <w:r w:rsidR="00D54A64">
        <w:rPr>
          <w:lang w:bidi="he-IL"/>
        </w:rPr>
        <w:t>rather parallels accounts of how Jacob and Moses acquired wives.</w:t>
      </w:r>
      <w:r w:rsidR="00CA69C7">
        <w:rPr>
          <w:lang w:bidi="he-IL"/>
        </w:rPr>
        <w:t xml:space="preserve"> It contrasts with these narratives</w:t>
      </w:r>
      <w:r w:rsidR="00D54A64">
        <w:rPr>
          <w:lang w:bidi="he-IL"/>
        </w:rPr>
        <w:t xml:space="preserve"> in telling</w:t>
      </w:r>
      <w:r w:rsidR="00CA69C7">
        <w:rPr>
          <w:lang w:bidi="he-IL"/>
        </w:rPr>
        <w:t xml:space="preserve"> its</w:t>
      </w:r>
      <w:r w:rsidR="00210E2D">
        <w:rPr>
          <w:lang w:bidi="he-IL"/>
        </w:rPr>
        <w:t xml:space="preserve"> story</w:t>
      </w:r>
      <w:r w:rsidR="00210E2D" w:rsidRPr="00210E2D">
        <w:rPr>
          <w:lang w:bidi="he-IL"/>
        </w:rPr>
        <w:t xml:space="preserve"> </w:t>
      </w:r>
      <w:r w:rsidR="00B76837">
        <w:rPr>
          <w:lang w:bidi="he-IL"/>
        </w:rPr>
        <w:t>with much re</w:t>
      </w:r>
      <w:r w:rsidR="002C0314">
        <w:rPr>
          <w:lang w:bidi="he-IL"/>
        </w:rPr>
        <w:t>petition, which is one aspect of the way d</w:t>
      </w:r>
      <w:r w:rsidR="002C0314" w:rsidRPr="002C0314">
        <w:rPr>
          <w:lang w:bidi="he-IL"/>
        </w:rPr>
        <w:t>ialog</w:t>
      </w:r>
      <w:r w:rsidR="009A0E2D">
        <w:rPr>
          <w:lang w:bidi="he-IL"/>
        </w:rPr>
        <w:t>ue again dominates it</w:t>
      </w:r>
      <w:r w:rsidR="002C0314">
        <w:rPr>
          <w:lang w:bidi="he-IL"/>
        </w:rPr>
        <w:t xml:space="preserve">. </w:t>
      </w:r>
      <w:r w:rsidR="009A0E2D">
        <w:rPr>
          <w:lang w:bidi="he-IL"/>
        </w:rPr>
        <w:t>Repetition is one of the marks of folk narrative,</w:t>
      </w:r>
      <w:r w:rsidR="009A0E2D">
        <w:rPr>
          <w:rStyle w:val="FootnoteReference"/>
          <w:lang w:bidi="he-IL"/>
        </w:rPr>
        <w:footnoteReference w:id="797"/>
      </w:r>
      <w:r w:rsidR="009A0E2D">
        <w:rPr>
          <w:lang w:bidi="he-IL"/>
        </w:rPr>
        <w:t xml:space="preserve"> but it is also a feature of literary art.</w:t>
      </w:r>
      <w:r w:rsidR="009A0E2D">
        <w:rPr>
          <w:rStyle w:val="FootnoteReference"/>
          <w:lang w:bidi="he-IL"/>
        </w:rPr>
        <w:footnoteReference w:id="798"/>
      </w:r>
      <w:r w:rsidR="003B6839">
        <w:rPr>
          <w:lang w:bidi="he-IL"/>
        </w:rPr>
        <w:t xml:space="preserve"> Here, t</w:t>
      </w:r>
      <w:r w:rsidR="002C0314">
        <w:rPr>
          <w:lang w:bidi="he-IL"/>
        </w:rPr>
        <w:t>he repetiti</w:t>
      </w:r>
      <w:r w:rsidR="002B3FE2">
        <w:rPr>
          <w:lang w:bidi="he-IL"/>
        </w:rPr>
        <w:t xml:space="preserve">on adds to its suspense and </w:t>
      </w:r>
      <w:r w:rsidR="00210E2D">
        <w:rPr>
          <w:lang w:bidi="he-IL"/>
        </w:rPr>
        <w:t xml:space="preserve">also </w:t>
      </w:r>
      <w:r w:rsidR="002C0314">
        <w:rPr>
          <w:lang w:bidi="he-IL"/>
        </w:rPr>
        <w:t xml:space="preserve">ultimately </w:t>
      </w:r>
      <w:r w:rsidR="00210E2D">
        <w:rPr>
          <w:lang w:bidi="he-IL"/>
        </w:rPr>
        <w:t xml:space="preserve">underscores the </w:t>
      </w:r>
      <w:r w:rsidR="00B76837">
        <w:rPr>
          <w:lang w:bidi="he-IL"/>
        </w:rPr>
        <w:t>involvement of Yahweh’s prov</w:t>
      </w:r>
      <w:r w:rsidR="00D54A64">
        <w:rPr>
          <w:lang w:bidi="he-IL"/>
        </w:rPr>
        <w:t xml:space="preserve">idence in </w:t>
      </w:r>
      <w:r w:rsidR="009A0E2D">
        <w:rPr>
          <w:lang w:bidi="he-IL"/>
        </w:rPr>
        <w:t>the process whereby the quest i</w:t>
      </w:r>
      <w:r w:rsidR="00D54A64">
        <w:rPr>
          <w:lang w:bidi="he-IL"/>
        </w:rPr>
        <w:t>s successful</w:t>
      </w:r>
      <w:r w:rsidR="00B76837">
        <w:rPr>
          <w:lang w:bidi="he-IL"/>
        </w:rPr>
        <w:t xml:space="preserve">. To put it in the terms of the etymology of the word </w:t>
      </w:r>
      <w:r w:rsidR="00D54A64">
        <w:rPr>
          <w:lang w:bidi="he-IL"/>
        </w:rPr>
        <w:t>“</w:t>
      </w:r>
      <w:r w:rsidR="00B76837">
        <w:rPr>
          <w:lang w:bidi="he-IL"/>
        </w:rPr>
        <w:t>providence</w:t>
      </w:r>
      <w:r w:rsidR="00D54A64">
        <w:rPr>
          <w:lang w:bidi="he-IL"/>
        </w:rPr>
        <w:t>”</w:t>
      </w:r>
      <w:r w:rsidR="00CA69C7">
        <w:rPr>
          <w:lang w:bidi="he-IL"/>
        </w:rPr>
        <w:t xml:space="preserve"> and in the terms used in Gen 22</w:t>
      </w:r>
      <w:r w:rsidR="00B76837">
        <w:rPr>
          <w:lang w:bidi="he-IL"/>
        </w:rPr>
        <w:t xml:space="preserve">, </w:t>
      </w:r>
      <w:r w:rsidR="002B3FE2">
        <w:rPr>
          <w:lang w:bidi="he-IL"/>
        </w:rPr>
        <w:t xml:space="preserve">the story relates how </w:t>
      </w:r>
      <w:r w:rsidR="00B76837">
        <w:rPr>
          <w:lang w:bidi="he-IL"/>
        </w:rPr>
        <w:t>Yahweh “sees to it.”</w:t>
      </w:r>
      <w:r w:rsidR="006E5B22">
        <w:rPr>
          <w:rStyle w:val="FootnoteReference"/>
          <w:lang w:bidi="he-IL"/>
        </w:rPr>
        <w:footnoteReference w:id="799"/>
      </w:r>
      <w:r w:rsidR="00CA69C7">
        <w:rPr>
          <w:lang w:bidi="he-IL"/>
        </w:rPr>
        <w:t xml:space="preserve"> </w:t>
      </w:r>
      <w:r w:rsidR="009A0E2D">
        <w:rPr>
          <w:lang w:bidi="he-IL"/>
        </w:rPr>
        <w:t xml:space="preserve">Another </w:t>
      </w:r>
      <w:r w:rsidR="00544D06">
        <w:rPr>
          <w:lang w:bidi="he-IL"/>
        </w:rPr>
        <w:t>rhe</w:t>
      </w:r>
      <w:r w:rsidR="0027092F">
        <w:rPr>
          <w:lang w:bidi="he-IL"/>
        </w:rPr>
        <w:t xml:space="preserve">torical feature </w:t>
      </w:r>
      <w:r w:rsidR="009A0E2D">
        <w:rPr>
          <w:lang w:bidi="he-IL"/>
        </w:rPr>
        <w:t>characteristic of Genesis is its use of backtracking</w:t>
      </w:r>
      <w:r w:rsidR="00E40AF7">
        <w:rPr>
          <w:lang w:bidi="he-IL"/>
        </w:rPr>
        <w:t>, describing</w:t>
      </w:r>
      <w:r w:rsidR="009A0E2D">
        <w:rPr>
          <w:lang w:bidi="he-IL"/>
        </w:rPr>
        <w:t xml:space="preserve"> an action and then going into reverse</w:t>
      </w:r>
      <w:r w:rsidR="00225812">
        <w:rPr>
          <w:lang w:bidi="he-IL"/>
        </w:rPr>
        <w:t xml:space="preserve"> to describe</w:t>
      </w:r>
      <w:r w:rsidR="0027092F">
        <w:rPr>
          <w:lang w:bidi="he-IL"/>
        </w:rPr>
        <w:t xml:space="preserve"> what led </w:t>
      </w:r>
      <w:r w:rsidR="00E40AF7">
        <w:rPr>
          <w:lang w:bidi="he-IL"/>
        </w:rPr>
        <w:t>to the action (see vv. 29b and 30, v. 67aα and the rest of v. 67).</w:t>
      </w:r>
      <w:r w:rsidR="003B6839">
        <w:rPr>
          <w:lang w:bidi="he-IL"/>
        </w:rPr>
        <w:t xml:space="preserve"> It</w:t>
      </w:r>
      <w:r w:rsidR="003B6839" w:rsidRPr="00544D06">
        <w:rPr>
          <w:lang w:bidi="he-IL"/>
        </w:rPr>
        <w:t xml:space="preserve"> has many points of contact with the stories on either side, so it is hardly of independent origin, though in a nice contrast, in later stories Rebekah and Laban are great schemers, whereas here they are the objects of God’s ma</w:t>
      </w:r>
      <w:r w:rsidR="003B6839">
        <w:rPr>
          <w:lang w:bidi="he-IL"/>
        </w:rPr>
        <w:t>neuvering.</w:t>
      </w:r>
      <w:r w:rsidR="003B6839" w:rsidRPr="00544D06">
        <w:rPr>
          <w:vertAlign w:val="superscript"/>
          <w:lang w:bidi="he-IL"/>
        </w:rPr>
        <w:footnoteReference w:id="800"/>
      </w:r>
      <w:r w:rsidR="003B6839">
        <w:rPr>
          <w:lang w:bidi="he-IL"/>
        </w:rPr>
        <w:t xml:space="preserve"> </w:t>
      </w:r>
      <w:r w:rsidR="003B6839" w:rsidRPr="002C0314">
        <w:rPr>
          <w:lang w:bidi="he-IL"/>
        </w:rPr>
        <w:t>In the terms of traditio</w:t>
      </w:r>
      <w:r w:rsidR="003B6839">
        <w:rPr>
          <w:lang w:bidi="he-IL"/>
        </w:rPr>
        <w:t xml:space="preserve">nal source criticism, it </w:t>
      </w:r>
      <w:r w:rsidR="003B6839" w:rsidRPr="002C0314">
        <w:rPr>
          <w:lang w:bidi="he-IL"/>
        </w:rPr>
        <w:t>comes from the J narrative</w:t>
      </w:r>
      <w:r w:rsidR="003B6839">
        <w:rPr>
          <w:lang w:bidi="he-IL"/>
        </w:rPr>
        <w:t xml:space="preserve"> about Abraham</w:t>
      </w:r>
      <w:r w:rsidR="003B6839" w:rsidRPr="002C0314">
        <w:rPr>
          <w:lang w:bidi="he-IL"/>
        </w:rPr>
        <w:t>.</w:t>
      </w:r>
    </w:p>
    <w:p w14:paraId="5B5A0B90" w14:textId="4842A12E" w:rsidR="00AA2E55" w:rsidRDefault="00225812" w:rsidP="003B6839">
      <w:pPr>
        <w:rPr>
          <w:lang w:bidi="he-IL"/>
        </w:rPr>
      </w:pPr>
      <w:r>
        <w:rPr>
          <w:lang w:bidi="he-IL"/>
        </w:rPr>
        <w:t>Though i</w:t>
      </w:r>
      <w:r w:rsidR="002C0314">
        <w:rPr>
          <w:lang w:bidi="he-IL"/>
        </w:rPr>
        <w:t xml:space="preserve">t is </w:t>
      </w:r>
      <w:r w:rsidR="00331A47">
        <w:rPr>
          <w:lang w:bidi="he-IL"/>
        </w:rPr>
        <w:t xml:space="preserve">the only detailed </w:t>
      </w:r>
      <w:r w:rsidR="003B6839">
        <w:rPr>
          <w:lang w:bidi="he-IL"/>
        </w:rPr>
        <w:t xml:space="preserve">scriptural </w:t>
      </w:r>
      <w:r w:rsidR="00331A47">
        <w:rPr>
          <w:lang w:bidi="he-IL"/>
        </w:rPr>
        <w:t>account of the arranging of a marriage</w:t>
      </w:r>
      <w:r>
        <w:rPr>
          <w:lang w:bidi="he-IL"/>
        </w:rPr>
        <w:t xml:space="preserve">, </w:t>
      </w:r>
      <w:r w:rsidR="003B6839">
        <w:rPr>
          <w:lang w:bidi="he-IL"/>
        </w:rPr>
        <w:t>Luther argues</w:t>
      </w:r>
      <w:r w:rsidR="00AA2E55">
        <w:rPr>
          <w:lang w:bidi="he-IL"/>
        </w:rPr>
        <w:t xml:space="preserve"> strongly that </w:t>
      </w:r>
      <w:r w:rsidR="003B6839">
        <w:rPr>
          <w:lang w:bidi="he-IL"/>
        </w:rPr>
        <w:t>it does not aim</w:t>
      </w:r>
      <w:r>
        <w:rPr>
          <w:lang w:bidi="he-IL"/>
        </w:rPr>
        <w:t xml:space="preserve"> to give instruction on</w:t>
      </w:r>
      <w:r w:rsidR="00500892">
        <w:rPr>
          <w:lang w:bidi="he-IL"/>
        </w:rPr>
        <w:t xml:space="preserve"> how people in general should find a wife.</w:t>
      </w:r>
      <w:r w:rsidR="00500892" w:rsidRPr="00500892">
        <w:rPr>
          <w:vertAlign w:val="superscript"/>
          <w:lang w:bidi="he-IL"/>
        </w:rPr>
        <w:footnoteReference w:id="801"/>
      </w:r>
      <w:r w:rsidR="00500892">
        <w:rPr>
          <w:lang w:bidi="he-IL"/>
        </w:rPr>
        <w:t xml:space="preserve"> </w:t>
      </w:r>
      <w:r w:rsidR="00AA2E55">
        <w:rPr>
          <w:lang w:bidi="he-IL"/>
        </w:rPr>
        <w:t xml:space="preserve">Yet it fits an emphasis in both Testaments that the people of God should marry within the “family” (see e.g., Ezra 9:1-2; 2 Cor 6:14-18). </w:t>
      </w:r>
      <w:r w:rsidR="003B6839">
        <w:rPr>
          <w:lang w:val="en-GB" w:bidi="he-IL"/>
        </w:rPr>
        <w:t xml:space="preserve">As </w:t>
      </w:r>
      <w:r w:rsidR="003B6839" w:rsidRPr="00CA04CE">
        <w:rPr>
          <w:lang w:val="en-GB" w:bidi="he-IL"/>
        </w:rPr>
        <w:t>G</w:t>
      </w:r>
      <w:r w:rsidR="003B6839">
        <w:rPr>
          <w:lang w:val="en-GB" w:bidi="he-IL"/>
        </w:rPr>
        <w:t>en 14</w:t>
      </w:r>
      <w:r w:rsidR="003B6839" w:rsidRPr="00CA04CE">
        <w:rPr>
          <w:lang w:val="en-GB" w:bidi="he-IL"/>
        </w:rPr>
        <w:t xml:space="preserve"> accepts the validity of the reli</w:t>
      </w:r>
      <w:r w:rsidR="003B6839">
        <w:rPr>
          <w:lang w:val="en-GB" w:bidi="he-IL"/>
        </w:rPr>
        <w:t>gion of other peoples but Gen 23 presupposes that Israel’s ancestors gain possession of land in Canaan, Gen 24 presupposes the necessity in this connection for members of Abraham’s family to marry within his wider family.</w:t>
      </w:r>
      <w:r w:rsidR="003B6839">
        <w:rPr>
          <w:rStyle w:val="FootnoteReference"/>
          <w:lang w:val="en-GB" w:bidi="he-IL"/>
        </w:rPr>
        <w:footnoteReference w:id="802"/>
      </w:r>
      <w:r w:rsidR="003B6839">
        <w:rPr>
          <w:lang w:bidi="he-IL"/>
        </w:rPr>
        <w:t xml:space="preserve"> The issue raised by Gen 24 is </w:t>
      </w:r>
      <w:r w:rsidR="00115153">
        <w:rPr>
          <w:lang w:bidi="he-IL"/>
        </w:rPr>
        <w:t>not merely</w:t>
      </w:r>
      <w:r w:rsidR="003B6839">
        <w:rPr>
          <w:lang w:bidi="he-IL"/>
        </w:rPr>
        <w:t xml:space="preserve"> ethnic or cultural identity.</w:t>
      </w:r>
      <w:r w:rsidR="003B6839">
        <w:rPr>
          <w:rStyle w:val="FootnoteReference"/>
          <w:lang w:bidi="he-IL"/>
        </w:rPr>
        <w:footnoteReference w:id="803"/>
      </w:r>
      <w:r w:rsidR="00C75BC8">
        <w:rPr>
          <w:lang w:bidi="he-IL"/>
        </w:rPr>
        <w:t xml:space="preserve"> In the First Te</w:t>
      </w:r>
      <w:r w:rsidR="00115153">
        <w:rPr>
          <w:lang w:bidi="he-IL"/>
        </w:rPr>
        <w:t>s</w:t>
      </w:r>
      <w:r w:rsidR="00C75BC8">
        <w:rPr>
          <w:lang w:bidi="he-IL"/>
        </w:rPr>
        <w:t>t</w:t>
      </w:r>
      <w:r w:rsidR="00115153">
        <w:rPr>
          <w:lang w:bidi="he-IL"/>
        </w:rPr>
        <w:t>ament</w:t>
      </w:r>
      <w:r w:rsidR="003B6839">
        <w:rPr>
          <w:lang w:bidi="he-IL"/>
        </w:rPr>
        <w:t xml:space="preserve"> there is no objection to a Moabite such as Ruth who</w:t>
      </w:r>
      <w:r w:rsidR="001811F7">
        <w:rPr>
          <w:lang w:bidi="he-IL"/>
        </w:rPr>
        <w:t xml:space="preserve"> commit</w:t>
      </w:r>
      <w:r w:rsidR="003B6839">
        <w:rPr>
          <w:lang w:bidi="he-IL"/>
        </w:rPr>
        <w:t>s</w:t>
      </w:r>
      <w:r w:rsidR="001811F7">
        <w:rPr>
          <w:lang w:bidi="he-IL"/>
        </w:rPr>
        <w:t xml:space="preserve"> herse</w:t>
      </w:r>
      <w:r w:rsidR="003B6839">
        <w:rPr>
          <w:lang w:bidi="he-IL"/>
        </w:rPr>
        <w:t>lf to Yahweh and to Israel, and no objection</w:t>
      </w:r>
      <w:r w:rsidR="001811F7">
        <w:rPr>
          <w:lang w:bidi="he-IL"/>
        </w:rPr>
        <w:t xml:space="preserve"> to an Israelite such as Boaz marrying her. </w:t>
      </w:r>
    </w:p>
    <w:p w14:paraId="287A8BA6" w14:textId="77777777" w:rsidR="002C0314" w:rsidRDefault="007E623A" w:rsidP="002C0314">
      <w:pPr>
        <w:rPr>
          <w:lang w:bidi="he-IL"/>
        </w:rPr>
      </w:pPr>
      <w:r>
        <w:rPr>
          <w:lang w:bidi="he-IL"/>
        </w:rPr>
        <w:t>Gen 24</w:t>
      </w:r>
      <w:r w:rsidR="00331A47">
        <w:rPr>
          <w:lang w:bidi="he-IL"/>
        </w:rPr>
        <w:t xml:space="preserve"> is </w:t>
      </w:r>
      <w:r>
        <w:rPr>
          <w:lang w:bidi="he-IL"/>
        </w:rPr>
        <w:t xml:space="preserve">also </w:t>
      </w:r>
      <w:r w:rsidR="00331A47">
        <w:rPr>
          <w:lang w:bidi="he-IL"/>
        </w:rPr>
        <w:t>the only detailed account of an “ordinary” person’s</w:t>
      </w:r>
      <w:r w:rsidR="00225812">
        <w:rPr>
          <w:lang w:bidi="he-IL"/>
        </w:rPr>
        <w:t xml:space="preserve"> personal relationship with God, and w</w:t>
      </w:r>
      <w:r w:rsidR="00331A47">
        <w:rPr>
          <w:lang w:bidi="he-IL"/>
        </w:rPr>
        <w:t xml:space="preserve">hile it appears in Genesis because of its significance in connection with the fulfillment of </w:t>
      </w:r>
      <w:r w:rsidR="00331A47">
        <w:rPr>
          <w:lang w:bidi="he-IL"/>
        </w:rPr>
        <w:lastRenderedPageBreak/>
        <w:t>God’s purpose</w:t>
      </w:r>
      <w:r w:rsidR="00167862">
        <w:rPr>
          <w:lang w:bidi="he-IL"/>
        </w:rPr>
        <w:t>, it represents in story form an understanding of that relationship which corresponds</w:t>
      </w:r>
      <w:r w:rsidR="00225812">
        <w:rPr>
          <w:lang w:bidi="he-IL"/>
        </w:rPr>
        <w:t xml:space="preserve"> with teaching in Proverbs. I</w:t>
      </w:r>
      <w:r w:rsidR="002C0314">
        <w:rPr>
          <w:lang w:bidi="he-IL"/>
        </w:rPr>
        <w:t xml:space="preserve">n some respects </w:t>
      </w:r>
      <w:r w:rsidR="00167862">
        <w:rPr>
          <w:lang w:bidi="he-IL"/>
        </w:rPr>
        <w:t>it thus likely repres</w:t>
      </w:r>
      <w:r w:rsidR="00C0799A">
        <w:rPr>
          <w:lang w:bidi="he-IL"/>
        </w:rPr>
        <w:t>ents a</w:t>
      </w:r>
      <w:r w:rsidR="00167862">
        <w:rPr>
          <w:lang w:bidi="he-IL"/>
        </w:rPr>
        <w:t xml:space="preserve"> vision of how one might expect that relationship to work.</w:t>
      </w:r>
      <w:r w:rsidR="00081C45">
        <w:rPr>
          <w:lang w:bidi="he-IL"/>
        </w:rPr>
        <w:t xml:space="preserve"> </w:t>
      </w:r>
      <w:r w:rsidR="00870779">
        <w:rPr>
          <w:lang w:bidi="he-IL"/>
        </w:rPr>
        <w:t>In t</w:t>
      </w:r>
      <w:r w:rsidR="002C0314">
        <w:rPr>
          <w:lang w:bidi="he-IL"/>
        </w:rPr>
        <w:t>he manner of Proverbs, it</w:t>
      </w:r>
      <w:r w:rsidR="00870779">
        <w:rPr>
          <w:lang w:bidi="he-IL"/>
        </w:rPr>
        <w:t xml:space="preserve"> combines a stress on God’s involvement guiding and granting success, on commi</w:t>
      </w:r>
      <w:r w:rsidR="00225812">
        <w:rPr>
          <w:lang w:bidi="he-IL"/>
        </w:rPr>
        <w:t>tment and faithfulness on God’s part and on that of human beings</w:t>
      </w:r>
      <w:r w:rsidR="00870779">
        <w:rPr>
          <w:lang w:bidi="he-IL"/>
        </w:rPr>
        <w:t>,</w:t>
      </w:r>
      <w:r w:rsidR="00225812">
        <w:rPr>
          <w:lang w:bidi="he-IL"/>
        </w:rPr>
        <w:t xml:space="preserve"> on trust</w:t>
      </w:r>
      <w:r w:rsidR="00870779">
        <w:rPr>
          <w:lang w:bidi="he-IL"/>
        </w:rPr>
        <w:t xml:space="preserve"> </w:t>
      </w:r>
      <w:r w:rsidR="005B557D">
        <w:rPr>
          <w:lang w:bidi="he-IL"/>
        </w:rPr>
        <w:t xml:space="preserve">and </w:t>
      </w:r>
      <w:r w:rsidR="00870779">
        <w:rPr>
          <w:lang w:bidi="he-IL"/>
        </w:rPr>
        <w:t>on prosperity</w:t>
      </w:r>
      <w:r w:rsidR="005B557D">
        <w:rPr>
          <w:lang w:bidi="he-IL"/>
        </w:rPr>
        <w:t>.</w:t>
      </w:r>
      <w:r w:rsidR="002C0314" w:rsidRPr="002C0314">
        <w:rPr>
          <w:lang w:bidi="he-IL"/>
        </w:rPr>
        <w:t xml:space="preserve"> </w:t>
      </w:r>
    </w:p>
    <w:p w14:paraId="4F5057E3" w14:textId="63B40325" w:rsidR="00524113" w:rsidRDefault="00F5241C" w:rsidP="00A53627">
      <w:pPr>
        <w:rPr>
          <w:lang w:bidi="he-IL"/>
        </w:rPr>
      </w:pPr>
      <w:r>
        <w:rPr>
          <w:b/>
          <w:lang w:bidi="he-IL"/>
        </w:rPr>
        <w:t xml:space="preserve">24:1-4. </w:t>
      </w:r>
      <w:r w:rsidR="00807D7D" w:rsidRPr="00807D7D">
        <w:rPr>
          <w:lang w:bidi="he-IL"/>
        </w:rPr>
        <w:t>According to the figu</w:t>
      </w:r>
      <w:r w:rsidR="00807D7D">
        <w:rPr>
          <w:lang w:bidi="he-IL"/>
        </w:rPr>
        <w:t>r</w:t>
      </w:r>
      <w:r w:rsidR="00807D7D" w:rsidRPr="00807D7D">
        <w:rPr>
          <w:lang w:bidi="he-IL"/>
        </w:rPr>
        <w:t>es in G</w:t>
      </w:r>
      <w:r w:rsidR="00807D7D">
        <w:rPr>
          <w:lang w:bidi="he-IL"/>
        </w:rPr>
        <w:t>e</w:t>
      </w:r>
      <w:r w:rsidR="00807D7D" w:rsidRPr="00807D7D">
        <w:rPr>
          <w:lang w:bidi="he-IL"/>
        </w:rPr>
        <w:t xml:space="preserve">nesis, </w:t>
      </w:r>
      <w:r w:rsidR="005B557D" w:rsidRPr="00807D7D">
        <w:rPr>
          <w:lang w:bidi="he-IL"/>
        </w:rPr>
        <w:t>Isaac</w:t>
      </w:r>
      <w:r w:rsidR="005B557D">
        <w:rPr>
          <w:lang w:bidi="he-IL"/>
        </w:rPr>
        <w:t xml:space="preserve"> is n</w:t>
      </w:r>
      <w:r>
        <w:rPr>
          <w:lang w:bidi="he-IL"/>
        </w:rPr>
        <w:t>early 40 (25:20)</w:t>
      </w:r>
      <w:r w:rsidR="003B6839">
        <w:rPr>
          <w:lang w:bidi="he-IL"/>
        </w:rPr>
        <w:t>,</w:t>
      </w:r>
      <w:r w:rsidR="00331A47">
        <w:rPr>
          <w:lang w:bidi="he-IL"/>
        </w:rPr>
        <w:t xml:space="preserve"> </w:t>
      </w:r>
      <w:r w:rsidR="003B6839">
        <w:rPr>
          <w:lang w:bidi="he-IL"/>
        </w:rPr>
        <w:t>Abraham</w:t>
      </w:r>
      <w:r w:rsidR="00807D7D">
        <w:rPr>
          <w:lang w:bidi="he-IL"/>
        </w:rPr>
        <w:t xml:space="preserve"> </w:t>
      </w:r>
      <w:r w:rsidR="003B6839">
        <w:rPr>
          <w:lang w:bidi="he-IL"/>
        </w:rPr>
        <w:t xml:space="preserve">is </w:t>
      </w:r>
      <w:r w:rsidR="009946A3">
        <w:rPr>
          <w:lang w:bidi="he-IL"/>
        </w:rPr>
        <w:t>nearly</w:t>
      </w:r>
      <w:r w:rsidR="00807D7D" w:rsidRPr="00807D7D">
        <w:rPr>
          <w:lang w:bidi="he-IL"/>
        </w:rPr>
        <w:t xml:space="preserve"> 140</w:t>
      </w:r>
      <w:r w:rsidR="00807D7D">
        <w:rPr>
          <w:lang w:bidi="he-IL"/>
        </w:rPr>
        <w:t xml:space="preserve"> (17:17; 21:</w:t>
      </w:r>
      <w:r w:rsidR="009946A3">
        <w:rPr>
          <w:lang w:bidi="he-IL"/>
        </w:rPr>
        <w:t>5), and i</w:t>
      </w:r>
      <w:r w:rsidR="00E613DF">
        <w:rPr>
          <w:lang w:bidi="he-IL"/>
        </w:rPr>
        <w:t>t i</w:t>
      </w:r>
      <w:r w:rsidR="009946A3" w:rsidRPr="009946A3">
        <w:rPr>
          <w:lang w:bidi="he-IL"/>
        </w:rPr>
        <w:t>s two or three years after Sarah’s deat</w:t>
      </w:r>
      <w:r w:rsidR="009946A3">
        <w:rPr>
          <w:lang w:bidi="he-IL"/>
        </w:rPr>
        <w:t>h at</w:t>
      </w:r>
      <w:r w:rsidR="009946A3" w:rsidRPr="009946A3">
        <w:rPr>
          <w:lang w:bidi="he-IL"/>
        </w:rPr>
        <w:t xml:space="preserve"> 1</w:t>
      </w:r>
      <w:r w:rsidR="009946A3">
        <w:rPr>
          <w:lang w:bidi="he-IL"/>
        </w:rPr>
        <w:t xml:space="preserve">27. </w:t>
      </w:r>
      <w:r w:rsidR="00807D7D">
        <w:rPr>
          <w:lang w:bidi="he-IL"/>
        </w:rPr>
        <w:t>I</w:t>
      </w:r>
      <w:r w:rsidR="00331A47">
        <w:rPr>
          <w:lang w:bidi="he-IL"/>
        </w:rPr>
        <w:t>n our terms we might imagine Abraham as in his sixties and Isaac as in his late</w:t>
      </w:r>
      <w:r w:rsidR="007E699E">
        <w:rPr>
          <w:lang w:bidi="he-IL"/>
        </w:rPr>
        <w:t xml:space="preserve"> teens</w:t>
      </w:r>
      <w:r w:rsidR="009946A3">
        <w:rPr>
          <w:lang w:bidi="he-IL"/>
        </w:rPr>
        <w:t>;</w:t>
      </w:r>
      <w:r w:rsidR="007E699E">
        <w:rPr>
          <w:lang w:bidi="he-IL"/>
        </w:rPr>
        <w:t xml:space="preserve"> if we think of Isaac as</w:t>
      </w:r>
      <w:r w:rsidR="005A5C7B">
        <w:rPr>
          <w:lang w:bidi="he-IL"/>
        </w:rPr>
        <w:t xml:space="preserve"> a little older, it might </w:t>
      </w:r>
      <w:r w:rsidR="006C3F3E">
        <w:rPr>
          <w:lang w:bidi="he-IL"/>
        </w:rPr>
        <w:t xml:space="preserve">link with </w:t>
      </w:r>
      <w:r w:rsidR="007E699E">
        <w:rPr>
          <w:lang w:bidi="he-IL"/>
        </w:rPr>
        <w:t xml:space="preserve">the possibility that </w:t>
      </w:r>
      <w:r w:rsidR="006C3F3E">
        <w:rPr>
          <w:lang w:bidi="he-IL"/>
        </w:rPr>
        <w:t>Abr</w:t>
      </w:r>
      <w:r w:rsidR="007E699E">
        <w:rPr>
          <w:lang w:bidi="he-IL"/>
        </w:rPr>
        <w:t>aham is</w:t>
      </w:r>
      <w:r w:rsidR="009946A3">
        <w:rPr>
          <w:lang w:bidi="he-IL"/>
        </w:rPr>
        <w:t xml:space="preserve"> still at</w:t>
      </w:r>
      <w:r w:rsidR="00CF7B1A">
        <w:rPr>
          <w:lang w:bidi="he-IL"/>
        </w:rPr>
        <w:t xml:space="preserve"> Mamre whereas Isaac</w:t>
      </w:r>
      <w:r w:rsidR="009542B9">
        <w:rPr>
          <w:lang w:bidi="he-IL"/>
        </w:rPr>
        <w:t xml:space="preserve"> is in the Negev</w:t>
      </w:r>
      <w:r w:rsidR="009946A3">
        <w:rPr>
          <w:lang w:bidi="he-IL"/>
        </w:rPr>
        <w:t xml:space="preserve"> </w:t>
      </w:r>
      <w:r w:rsidR="009542B9">
        <w:rPr>
          <w:lang w:bidi="he-IL"/>
        </w:rPr>
        <w:t>(</w:t>
      </w:r>
      <w:r w:rsidR="009946A3">
        <w:rPr>
          <w:lang w:bidi="he-IL"/>
        </w:rPr>
        <w:t xml:space="preserve">v. 62) and </w:t>
      </w:r>
      <w:r w:rsidR="003B6839">
        <w:rPr>
          <w:lang w:bidi="he-IL"/>
        </w:rPr>
        <w:t xml:space="preserve">is </w:t>
      </w:r>
      <w:r w:rsidR="009946A3">
        <w:rPr>
          <w:lang w:bidi="he-IL"/>
        </w:rPr>
        <w:t>thus</w:t>
      </w:r>
      <w:r w:rsidR="006C3F3E">
        <w:rPr>
          <w:lang w:bidi="he-IL"/>
        </w:rPr>
        <w:t xml:space="preserve"> absent from this scene. </w:t>
      </w:r>
      <w:r w:rsidR="009946A3">
        <w:rPr>
          <w:lang w:bidi="he-IL"/>
        </w:rPr>
        <w:t xml:space="preserve">There is no suggestion </w:t>
      </w:r>
      <w:r w:rsidR="005A5C7B">
        <w:rPr>
          <w:lang w:bidi="he-IL"/>
        </w:rPr>
        <w:t>that Abraham is near death (contrast the near-death scenes in 47:29-32; 50:24-25</w:t>
      </w:r>
      <w:r w:rsidR="007E699E">
        <w:rPr>
          <w:lang w:bidi="he-IL"/>
        </w:rPr>
        <w:t>)</w:t>
      </w:r>
      <w:r w:rsidR="009946A3">
        <w:rPr>
          <w:lang w:bidi="he-IL"/>
        </w:rPr>
        <w:t>, and actually he still has</w:t>
      </w:r>
      <w:r w:rsidR="009946A3" w:rsidRPr="009946A3">
        <w:rPr>
          <w:lang w:bidi="he-IL"/>
        </w:rPr>
        <w:t xml:space="preserve"> 35 years to li</w:t>
      </w:r>
      <w:r w:rsidR="009946A3">
        <w:rPr>
          <w:lang w:bidi="he-IL"/>
        </w:rPr>
        <w:t>ve (25:7)</w:t>
      </w:r>
      <w:r w:rsidR="0037690B">
        <w:rPr>
          <w:lang w:bidi="he-IL"/>
        </w:rPr>
        <w:t xml:space="preserve">; </w:t>
      </w:r>
      <w:r w:rsidR="009946A3">
        <w:rPr>
          <w:lang w:bidi="he-IL"/>
        </w:rPr>
        <w:t xml:space="preserve">being senior and going </w:t>
      </w:r>
      <w:r w:rsidR="007E699E">
        <w:rPr>
          <w:lang w:bidi="he-IL"/>
        </w:rPr>
        <w:t>on in year</w:t>
      </w:r>
      <w:r w:rsidR="003B6839">
        <w:rPr>
          <w:lang w:bidi="he-IL"/>
        </w:rPr>
        <w:t>s need not imply being about to die, as this commentator hopes</w:t>
      </w:r>
      <w:r w:rsidR="007E699E">
        <w:rPr>
          <w:lang w:bidi="he-IL"/>
        </w:rPr>
        <w:t xml:space="preserve"> (</w:t>
      </w:r>
      <w:r w:rsidR="003B6839">
        <w:rPr>
          <w:lang w:bidi="he-IL"/>
        </w:rPr>
        <w:t>Abraham</w:t>
      </w:r>
      <w:r w:rsidR="0037690B">
        <w:rPr>
          <w:lang w:bidi="he-IL"/>
        </w:rPr>
        <w:t xml:space="preserve"> has already be</w:t>
      </w:r>
      <w:r w:rsidR="007E699E">
        <w:rPr>
          <w:lang w:bidi="he-IL"/>
        </w:rPr>
        <w:t>en described in these terms</w:t>
      </w:r>
      <w:r w:rsidR="0037690B">
        <w:rPr>
          <w:lang w:bidi="he-IL"/>
        </w:rPr>
        <w:t xml:space="preserve"> in 18:11</w:t>
      </w:r>
      <w:r w:rsidR="005A5C7B">
        <w:rPr>
          <w:lang w:bidi="he-IL"/>
        </w:rPr>
        <w:t>)</w:t>
      </w:r>
      <w:r w:rsidR="009946A3">
        <w:rPr>
          <w:lang w:bidi="he-IL"/>
        </w:rPr>
        <w:t xml:space="preserve">. But in </w:t>
      </w:r>
      <w:r w:rsidR="007E699E">
        <w:rPr>
          <w:lang w:bidi="he-IL"/>
        </w:rPr>
        <w:t>Genesis “</w:t>
      </w:r>
      <w:r w:rsidR="00CF7B1A">
        <w:rPr>
          <w:lang w:bidi="he-IL"/>
        </w:rPr>
        <w:t>the provision of a wife for Isaac is his last s</w:t>
      </w:r>
      <w:r w:rsidR="003B6839">
        <w:rPr>
          <w:lang w:bidi="he-IL"/>
        </w:rPr>
        <w:t>ignificant act before his death,</w:t>
      </w:r>
      <w:r w:rsidR="00CF7B1A">
        <w:rPr>
          <w:lang w:bidi="he-IL"/>
        </w:rPr>
        <w:t>”</w:t>
      </w:r>
      <w:r w:rsidR="00CF7B1A">
        <w:rPr>
          <w:rStyle w:val="FootnoteReference"/>
          <w:lang w:bidi="he-IL"/>
        </w:rPr>
        <w:footnoteReference w:id="804"/>
      </w:r>
      <w:r w:rsidR="005A5C7B">
        <w:rPr>
          <w:lang w:bidi="he-IL"/>
        </w:rPr>
        <w:t xml:space="preserve"> </w:t>
      </w:r>
      <w:r w:rsidR="003B6839">
        <w:rPr>
          <w:lang w:bidi="he-IL"/>
        </w:rPr>
        <w:t xml:space="preserve">as might be the case for this commentator. </w:t>
      </w:r>
      <w:r w:rsidR="007E699E" w:rsidRPr="007E699E">
        <w:rPr>
          <w:lang w:bidi="he-IL"/>
        </w:rPr>
        <w:t xml:space="preserve">In </w:t>
      </w:r>
      <w:r w:rsidR="007E699E">
        <w:rPr>
          <w:lang w:bidi="he-IL"/>
        </w:rPr>
        <w:t>the First Testament, some men</w:t>
      </w:r>
      <w:r w:rsidR="007E699E" w:rsidRPr="007E699E">
        <w:rPr>
          <w:lang w:bidi="he-IL"/>
        </w:rPr>
        <w:t xml:space="preserve"> arrange their own marriages (e.g. 26:34-35; 38:6), some involve their parents (e</w:t>
      </w:r>
      <w:r w:rsidR="003B6839">
        <w:rPr>
          <w:lang w:bidi="he-IL"/>
        </w:rPr>
        <w:t>.g., 34:4; Judg 14:1-7), and sometim</w:t>
      </w:r>
      <w:r w:rsidR="007E699E" w:rsidRPr="007E699E">
        <w:rPr>
          <w:lang w:bidi="he-IL"/>
        </w:rPr>
        <w:t xml:space="preserve">es the parents take the initiative (e.g., Gen 21:21; 38:6). </w:t>
      </w:r>
      <w:r w:rsidR="00735B5A">
        <w:rPr>
          <w:lang w:bidi="he-IL"/>
        </w:rPr>
        <w:t>The most conspicu</w:t>
      </w:r>
      <w:r w:rsidR="00F34321">
        <w:rPr>
          <w:lang w:bidi="he-IL"/>
        </w:rPr>
        <w:t>ous difference from more</w:t>
      </w:r>
      <w:r w:rsidR="00735B5A">
        <w:rPr>
          <w:lang w:bidi="he-IL"/>
        </w:rPr>
        <w:t xml:space="preserve"> betrothal scenes such as Gen 29 and Exod </w:t>
      </w:r>
      <w:r w:rsidR="00F34321">
        <w:rPr>
          <w:lang w:bidi="he-IL"/>
        </w:rPr>
        <w:t>2 is that the prospe</w:t>
      </w:r>
      <w:r w:rsidR="00735B5A">
        <w:rPr>
          <w:lang w:bidi="he-IL"/>
        </w:rPr>
        <w:t>ctive groom will be missing.</w:t>
      </w:r>
      <w:r w:rsidR="00735B5A">
        <w:rPr>
          <w:rStyle w:val="FootnoteReference"/>
          <w:lang w:bidi="he-IL"/>
        </w:rPr>
        <w:footnoteReference w:id="805"/>
      </w:r>
      <w:r w:rsidR="00735B5A">
        <w:rPr>
          <w:lang w:bidi="he-IL"/>
        </w:rPr>
        <w:t xml:space="preserve"> </w:t>
      </w:r>
      <w:r w:rsidR="000A5816">
        <w:rPr>
          <w:lang w:bidi="he-IL"/>
        </w:rPr>
        <w:t>It’s typical that Isaac should be acted upon rather than acting (cf. Gen 22!).</w:t>
      </w:r>
      <w:r w:rsidR="000A5816">
        <w:rPr>
          <w:rStyle w:val="FootnoteReference"/>
          <w:lang w:bidi="he-IL"/>
        </w:rPr>
        <w:footnoteReference w:id="806"/>
      </w:r>
      <w:r w:rsidR="000A5816">
        <w:rPr>
          <w:lang w:bidi="he-IL"/>
        </w:rPr>
        <w:t xml:space="preserve"> </w:t>
      </w:r>
      <w:r w:rsidR="007E699E" w:rsidRPr="007E699E">
        <w:rPr>
          <w:lang w:bidi="he-IL"/>
        </w:rPr>
        <w:t xml:space="preserve">But Abraham’s action is not simply an </w:t>
      </w:r>
      <w:r w:rsidR="00F34321">
        <w:rPr>
          <w:lang w:bidi="he-IL"/>
        </w:rPr>
        <w:t xml:space="preserve">instance of the </w:t>
      </w:r>
      <w:r w:rsidR="00524113">
        <w:rPr>
          <w:lang w:bidi="he-IL"/>
        </w:rPr>
        <w:t>pattern</w:t>
      </w:r>
      <w:r w:rsidR="00F34321">
        <w:rPr>
          <w:lang w:bidi="he-IL"/>
        </w:rPr>
        <w:t xml:space="preserve"> whereby parents take the initiative.</w:t>
      </w:r>
      <w:r w:rsidR="00727890">
        <w:rPr>
          <w:lang w:bidi="he-IL"/>
        </w:rPr>
        <w:t xml:space="preserve"> </w:t>
      </w:r>
      <w:r w:rsidR="00F34321">
        <w:rPr>
          <w:lang w:bidi="he-IL"/>
        </w:rPr>
        <w:t>In this story i</w:t>
      </w:r>
      <w:r w:rsidR="00524113">
        <w:rPr>
          <w:lang w:bidi="he-IL"/>
        </w:rPr>
        <w:t>t’s not going to be Abraham or Isaac who decides</w:t>
      </w:r>
      <w:r w:rsidR="00F34321">
        <w:rPr>
          <w:lang w:bidi="he-IL"/>
        </w:rPr>
        <w:t xml:space="preserve"> on the right girl for Isaac: it will</w:t>
      </w:r>
      <w:r w:rsidR="007E699E" w:rsidRPr="007E699E">
        <w:rPr>
          <w:lang w:bidi="he-IL"/>
        </w:rPr>
        <w:t xml:space="preserve"> be Yahweh who ensures that th</w:t>
      </w:r>
      <w:r w:rsidR="00524113">
        <w:rPr>
          <w:lang w:bidi="he-IL"/>
        </w:rPr>
        <w:t>e quest comes out right. T</w:t>
      </w:r>
      <w:r w:rsidR="007E699E" w:rsidRPr="007E699E">
        <w:rPr>
          <w:lang w:bidi="he-IL"/>
        </w:rPr>
        <w:t>he recipient of Yahweh’s commission and promise</w:t>
      </w:r>
      <w:r w:rsidR="00F34321">
        <w:rPr>
          <w:lang w:bidi="he-IL"/>
        </w:rPr>
        <w:t>s</w:t>
      </w:r>
      <w:r w:rsidR="007E699E" w:rsidRPr="007E699E">
        <w:rPr>
          <w:lang w:bidi="he-IL"/>
        </w:rPr>
        <w:t xml:space="preserve"> is taking action that relates to the fulfilment of </w:t>
      </w:r>
      <w:r w:rsidR="00F34321">
        <w:rPr>
          <w:lang w:bidi="he-IL"/>
        </w:rPr>
        <w:t>these</w:t>
      </w:r>
      <w:r w:rsidR="007E699E" w:rsidRPr="007E699E">
        <w:rPr>
          <w:lang w:bidi="he-IL"/>
        </w:rPr>
        <w:t xml:space="preserve"> promise</w:t>
      </w:r>
      <w:r w:rsidR="00F34321">
        <w:rPr>
          <w:lang w:bidi="he-IL"/>
        </w:rPr>
        <w:t xml:space="preserve">s. </w:t>
      </w:r>
      <w:r w:rsidR="00524113">
        <w:rPr>
          <w:lang w:bidi="he-IL"/>
        </w:rPr>
        <w:t>Wh</w:t>
      </w:r>
      <w:r w:rsidR="00F34321">
        <w:rPr>
          <w:lang w:bidi="he-IL"/>
        </w:rPr>
        <w:t>ile his</w:t>
      </w:r>
      <w:r w:rsidR="00F55A11">
        <w:rPr>
          <w:lang w:bidi="he-IL"/>
        </w:rPr>
        <w:t xml:space="preserve"> servant will describe in vv. 35-36</w:t>
      </w:r>
      <w:r w:rsidR="00814714">
        <w:rPr>
          <w:lang w:bidi="he-IL"/>
        </w:rPr>
        <w:t xml:space="preserve"> how Yahweh h</w:t>
      </w:r>
      <w:r w:rsidR="00524113">
        <w:rPr>
          <w:lang w:bidi="he-IL"/>
        </w:rPr>
        <w:t>as blessed Abraham in every way,</w:t>
      </w:r>
      <w:r w:rsidR="00210E2D">
        <w:rPr>
          <w:lang w:bidi="he-IL"/>
        </w:rPr>
        <w:t xml:space="preserve"> the main theme of </w:t>
      </w:r>
      <w:r w:rsidR="001426AE">
        <w:rPr>
          <w:lang w:bidi="he-IL"/>
        </w:rPr>
        <w:t xml:space="preserve">the talk about blessing </w:t>
      </w:r>
      <w:r w:rsidR="00210E2D">
        <w:rPr>
          <w:lang w:bidi="he-IL"/>
        </w:rPr>
        <w:t xml:space="preserve">in the Abraham story (e.g., 12:1-2) </w:t>
      </w:r>
      <w:r w:rsidR="001426AE">
        <w:rPr>
          <w:lang w:bidi="he-IL"/>
        </w:rPr>
        <w:t>conveys a promise that has not yet been fulfilled, and this chapter relates to that other blessing theme.</w:t>
      </w:r>
      <w:r w:rsidR="00C05DF0">
        <w:rPr>
          <w:lang w:bidi="he-IL"/>
        </w:rPr>
        <w:t xml:space="preserve"> </w:t>
      </w:r>
    </w:p>
    <w:p w14:paraId="475EBC80" w14:textId="1BF3F400" w:rsidR="00F55A11" w:rsidRDefault="00814714" w:rsidP="00A53627">
      <w:pPr>
        <w:rPr>
          <w:lang w:bidi="he-IL"/>
        </w:rPr>
      </w:pPr>
      <w:r>
        <w:rPr>
          <w:lang w:bidi="he-IL"/>
        </w:rPr>
        <w:t>Onc</w:t>
      </w:r>
      <w:r w:rsidR="00F55A11">
        <w:rPr>
          <w:lang w:bidi="he-IL"/>
        </w:rPr>
        <w:t>e again we get the impression that Abraham i</w:t>
      </w:r>
      <w:r>
        <w:rPr>
          <w:lang w:bidi="he-IL"/>
        </w:rPr>
        <w:t>s head of quite a clan (v. 2</w:t>
      </w:r>
      <w:r w:rsidR="00F55A11">
        <w:rPr>
          <w:lang w:bidi="he-IL"/>
        </w:rPr>
        <w:t>a</w:t>
      </w:r>
      <w:r>
        <w:rPr>
          <w:lang w:bidi="he-IL"/>
        </w:rPr>
        <w:t xml:space="preserve">). </w:t>
      </w:r>
      <w:r w:rsidR="00F34321">
        <w:rPr>
          <w:lang w:bidi="he-IL"/>
        </w:rPr>
        <w:t>He</w:t>
      </w:r>
      <w:r w:rsidR="00F55A11">
        <w:rPr>
          <w:lang w:bidi="he-IL"/>
        </w:rPr>
        <w:t xml:space="preserve"> doesn’</w:t>
      </w:r>
      <w:r w:rsidR="00524113" w:rsidRPr="00524113">
        <w:rPr>
          <w:lang w:bidi="he-IL"/>
        </w:rPr>
        <w:t>t abandon the settlement and the clan to und</w:t>
      </w:r>
      <w:r w:rsidR="00524113">
        <w:rPr>
          <w:lang w:bidi="he-IL"/>
        </w:rPr>
        <w:t>ertake this long mission</w:t>
      </w:r>
      <w:r w:rsidR="00F34321">
        <w:rPr>
          <w:lang w:bidi="he-IL"/>
        </w:rPr>
        <w:t xml:space="preserve">, and while Isaac </w:t>
      </w:r>
      <w:r w:rsidR="00524113" w:rsidRPr="00524113">
        <w:rPr>
          <w:lang w:bidi="he-IL"/>
        </w:rPr>
        <w:t xml:space="preserve">will </w:t>
      </w:r>
      <w:r w:rsidR="00F34321">
        <w:rPr>
          <w:lang w:bidi="he-IL"/>
        </w:rPr>
        <w:t xml:space="preserve">later </w:t>
      </w:r>
      <w:r w:rsidR="00524113" w:rsidRPr="00524113">
        <w:rPr>
          <w:lang w:bidi="he-IL"/>
        </w:rPr>
        <w:t xml:space="preserve">send Jacob </w:t>
      </w:r>
      <w:r w:rsidR="00F34321">
        <w:rPr>
          <w:lang w:bidi="he-IL"/>
        </w:rPr>
        <w:t xml:space="preserve">himself </w:t>
      </w:r>
      <w:r w:rsidR="00524113" w:rsidRPr="00524113">
        <w:rPr>
          <w:lang w:bidi="he-IL"/>
        </w:rPr>
        <w:t>to find a</w:t>
      </w:r>
      <w:r w:rsidR="00F55A11">
        <w:rPr>
          <w:lang w:bidi="he-IL"/>
        </w:rPr>
        <w:t xml:space="preserve"> wife, this action relates to Jacob’</w:t>
      </w:r>
      <w:r w:rsidR="00524113" w:rsidRPr="00524113">
        <w:rPr>
          <w:lang w:bidi="he-IL"/>
        </w:rPr>
        <w:t xml:space="preserve">s having endangered his </w:t>
      </w:r>
      <w:r w:rsidR="00F34321">
        <w:rPr>
          <w:lang w:bidi="he-IL"/>
        </w:rPr>
        <w:t>own life</w:t>
      </w:r>
      <w:r w:rsidR="00524113">
        <w:rPr>
          <w:lang w:bidi="he-IL"/>
        </w:rPr>
        <w:t xml:space="preserve">. </w:t>
      </w:r>
      <w:r w:rsidR="00F55A11">
        <w:rPr>
          <w:lang w:bidi="he-IL"/>
        </w:rPr>
        <w:t>Abraham’s</w:t>
      </w:r>
      <w:r w:rsidR="002B2717">
        <w:rPr>
          <w:lang w:bidi="he-IL"/>
        </w:rPr>
        <w:t xml:space="preserve"> commissioning a member of his staff to find a</w:t>
      </w:r>
      <w:r w:rsidR="00524113">
        <w:rPr>
          <w:lang w:bidi="he-IL"/>
        </w:rPr>
        <w:t xml:space="preserve"> wife for his son parallels the </w:t>
      </w:r>
      <w:r w:rsidR="00F55A11">
        <w:rPr>
          <w:lang w:bidi="he-IL"/>
        </w:rPr>
        <w:t>action of</w:t>
      </w:r>
      <w:r w:rsidR="002B2717">
        <w:rPr>
          <w:lang w:bidi="he-IL"/>
        </w:rPr>
        <w:t xml:space="preserve"> Middle Eastern rulers</w:t>
      </w:r>
      <w:r w:rsidR="00524113" w:rsidRPr="00524113">
        <w:rPr>
          <w:lang w:bidi="he-IL"/>
        </w:rPr>
        <w:t>.</w:t>
      </w:r>
      <w:r w:rsidR="00524113" w:rsidRPr="00524113">
        <w:rPr>
          <w:vertAlign w:val="superscript"/>
          <w:lang w:bidi="he-IL"/>
        </w:rPr>
        <w:footnoteReference w:id="807"/>
      </w:r>
      <w:r w:rsidR="00524113">
        <w:rPr>
          <w:lang w:bidi="he-IL"/>
        </w:rPr>
        <w:t xml:space="preserve"> </w:t>
      </w:r>
      <w:r w:rsidR="00F55A11">
        <w:rPr>
          <w:lang w:bidi="he-IL"/>
        </w:rPr>
        <w:t>A</w:t>
      </w:r>
      <w:r w:rsidR="00F55A11" w:rsidRPr="00524113">
        <w:rPr>
          <w:lang w:bidi="he-IL"/>
        </w:rPr>
        <w:t xml:space="preserve">s head of staff </w:t>
      </w:r>
      <w:r w:rsidR="00524113" w:rsidRPr="00524113">
        <w:rPr>
          <w:lang w:bidi="he-IL"/>
        </w:rPr>
        <w:t xml:space="preserve">Abraham would need someone efficient and trustworthy. </w:t>
      </w:r>
      <w:r w:rsidR="00F34321">
        <w:rPr>
          <w:lang w:bidi="he-IL"/>
        </w:rPr>
        <w:t>T</w:t>
      </w:r>
      <w:r w:rsidR="00524113">
        <w:rPr>
          <w:lang w:bidi="he-IL"/>
        </w:rPr>
        <w:t>he man</w:t>
      </w:r>
      <w:r>
        <w:rPr>
          <w:lang w:bidi="he-IL"/>
        </w:rPr>
        <w:t xml:space="preserve"> is not an indentured, short-te</w:t>
      </w:r>
      <w:r w:rsidR="00524113">
        <w:rPr>
          <w:lang w:bidi="he-IL"/>
        </w:rPr>
        <w:t xml:space="preserve">rm servant of the kind that </w:t>
      </w:r>
      <w:r w:rsidR="00F55A11">
        <w:rPr>
          <w:lang w:bidi="he-IL"/>
        </w:rPr>
        <w:t>th</w:t>
      </w:r>
      <w:r w:rsidR="00F34321">
        <w:rPr>
          <w:lang w:bidi="he-IL"/>
        </w:rPr>
        <w:t xml:space="preserve">e </w:t>
      </w:r>
      <w:r>
        <w:rPr>
          <w:lang w:bidi="he-IL"/>
        </w:rPr>
        <w:t xml:space="preserve">rules in the Torah will seek to protect, but a permanent member of Abraham’s </w:t>
      </w:r>
      <w:r w:rsidR="00F34321">
        <w:rPr>
          <w:lang w:bidi="he-IL"/>
        </w:rPr>
        <w:t>household—like Hagar, though that</w:t>
      </w:r>
      <w:r>
        <w:rPr>
          <w:lang w:bidi="he-IL"/>
        </w:rPr>
        <w:t xml:space="preserve"> analogy indicates the vulnerabilit</w:t>
      </w:r>
      <w:r w:rsidR="00F55A11">
        <w:rPr>
          <w:lang w:bidi="he-IL"/>
        </w:rPr>
        <w:t>y of someone in that position. T</w:t>
      </w:r>
      <w:r>
        <w:rPr>
          <w:lang w:bidi="he-IL"/>
        </w:rPr>
        <w:t>he portrait of masters and servants in nineteenth-ce</w:t>
      </w:r>
      <w:r w:rsidR="00F34321">
        <w:rPr>
          <w:lang w:bidi="he-IL"/>
        </w:rPr>
        <w:t xml:space="preserve">ntury </w:t>
      </w:r>
      <w:r w:rsidR="00F55A11">
        <w:rPr>
          <w:lang w:bidi="he-IL"/>
        </w:rPr>
        <w:t xml:space="preserve">English </w:t>
      </w:r>
      <w:r w:rsidR="00F34321">
        <w:rPr>
          <w:lang w:bidi="he-IL"/>
        </w:rPr>
        <w:t>novels may help to convey</w:t>
      </w:r>
      <w:r>
        <w:rPr>
          <w:lang w:bidi="he-IL"/>
        </w:rPr>
        <w:t xml:space="preserve"> an </w:t>
      </w:r>
      <w:r w:rsidR="00F55A11">
        <w:rPr>
          <w:lang w:bidi="he-IL"/>
        </w:rPr>
        <w:t>impression of the relationship</w:t>
      </w:r>
      <w:r>
        <w:rPr>
          <w:lang w:bidi="he-IL"/>
        </w:rPr>
        <w:t>.</w:t>
      </w:r>
      <w:r w:rsidR="00E2141F">
        <w:rPr>
          <w:lang w:bidi="he-IL"/>
        </w:rPr>
        <w:t xml:space="preserve"> H</w:t>
      </w:r>
      <w:r w:rsidR="005B79E5">
        <w:rPr>
          <w:lang w:bidi="he-IL"/>
        </w:rPr>
        <w:t>e is</w:t>
      </w:r>
      <w:r w:rsidR="00E2141F">
        <w:rPr>
          <w:lang w:bidi="he-IL"/>
        </w:rPr>
        <w:t xml:space="preserve"> servant and </w:t>
      </w:r>
      <w:r w:rsidR="005B79E5">
        <w:rPr>
          <w:lang w:bidi="he-IL"/>
        </w:rPr>
        <w:t xml:space="preserve">Abraham is </w:t>
      </w:r>
      <w:r w:rsidR="00F55A11">
        <w:rPr>
          <w:lang w:bidi="he-IL"/>
        </w:rPr>
        <w:t xml:space="preserve">master, but it is </w:t>
      </w:r>
      <w:r w:rsidR="00E2141F">
        <w:rPr>
          <w:lang w:bidi="he-IL"/>
        </w:rPr>
        <w:t xml:space="preserve">a relationship of great trust on Abraham’s part. </w:t>
      </w:r>
      <w:r w:rsidR="005B79E5">
        <w:rPr>
          <w:lang w:bidi="he-IL"/>
        </w:rPr>
        <w:t>If we were to</w:t>
      </w:r>
      <w:r w:rsidR="003F554C">
        <w:rPr>
          <w:lang w:bidi="he-IL"/>
        </w:rPr>
        <w:t xml:space="preserve"> </w:t>
      </w:r>
      <w:r w:rsidR="00BA30CA">
        <w:rPr>
          <w:lang w:bidi="he-IL"/>
        </w:rPr>
        <w:t>think of Gen 24 as a story about a slave, it is “the most beautiful slave narrative in the Old Testament.”</w:t>
      </w:r>
      <w:r w:rsidR="00BA30CA">
        <w:rPr>
          <w:rStyle w:val="FootnoteReference"/>
          <w:lang w:bidi="he-IL"/>
        </w:rPr>
        <w:footnoteReference w:id="808"/>
      </w:r>
      <w:r w:rsidR="00BA30CA">
        <w:rPr>
          <w:lang w:bidi="he-IL"/>
        </w:rPr>
        <w:t xml:space="preserve"> </w:t>
      </w:r>
      <w:r w:rsidR="00524113" w:rsidRPr="00524113">
        <w:rPr>
          <w:lang w:bidi="he-IL"/>
        </w:rPr>
        <w:t>We do not discover the head of staff’s name, though it has been tempting to identify him with the Eli‘ezer of 15:2;</w:t>
      </w:r>
      <w:r w:rsidR="00524113" w:rsidRPr="00524113">
        <w:rPr>
          <w:vertAlign w:val="superscript"/>
          <w:lang w:bidi="he-IL"/>
        </w:rPr>
        <w:footnoteReference w:id="809"/>
      </w:r>
      <w:r w:rsidR="00524113" w:rsidRPr="00524113">
        <w:rPr>
          <w:lang w:bidi="he-IL"/>
        </w:rPr>
        <w:t xml:space="preserve"> the point about him is not his identity but the role he fulfills for Abraham. Even Isaac’s name does not feature in the main body of the story except in the servant’s prayer, </w:t>
      </w:r>
      <w:r w:rsidR="005B79E5">
        <w:rPr>
          <w:lang w:bidi="he-IL"/>
        </w:rPr>
        <w:t xml:space="preserve">and </w:t>
      </w:r>
      <w:r w:rsidR="00524113" w:rsidRPr="00524113">
        <w:rPr>
          <w:lang w:bidi="he-IL"/>
        </w:rPr>
        <w:t>we are never told how the servant knows Rebekah’s name which he</w:t>
      </w:r>
      <w:r w:rsidR="005B79E5">
        <w:rPr>
          <w:lang w:bidi="he-IL"/>
        </w:rPr>
        <w:t xml:space="preserve"> nevertheless uses in v. 45, while</w:t>
      </w:r>
      <w:r w:rsidR="00524113" w:rsidRPr="00524113">
        <w:rPr>
          <w:lang w:bidi="he-IL"/>
        </w:rPr>
        <w:t xml:space="preserve"> the name of her nan</w:t>
      </w:r>
      <w:r w:rsidR="005B79E5">
        <w:rPr>
          <w:lang w:bidi="he-IL"/>
        </w:rPr>
        <w:t>ny does not appear in this chapter</w:t>
      </w:r>
      <w:r w:rsidR="00524113" w:rsidRPr="00524113">
        <w:rPr>
          <w:lang w:bidi="he-IL"/>
        </w:rPr>
        <w:t xml:space="preserve">, only in 35:8. “The central interest of this narrative does not lie in concrete geographical </w:t>
      </w:r>
      <w:r w:rsidR="00524113" w:rsidRPr="00524113">
        <w:rPr>
          <w:lang w:bidi="he-IL"/>
        </w:rPr>
        <w:lastRenderedPageBreak/>
        <w:t>references and personal names.”</w:t>
      </w:r>
      <w:r w:rsidR="00524113" w:rsidRPr="00524113">
        <w:rPr>
          <w:vertAlign w:val="superscript"/>
          <w:lang w:bidi="he-IL"/>
        </w:rPr>
        <w:footnoteReference w:id="810"/>
      </w:r>
      <w:r w:rsidR="00524113" w:rsidRPr="00524113">
        <w:rPr>
          <w:lang w:bidi="he-IL"/>
        </w:rPr>
        <w:t xml:space="preserve"> Only incidentally do we discover in due course that the servant takes other </w:t>
      </w:r>
      <w:r w:rsidR="00524113">
        <w:rPr>
          <w:lang w:bidi="he-IL"/>
        </w:rPr>
        <w:t>people with him on his mission (</w:t>
      </w:r>
      <w:r w:rsidR="00524113" w:rsidRPr="00524113">
        <w:rPr>
          <w:lang w:bidi="he-IL"/>
        </w:rPr>
        <w:t>see v. 32</w:t>
      </w:r>
      <w:r w:rsidR="00524113">
        <w:rPr>
          <w:lang w:bidi="he-IL"/>
        </w:rPr>
        <w:t>)</w:t>
      </w:r>
      <w:r w:rsidR="00524113" w:rsidRPr="00524113">
        <w:rPr>
          <w:lang w:bidi="he-IL"/>
        </w:rPr>
        <w:t>.</w:t>
      </w:r>
    </w:p>
    <w:p w14:paraId="58489217" w14:textId="20BD5F0B" w:rsidR="00825AFF" w:rsidRDefault="005D4081" w:rsidP="00A53627">
      <w:pPr>
        <w:rPr>
          <w:lang w:bidi="he-IL"/>
        </w:rPr>
      </w:pPr>
      <w:r>
        <w:rPr>
          <w:lang w:bidi="he-IL"/>
        </w:rPr>
        <w:t xml:space="preserve"> </w:t>
      </w:r>
      <w:r w:rsidR="00524113">
        <w:rPr>
          <w:lang w:bidi="he-IL"/>
        </w:rPr>
        <w:t>The formal procedure which Abraham invokes</w:t>
      </w:r>
      <w:r w:rsidR="00F55A11">
        <w:rPr>
          <w:lang w:bidi="he-IL"/>
        </w:rPr>
        <w:t xml:space="preserve"> (v. 2b)</w:t>
      </w:r>
      <w:r w:rsidR="00524113">
        <w:rPr>
          <w:lang w:bidi="he-IL"/>
        </w:rPr>
        <w:t xml:space="preserve"> symbolizes the trust and vulnerability involved in the commission Abraham is about to give his servant. </w:t>
      </w:r>
      <w:r w:rsidR="00825AFF">
        <w:rPr>
          <w:lang w:bidi="he-IL"/>
        </w:rPr>
        <w:t>The action implies grasping Abraham’s genitals, the source of his procreative activity (cf. 46:26; and for swearing an oath in this way, 47:29). Abraham is making himself vulnerable to his servant, and his servant is being admitted to the utter privacy of his master’s body, so that in effect he is taking an oath on his master’s</w:t>
      </w:r>
      <w:r w:rsidR="00797112">
        <w:rPr>
          <w:lang w:bidi="he-IL"/>
        </w:rPr>
        <w:t xml:space="preserve"> body and </w:t>
      </w:r>
      <w:r w:rsidR="005B79E5">
        <w:rPr>
          <w:lang w:bidi="he-IL"/>
        </w:rPr>
        <w:t xml:space="preserve">on </w:t>
      </w:r>
      <w:r w:rsidR="00797112">
        <w:rPr>
          <w:lang w:bidi="he-IL"/>
        </w:rPr>
        <w:t>his capacity for life</w:t>
      </w:r>
      <w:r>
        <w:rPr>
          <w:lang w:bidi="he-IL"/>
        </w:rPr>
        <w:t>, the capacity he had exercised in fathering Isaac</w:t>
      </w:r>
      <w:r w:rsidR="00797112">
        <w:rPr>
          <w:lang w:bidi="he-IL"/>
        </w:rPr>
        <w:t xml:space="preserve"> (if the practice implied a link with circumcision and the covenant,</w:t>
      </w:r>
      <w:r w:rsidR="00797112">
        <w:rPr>
          <w:rStyle w:val="FootnoteReference"/>
          <w:lang w:bidi="he-IL"/>
        </w:rPr>
        <w:footnoteReference w:id="811"/>
      </w:r>
      <w:r w:rsidR="00797112">
        <w:rPr>
          <w:lang w:bidi="he-IL"/>
        </w:rPr>
        <w:t xml:space="preserve"> one would expect a more explicit reference to such a link).</w:t>
      </w:r>
    </w:p>
    <w:p w14:paraId="73196241" w14:textId="61C65EF1" w:rsidR="007348D7" w:rsidRDefault="00742179" w:rsidP="00A53627">
      <w:pPr>
        <w:rPr>
          <w:lang w:bidi="he-IL"/>
        </w:rPr>
      </w:pPr>
      <w:r>
        <w:rPr>
          <w:lang w:bidi="he-IL"/>
        </w:rPr>
        <w:t>S</w:t>
      </w:r>
      <w:r w:rsidR="00E2141F">
        <w:rPr>
          <w:lang w:bidi="he-IL"/>
        </w:rPr>
        <w:t>wearing in God’s name (v. 3</w:t>
      </w:r>
      <w:r w:rsidR="007348D7">
        <w:rPr>
          <w:lang w:bidi="he-IL"/>
        </w:rPr>
        <w:t>a</w:t>
      </w:r>
      <w:r w:rsidR="00E2141F">
        <w:rPr>
          <w:lang w:bidi="he-IL"/>
        </w:rPr>
        <w:t>) requires a correlative form of vulnerability on the servant’s part, and makes</w:t>
      </w:r>
      <w:r>
        <w:rPr>
          <w:lang w:bidi="he-IL"/>
        </w:rPr>
        <w:t xml:space="preserve"> possible Abraham’s entrusting </w:t>
      </w:r>
      <w:r w:rsidR="00E2141F">
        <w:rPr>
          <w:lang w:bidi="he-IL"/>
        </w:rPr>
        <w:t>this key task</w:t>
      </w:r>
      <w:r>
        <w:rPr>
          <w:lang w:bidi="he-IL"/>
        </w:rPr>
        <w:t xml:space="preserve"> to him</w:t>
      </w:r>
      <w:r w:rsidR="00E2141F">
        <w:rPr>
          <w:lang w:bidi="he-IL"/>
        </w:rPr>
        <w:t xml:space="preserve">. In agreeing to undertake the task, the servant is asking for Yahweh to act against him if he fails to do as he promises. </w:t>
      </w:r>
      <w:r w:rsidR="00C0799A">
        <w:rPr>
          <w:lang w:bidi="he-IL"/>
        </w:rPr>
        <w:t>Abraham speaks on one hand of Yahweh—anachronistically, as usual, but the name si</w:t>
      </w:r>
      <w:r w:rsidR="005B79E5">
        <w:rPr>
          <w:lang w:bidi="he-IL"/>
        </w:rPr>
        <w:t xml:space="preserve">gnifies that he is </w:t>
      </w:r>
      <w:r w:rsidR="00C0799A">
        <w:rPr>
          <w:lang w:bidi="he-IL"/>
        </w:rPr>
        <w:t xml:space="preserve">referring to </w:t>
      </w:r>
      <w:r w:rsidR="0091387A">
        <w:rPr>
          <w:lang w:bidi="he-IL"/>
        </w:rPr>
        <w:t xml:space="preserve">the real </w:t>
      </w:r>
      <w:r w:rsidR="00C0799A">
        <w:rPr>
          <w:lang w:bidi="he-IL"/>
        </w:rPr>
        <w:t>Go</w:t>
      </w:r>
      <w:r w:rsidR="005B79E5">
        <w:rPr>
          <w:lang w:bidi="he-IL"/>
        </w:rPr>
        <w:t>d as Israel will know him and to</w:t>
      </w:r>
      <w:r w:rsidR="00C0799A">
        <w:rPr>
          <w:lang w:bidi="he-IL"/>
        </w:rPr>
        <w:t xml:space="preserve"> God as the one who is involved in a s</w:t>
      </w:r>
      <w:r w:rsidR="005B79E5">
        <w:rPr>
          <w:lang w:bidi="he-IL"/>
        </w:rPr>
        <w:t>pecial way with hi</w:t>
      </w:r>
      <w:r w:rsidR="00C0799A">
        <w:rPr>
          <w:lang w:bidi="he-IL"/>
        </w:rPr>
        <w:t xml:space="preserve">m in order to fulfill a purpose through his offspring. He </w:t>
      </w:r>
      <w:r w:rsidR="005B79E5">
        <w:rPr>
          <w:lang w:bidi="he-IL"/>
        </w:rPr>
        <w:t xml:space="preserve">also speaks </w:t>
      </w:r>
      <w:r>
        <w:rPr>
          <w:lang w:bidi="he-IL"/>
        </w:rPr>
        <w:t>of this God as</w:t>
      </w:r>
      <w:r w:rsidR="007348D7">
        <w:rPr>
          <w:lang w:bidi="he-IL"/>
        </w:rPr>
        <w:t xml:space="preserve"> the God of the whole cosmos</w:t>
      </w:r>
      <w:r w:rsidR="00C0799A">
        <w:rPr>
          <w:lang w:bidi="he-IL"/>
        </w:rPr>
        <w:t>, using t</w:t>
      </w:r>
      <w:r w:rsidR="005B79E5">
        <w:rPr>
          <w:lang w:bidi="he-IL"/>
        </w:rPr>
        <w:t xml:space="preserve">erms reminiscent of </w:t>
      </w:r>
      <w:r w:rsidR="00C0799A">
        <w:rPr>
          <w:lang w:bidi="he-IL"/>
        </w:rPr>
        <w:t>Melchizedek</w:t>
      </w:r>
      <w:r w:rsidR="005B79E5">
        <w:rPr>
          <w:lang w:bidi="he-IL"/>
        </w:rPr>
        <w:t>’s words</w:t>
      </w:r>
      <w:r w:rsidR="00C0799A">
        <w:rPr>
          <w:lang w:bidi="he-IL"/>
        </w:rPr>
        <w:t xml:space="preserve"> </w:t>
      </w:r>
      <w:r>
        <w:rPr>
          <w:lang w:bidi="he-IL"/>
        </w:rPr>
        <w:t>which Abraham also took</w:t>
      </w:r>
      <w:r w:rsidR="00727890">
        <w:rPr>
          <w:lang w:bidi="he-IL"/>
        </w:rPr>
        <w:t xml:space="preserve"> </w:t>
      </w:r>
      <w:r>
        <w:rPr>
          <w:lang w:bidi="he-IL"/>
        </w:rPr>
        <w:t>up—</w:t>
      </w:r>
      <w:r w:rsidR="00482B7A">
        <w:rPr>
          <w:lang w:bidi="he-IL"/>
        </w:rPr>
        <w:t xml:space="preserve">there, too, </w:t>
      </w:r>
      <w:r>
        <w:rPr>
          <w:lang w:bidi="he-IL"/>
        </w:rPr>
        <w:t>he prefaced them</w:t>
      </w:r>
      <w:r w:rsidR="00482B7A">
        <w:rPr>
          <w:lang w:bidi="he-IL"/>
        </w:rPr>
        <w:t xml:space="preserve"> with the name Yahweh </w:t>
      </w:r>
      <w:r w:rsidR="00C0799A">
        <w:rPr>
          <w:lang w:bidi="he-IL"/>
        </w:rPr>
        <w:t>(14:19, 22)</w:t>
      </w:r>
      <w:r w:rsidR="00C67F16">
        <w:rPr>
          <w:lang w:bidi="he-IL"/>
        </w:rPr>
        <w:t xml:space="preserve">. </w:t>
      </w:r>
      <w:r w:rsidR="0091387A">
        <w:rPr>
          <w:lang w:bidi="he-IL"/>
        </w:rPr>
        <w:t>Like the creation story and the Melchizedek story, Gen 24 presupposes that Yahweh is the only God who really deserves to be called God.</w:t>
      </w:r>
      <w:r w:rsidR="0091387A">
        <w:rPr>
          <w:rStyle w:val="FootnoteReference"/>
          <w:lang w:bidi="he-IL"/>
        </w:rPr>
        <w:footnoteReference w:id="812"/>
      </w:r>
      <w:r w:rsidR="0091387A">
        <w:rPr>
          <w:lang w:bidi="he-IL"/>
        </w:rPr>
        <w:t xml:space="preserve"> The good news for the servant is that </w:t>
      </w:r>
      <w:r w:rsidR="0091387A" w:rsidRPr="0091387A">
        <w:rPr>
          <w:lang w:bidi="he-IL"/>
        </w:rPr>
        <w:t xml:space="preserve">Yahweh as the God of the heavens and the </w:t>
      </w:r>
      <w:r w:rsidR="0091387A">
        <w:rPr>
          <w:lang w:bidi="he-IL"/>
        </w:rPr>
        <w:t>earth holds sway in Mesopotamia a</w:t>
      </w:r>
      <w:r w:rsidR="005B79E5">
        <w:rPr>
          <w:lang w:bidi="he-IL"/>
        </w:rPr>
        <w:t xml:space="preserve">s much as in Canaan. The </w:t>
      </w:r>
      <w:r w:rsidR="0091387A">
        <w:rPr>
          <w:lang w:bidi="he-IL"/>
        </w:rPr>
        <w:t xml:space="preserve">phrase “God of the heavens and God of the earth” comes only here, though Ezra 5:11 has “God of the heavens and of the earth” in Aramaic. </w:t>
      </w:r>
    </w:p>
    <w:p w14:paraId="2FDB5904" w14:textId="109E1762" w:rsidR="007348D7" w:rsidRDefault="005B79E5" w:rsidP="00A53627">
      <w:pPr>
        <w:rPr>
          <w:lang w:bidi="he-IL"/>
        </w:rPr>
      </w:pPr>
      <w:r>
        <w:rPr>
          <w:lang w:bidi="he-IL"/>
        </w:rPr>
        <w:t xml:space="preserve">Abraham’s description of the </w:t>
      </w:r>
      <w:r w:rsidR="0091387A" w:rsidRPr="0091387A">
        <w:rPr>
          <w:lang w:bidi="he-IL"/>
        </w:rPr>
        <w:t xml:space="preserve">partner he seeks for Isaac </w:t>
      </w:r>
      <w:r w:rsidR="007348D7">
        <w:rPr>
          <w:lang w:bidi="he-IL"/>
        </w:rPr>
        <w:t xml:space="preserve">(vv. 3b-4) </w:t>
      </w:r>
      <w:r w:rsidR="0091387A" w:rsidRPr="0091387A">
        <w:rPr>
          <w:lang w:bidi="he-IL"/>
        </w:rPr>
        <w:t xml:space="preserve">implies the principle of endogamy; one marries someone from one’s own ethnic group. </w:t>
      </w:r>
      <w:r w:rsidR="00D45EB7">
        <w:rPr>
          <w:lang w:bidi="he-IL"/>
        </w:rPr>
        <w:t>Anglo Americans mostly marry Anglo Americans; African Americans mostly marry Africa</w:t>
      </w:r>
      <w:r w:rsidR="00354DE4">
        <w:rPr>
          <w:lang w:bidi="he-IL"/>
        </w:rPr>
        <w:t>n Americans. Problem O</w:t>
      </w:r>
      <w:r w:rsidR="00D45EB7">
        <w:rPr>
          <w:lang w:bidi="he-IL"/>
        </w:rPr>
        <w:t>ne</w:t>
      </w:r>
      <w:r w:rsidR="00605123">
        <w:rPr>
          <w:lang w:bidi="he-IL"/>
        </w:rPr>
        <w:t xml:space="preserve"> in getting Isaac a wife</w:t>
      </w:r>
      <w:r w:rsidR="00D45EB7">
        <w:rPr>
          <w:lang w:bidi="he-IL"/>
        </w:rPr>
        <w:t>,</w:t>
      </w:r>
      <w:r w:rsidR="007348D7">
        <w:rPr>
          <w:lang w:bidi="he-IL"/>
        </w:rPr>
        <w:t xml:space="preserve"> then</w:t>
      </w:r>
      <w:r w:rsidR="00D45EB7" w:rsidRPr="00D45EB7">
        <w:rPr>
          <w:lang w:bidi="he-IL"/>
        </w:rPr>
        <w:t xml:space="preserve">, </w:t>
      </w:r>
      <w:r w:rsidR="004A4992">
        <w:rPr>
          <w:lang w:bidi="he-IL"/>
        </w:rPr>
        <w:t xml:space="preserve">is that she needs to come </w:t>
      </w:r>
      <w:r w:rsidR="0091387A">
        <w:rPr>
          <w:lang w:bidi="he-IL"/>
        </w:rPr>
        <w:t>fr</w:t>
      </w:r>
      <w:r>
        <w:rPr>
          <w:lang w:bidi="he-IL"/>
        </w:rPr>
        <w:t>om his extended family, which</w:t>
      </w:r>
      <w:r w:rsidR="004A4992">
        <w:rPr>
          <w:lang w:bidi="he-IL"/>
        </w:rPr>
        <w:t xml:space="preserve"> is a long way away.</w:t>
      </w:r>
      <w:r w:rsidR="00D45EB7">
        <w:rPr>
          <w:lang w:bidi="he-IL"/>
        </w:rPr>
        <w:t xml:space="preserve"> </w:t>
      </w:r>
      <w:r w:rsidR="007348D7">
        <w:rPr>
          <w:lang w:bidi="he-IL"/>
        </w:rPr>
        <w:t>Bu</w:t>
      </w:r>
      <w:r>
        <w:rPr>
          <w:lang w:bidi="he-IL"/>
        </w:rPr>
        <w:t>t the</w:t>
      </w:r>
      <w:r w:rsidR="003E1827">
        <w:rPr>
          <w:lang w:bidi="he-IL"/>
        </w:rPr>
        <w:t xml:space="preserve"> </w:t>
      </w:r>
      <w:r w:rsidR="007348D7" w:rsidRPr="007348D7">
        <w:rPr>
          <w:lang w:bidi="he-IL"/>
        </w:rPr>
        <w:t>mention</w:t>
      </w:r>
      <w:r w:rsidR="003E1827">
        <w:rPr>
          <w:lang w:bidi="he-IL"/>
        </w:rPr>
        <w:t xml:space="preserve"> of the Canaanites implie</w:t>
      </w:r>
      <w:r w:rsidR="00115153">
        <w:rPr>
          <w:lang w:bidi="he-IL"/>
        </w:rPr>
        <w:t>s a more specific</w:t>
      </w:r>
      <w:r w:rsidR="007348D7" w:rsidRPr="007348D7">
        <w:rPr>
          <w:lang w:bidi="he-IL"/>
        </w:rPr>
        <w:t xml:space="preserve"> point. </w:t>
      </w:r>
      <w:r w:rsidR="00115153">
        <w:rPr>
          <w:lang w:bidi="he-IL"/>
        </w:rPr>
        <w:t>For the audience the particular problem with Canaanites is their offensive practices such as the sacrifice of children</w:t>
      </w:r>
      <w:r w:rsidR="00D06162">
        <w:rPr>
          <w:lang w:bidi="he-IL"/>
        </w:rPr>
        <w:t>, though also the broader danger that through assimilation Israel w</w:t>
      </w:r>
      <w:r w:rsidR="00115153">
        <w:rPr>
          <w:lang w:bidi="he-IL"/>
        </w:rPr>
        <w:t xml:space="preserve">ould die out as a distinctive entity </w:t>
      </w:r>
      <w:r w:rsidR="00D06162">
        <w:rPr>
          <w:lang w:bidi="he-IL"/>
        </w:rPr>
        <w:t>belonging to Yahweh and committed to a distinctive vocation from Yahweh</w:t>
      </w:r>
      <w:r w:rsidR="00115153">
        <w:rPr>
          <w:lang w:bidi="he-IL"/>
        </w:rPr>
        <w:t xml:space="preserve">. </w:t>
      </w:r>
      <w:r w:rsidR="007348D7" w:rsidRPr="007348D7">
        <w:rPr>
          <w:lang w:bidi="he-IL"/>
        </w:rPr>
        <w:t xml:space="preserve">While the stories of people such as Melchizedek suggest that Abraham’s clan had less reason to be hesitant about the </w:t>
      </w:r>
      <w:r w:rsidR="003E1827">
        <w:rPr>
          <w:lang w:bidi="he-IL"/>
        </w:rPr>
        <w:t>inhabitants of Canaan</w:t>
      </w:r>
      <w:r w:rsidR="007348D7" w:rsidRPr="007348D7">
        <w:rPr>
          <w:lang w:bidi="he-IL"/>
        </w:rPr>
        <w:t xml:space="preserve"> than the Israel</w:t>
      </w:r>
      <w:r w:rsidR="00F55A11">
        <w:rPr>
          <w:lang w:bidi="he-IL"/>
        </w:rPr>
        <w:t>ites later had, for such listeners</w:t>
      </w:r>
      <w:r w:rsidR="007348D7" w:rsidRPr="007348D7">
        <w:rPr>
          <w:lang w:bidi="he-IL"/>
        </w:rPr>
        <w:t xml:space="preserve"> there was</w:t>
      </w:r>
      <w:r w:rsidR="003E1827">
        <w:rPr>
          <w:lang w:bidi="he-IL"/>
        </w:rPr>
        <w:t xml:space="preserve"> indeed </w:t>
      </w:r>
      <w:r w:rsidR="007348D7" w:rsidRPr="007348D7">
        <w:rPr>
          <w:lang w:bidi="he-IL"/>
        </w:rPr>
        <w:t>reason to be wary about marrying Canaanites</w:t>
      </w:r>
      <w:r w:rsidR="00D06162">
        <w:rPr>
          <w:lang w:bidi="he-IL"/>
        </w:rPr>
        <w:t xml:space="preserve">. </w:t>
      </w:r>
      <w:r w:rsidR="007B45D6">
        <w:rPr>
          <w:lang w:bidi="he-IL"/>
        </w:rPr>
        <w:t>Abraham’s attitude</w:t>
      </w:r>
      <w:r w:rsidR="007348D7" w:rsidRPr="007348D7">
        <w:rPr>
          <w:lang w:bidi="he-IL"/>
        </w:rPr>
        <w:t xml:space="preserve"> would </w:t>
      </w:r>
      <w:r w:rsidR="00D06162">
        <w:rPr>
          <w:lang w:bidi="he-IL"/>
        </w:rPr>
        <w:t>match the one widely taken in the First Testament</w:t>
      </w:r>
      <w:r w:rsidR="007348D7" w:rsidRPr="007348D7">
        <w:rPr>
          <w:lang w:bidi="he-IL"/>
        </w:rPr>
        <w:t>.</w:t>
      </w:r>
      <w:r w:rsidR="00727890">
        <w:rPr>
          <w:lang w:bidi="he-IL"/>
        </w:rPr>
        <w:t xml:space="preserve"> </w:t>
      </w:r>
      <w:r>
        <w:rPr>
          <w:lang w:bidi="he-IL"/>
        </w:rPr>
        <w:t>Admittedly,</w:t>
      </w:r>
      <w:r w:rsidR="00440F77">
        <w:rPr>
          <w:lang w:bidi="he-IL"/>
        </w:rPr>
        <w:t xml:space="preserve"> G</w:t>
      </w:r>
      <w:r>
        <w:rPr>
          <w:lang w:bidi="he-IL"/>
        </w:rPr>
        <w:t>enesis does not make this point,</w:t>
      </w:r>
      <w:r w:rsidR="00440F77">
        <w:rPr>
          <w:rStyle w:val="FootnoteReference"/>
          <w:lang w:bidi="he-IL"/>
        </w:rPr>
        <w:footnoteReference w:id="813"/>
      </w:r>
      <w:r>
        <w:rPr>
          <w:lang w:bidi="he-IL"/>
        </w:rPr>
        <w:t xml:space="preserve"> and</w:t>
      </w:r>
      <w:r w:rsidR="007348D7">
        <w:rPr>
          <w:lang w:bidi="he-IL"/>
        </w:rPr>
        <w:t xml:space="preserve"> if Abraham wished to avoid religious compromise arising from Isaac’s marria</w:t>
      </w:r>
      <w:r w:rsidR="00E10A93">
        <w:rPr>
          <w:lang w:bidi="he-IL"/>
        </w:rPr>
        <w:t>ge, people living back in Harran</w:t>
      </w:r>
      <w:r>
        <w:rPr>
          <w:lang w:bidi="he-IL"/>
        </w:rPr>
        <w:t xml:space="preserve"> might not seem much </w:t>
      </w:r>
      <w:r w:rsidR="007348D7">
        <w:rPr>
          <w:lang w:bidi="he-IL"/>
        </w:rPr>
        <w:t>improvement</w:t>
      </w:r>
      <w:r>
        <w:rPr>
          <w:lang w:bidi="he-IL"/>
        </w:rPr>
        <w:t xml:space="preserve"> over Canaanites</w:t>
      </w:r>
      <w:r w:rsidR="007348D7">
        <w:rPr>
          <w:lang w:bidi="he-IL"/>
        </w:rPr>
        <w:t xml:space="preserve">. They surely served other deities; Yahweh had not got involved with them. But the ease with which </w:t>
      </w:r>
      <w:r w:rsidR="00E10A93">
        <w:rPr>
          <w:lang w:bidi="he-IL"/>
        </w:rPr>
        <w:t xml:space="preserve">not only the servant speaks of Yahweh before them in vv. 35, 40, 42, 44, 48, and 56, but also </w:t>
      </w:r>
      <w:r w:rsidR="007348D7">
        <w:rPr>
          <w:lang w:bidi="he-IL"/>
        </w:rPr>
        <w:t xml:space="preserve">they speak of Yahweh </w:t>
      </w:r>
      <w:r w:rsidR="00E10A93">
        <w:rPr>
          <w:lang w:bidi="he-IL"/>
        </w:rPr>
        <w:t xml:space="preserve">to him </w:t>
      </w:r>
      <w:r w:rsidR="007348D7">
        <w:rPr>
          <w:lang w:bidi="he-IL"/>
        </w:rPr>
        <w:t>in vv. 31</w:t>
      </w:r>
      <w:r w:rsidR="00E10A93">
        <w:rPr>
          <w:lang w:bidi="he-IL"/>
        </w:rPr>
        <w:t xml:space="preserve">, 50, and 51, suggests that the </w:t>
      </w:r>
      <w:r w:rsidR="008C52AB">
        <w:rPr>
          <w:lang w:bidi="he-IL"/>
        </w:rPr>
        <w:t xml:space="preserve">story’s perspective </w:t>
      </w:r>
      <w:r w:rsidR="00E10A93">
        <w:rPr>
          <w:lang w:bidi="he-IL"/>
        </w:rPr>
        <w:t>is that Abraham need not worry about religious contamination f</w:t>
      </w:r>
      <w:r w:rsidR="00D06162">
        <w:rPr>
          <w:lang w:bidi="he-IL"/>
        </w:rPr>
        <w:t>rom a wi</w:t>
      </w:r>
      <w:r w:rsidR="00354DE4">
        <w:rPr>
          <w:lang w:bidi="he-IL"/>
        </w:rPr>
        <w:t>fe with that background. Nor need he</w:t>
      </w:r>
      <w:r w:rsidR="00D06162">
        <w:rPr>
          <w:lang w:bidi="he-IL"/>
        </w:rPr>
        <w:t xml:space="preserve"> worry that he is moving outside the family within which Yahweh is at work fulfilling his purpose to bring blessing to his family and to the world.</w:t>
      </w:r>
    </w:p>
    <w:p w14:paraId="0CF2BC9B" w14:textId="07306DD1" w:rsidR="004A4992" w:rsidRDefault="00C67F16" w:rsidP="00A53627">
      <w:pPr>
        <w:rPr>
          <w:lang w:bidi="he-IL"/>
        </w:rPr>
      </w:pPr>
      <w:r>
        <w:rPr>
          <w:b/>
          <w:lang w:bidi="he-IL"/>
        </w:rPr>
        <w:t>24:5-9.</w:t>
      </w:r>
      <w:r>
        <w:rPr>
          <w:lang w:bidi="he-IL"/>
        </w:rPr>
        <w:t xml:space="preserve"> </w:t>
      </w:r>
      <w:proofErr w:type="gramStart"/>
      <w:r w:rsidR="00A71DBD">
        <w:rPr>
          <w:lang w:bidi="he-IL"/>
        </w:rPr>
        <w:t>The</w:t>
      </w:r>
      <w:proofErr w:type="gramEnd"/>
      <w:r w:rsidR="00A71DBD">
        <w:rPr>
          <w:lang w:bidi="he-IL"/>
        </w:rPr>
        <w:t xml:space="preserve"> servant points out Problem</w:t>
      </w:r>
      <w:r w:rsidR="004A4992">
        <w:rPr>
          <w:lang w:bidi="he-IL"/>
        </w:rPr>
        <w:t xml:space="preserve"> Two. While </w:t>
      </w:r>
      <w:r w:rsidR="00A71DBD">
        <w:rPr>
          <w:lang w:bidi="he-IL"/>
        </w:rPr>
        <w:t>no</w:t>
      </w:r>
      <w:r w:rsidR="00354DE4">
        <w:rPr>
          <w:lang w:bidi="he-IL"/>
        </w:rPr>
        <w:t xml:space="preserve"> one raises the question whether</w:t>
      </w:r>
      <w:r w:rsidR="00A71DBD">
        <w:rPr>
          <w:lang w:bidi="he-IL"/>
        </w:rPr>
        <w:t xml:space="preserve"> </w:t>
      </w:r>
      <w:r w:rsidR="003E1827">
        <w:rPr>
          <w:lang w:bidi="he-IL"/>
        </w:rPr>
        <w:t>Isaac</w:t>
      </w:r>
      <w:r w:rsidR="00354DE4">
        <w:rPr>
          <w:lang w:bidi="he-IL"/>
        </w:rPr>
        <w:t xml:space="preserve"> should have</w:t>
      </w:r>
      <w:r w:rsidR="00A71DBD">
        <w:rPr>
          <w:lang w:bidi="he-IL"/>
        </w:rPr>
        <w:t xml:space="preserve"> a</w:t>
      </w:r>
      <w:r w:rsidR="00E40AF7">
        <w:rPr>
          <w:lang w:bidi="he-IL"/>
        </w:rPr>
        <w:t xml:space="preserve"> say over who</w:t>
      </w:r>
      <w:r w:rsidR="004A4992">
        <w:rPr>
          <w:lang w:bidi="he-IL"/>
        </w:rPr>
        <w:t xml:space="preserve"> he marries, his potential bride will have a say. What if she won’t play ball? It’s not that she won’t fancy Isaac</w:t>
      </w:r>
      <w:r w:rsidR="00354DE4">
        <w:rPr>
          <w:lang w:bidi="he-IL"/>
        </w:rPr>
        <w:t xml:space="preserve"> whom she won’t have seen</w:t>
      </w:r>
      <w:r w:rsidR="004A4992">
        <w:rPr>
          <w:lang w:bidi="he-IL"/>
        </w:rPr>
        <w:t xml:space="preserve">, but </w:t>
      </w:r>
      <w:r w:rsidR="00354DE4">
        <w:rPr>
          <w:lang w:bidi="he-IL"/>
        </w:rPr>
        <w:t>that she won’t fancy</w:t>
      </w:r>
      <w:r w:rsidR="004A4992">
        <w:rPr>
          <w:lang w:bidi="he-IL"/>
        </w:rPr>
        <w:t xml:space="preserve"> leaving </w:t>
      </w:r>
      <w:r w:rsidR="004A4992">
        <w:rPr>
          <w:lang w:bidi="he-IL"/>
        </w:rPr>
        <w:lastRenderedPageBreak/>
        <w:t xml:space="preserve">Mesopotamia for Canaan. Maybe Isaac therefore has to go back to live in Mesopotamia? Which is more important, </w:t>
      </w:r>
      <w:r w:rsidR="005E0C17">
        <w:rPr>
          <w:lang w:bidi="he-IL"/>
        </w:rPr>
        <w:t>to marry within the extended family or to stay in Canaan?</w:t>
      </w:r>
    </w:p>
    <w:p w14:paraId="573A4B17" w14:textId="176257FF" w:rsidR="00554FC0" w:rsidRDefault="00554FC0" w:rsidP="00A53627">
      <w:pPr>
        <w:rPr>
          <w:lang w:bidi="he-IL"/>
        </w:rPr>
      </w:pPr>
      <w:r>
        <w:rPr>
          <w:lang w:bidi="he-IL"/>
        </w:rPr>
        <w:t xml:space="preserve">There’s no doubt about the answer </w:t>
      </w:r>
      <w:r w:rsidR="00A71DBD">
        <w:rPr>
          <w:lang w:bidi="he-IL"/>
        </w:rPr>
        <w:t xml:space="preserve">to that question </w:t>
      </w:r>
      <w:r>
        <w:rPr>
          <w:lang w:bidi="he-IL"/>
        </w:rPr>
        <w:t xml:space="preserve">(vv. 6-7). </w:t>
      </w:r>
      <w:r w:rsidR="0079316F">
        <w:rPr>
          <w:lang w:bidi="he-IL"/>
        </w:rPr>
        <w:t>Abraham states a third principle for identifying a marriage partner—</w:t>
      </w:r>
      <w:r w:rsidR="00A71DBD">
        <w:rPr>
          <w:lang w:bidi="he-IL"/>
        </w:rPr>
        <w:t>as well as endogamy and avoidance of</w:t>
      </w:r>
      <w:r w:rsidR="0079316F">
        <w:rPr>
          <w:lang w:bidi="he-IL"/>
        </w:rPr>
        <w:t xml:space="preserve"> </w:t>
      </w:r>
      <w:r w:rsidR="00A71DBD">
        <w:rPr>
          <w:lang w:bidi="he-IL"/>
        </w:rPr>
        <w:t>the Canaanites, there is the importance of</w:t>
      </w:r>
      <w:r w:rsidR="0079316F">
        <w:rPr>
          <w:lang w:bidi="he-IL"/>
        </w:rPr>
        <w:t xml:space="preserve"> living in light of Yahweh’s promise of the land.</w:t>
      </w:r>
      <w:r w:rsidR="00665962">
        <w:rPr>
          <w:lang w:bidi="he-IL"/>
        </w:rPr>
        <w:t xml:space="preserve"> </w:t>
      </w:r>
      <w:r w:rsidR="00665962" w:rsidRPr="00665962">
        <w:rPr>
          <w:lang w:bidi="he-IL"/>
        </w:rPr>
        <w:t xml:space="preserve">Isaac is </w:t>
      </w:r>
      <w:r w:rsidR="00A71DBD">
        <w:rPr>
          <w:lang w:bidi="he-IL"/>
        </w:rPr>
        <w:t xml:space="preserve">to be </w:t>
      </w:r>
      <w:r w:rsidR="00665962" w:rsidRPr="00665962">
        <w:rPr>
          <w:lang w:bidi="he-IL"/>
        </w:rPr>
        <w:t xml:space="preserve">unique among Israel’s ancestors for </w:t>
      </w:r>
      <w:r w:rsidR="00665962">
        <w:rPr>
          <w:lang w:bidi="he-IL"/>
        </w:rPr>
        <w:t xml:space="preserve">having Yahweh designate his wife, </w:t>
      </w:r>
      <w:r w:rsidR="00A71DBD">
        <w:rPr>
          <w:lang w:bidi="he-IL"/>
        </w:rPr>
        <w:t xml:space="preserve">for </w:t>
      </w:r>
      <w:r w:rsidR="00665962">
        <w:rPr>
          <w:lang w:bidi="he-IL"/>
        </w:rPr>
        <w:t>praying for his wife to have a baby</w:t>
      </w:r>
      <w:r w:rsidR="00A71DBD">
        <w:rPr>
          <w:lang w:bidi="he-IL"/>
        </w:rPr>
        <w:t xml:space="preserve">—and for never leaving the </w:t>
      </w:r>
      <w:proofErr w:type="gramStart"/>
      <w:r w:rsidR="00A71DBD">
        <w:rPr>
          <w:lang w:bidi="he-IL"/>
        </w:rPr>
        <w:t>promised land</w:t>
      </w:r>
      <w:proofErr w:type="gramEnd"/>
      <w:r w:rsidR="00665962">
        <w:rPr>
          <w:lang w:bidi="he-IL"/>
        </w:rPr>
        <w:t>.</w:t>
      </w:r>
      <w:r w:rsidR="00665962">
        <w:rPr>
          <w:rStyle w:val="FootnoteReference"/>
          <w:lang w:bidi="he-IL"/>
        </w:rPr>
        <w:footnoteReference w:id="814"/>
      </w:r>
      <w:r w:rsidR="00A71DBD">
        <w:rPr>
          <w:lang w:bidi="he-IL"/>
        </w:rPr>
        <w:t xml:space="preserve"> </w:t>
      </w:r>
      <w:r>
        <w:rPr>
          <w:lang w:bidi="he-IL"/>
        </w:rPr>
        <w:t xml:space="preserve">Yahweh </w:t>
      </w:r>
      <w:r w:rsidR="00B0114B">
        <w:rPr>
          <w:lang w:bidi="he-IL"/>
        </w:rPr>
        <w:t xml:space="preserve">had </w:t>
      </w:r>
      <w:r>
        <w:rPr>
          <w:lang w:bidi="he-IL"/>
        </w:rPr>
        <w:t>brought Abraham to Canaan with the intention that his offspring should possess this co</w:t>
      </w:r>
      <w:r w:rsidR="00B0114B">
        <w:rPr>
          <w:lang w:bidi="he-IL"/>
        </w:rPr>
        <w:t>untry. Abraham picks up the ter</w:t>
      </w:r>
      <w:r>
        <w:rPr>
          <w:lang w:bidi="he-IL"/>
        </w:rPr>
        <w:t xml:space="preserve">ms </w:t>
      </w:r>
      <w:r w:rsidR="00B0114B">
        <w:rPr>
          <w:lang w:bidi="he-IL"/>
        </w:rPr>
        <w:t>“father’s household” and</w:t>
      </w:r>
      <w:r>
        <w:rPr>
          <w:lang w:bidi="he-IL"/>
        </w:rPr>
        <w:t xml:space="preserve"> </w:t>
      </w:r>
      <w:r w:rsidR="00B0114B">
        <w:rPr>
          <w:lang w:bidi="he-IL"/>
        </w:rPr>
        <w:t>“</w:t>
      </w:r>
      <w:r>
        <w:rPr>
          <w:lang w:bidi="he-IL"/>
        </w:rPr>
        <w:t>homeland</w:t>
      </w:r>
      <w:r w:rsidR="00B0114B">
        <w:rPr>
          <w:lang w:bidi="he-IL"/>
        </w:rPr>
        <w:t>”</w:t>
      </w:r>
      <w:r>
        <w:rPr>
          <w:lang w:bidi="he-IL"/>
        </w:rPr>
        <w:t xml:space="preserve"> from 12:1</w:t>
      </w:r>
      <w:r w:rsidR="007B45D6">
        <w:rPr>
          <w:lang w:bidi="he-IL"/>
        </w:rPr>
        <w:t xml:space="preserve"> but in using them he underlines the fact that endogamy itself is not enough</w:t>
      </w:r>
      <w:r w:rsidR="00B0114B">
        <w:rPr>
          <w:lang w:bidi="he-IL"/>
        </w:rPr>
        <w:t xml:space="preserve">. </w:t>
      </w:r>
      <w:r w:rsidR="007B45D6">
        <w:rPr>
          <w:lang w:bidi="he-IL"/>
        </w:rPr>
        <w:t xml:space="preserve">The person Isaac marries must also be someone who identifies with this project of Yahweh’s. </w:t>
      </w:r>
      <w:r w:rsidR="00B0114B">
        <w:rPr>
          <w:lang w:bidi="he-IL"/>
        </w:rPr>
        <w:t>Yahweh had not literally sworn an oath to give the country to Abraham’s offspring (Yahweh’s only actual oath came in 22:15-18), but he had promised it, and for</w:t>
      </w:r>
      <w:r w:rsidR="009A500C">
        <w:rPr>
          <w:lang w:bidi="he-IL"/>
        </w:rPr>
        <w:t xml:space="preserve"> Yahweh th</w:t>
      </w:r>
      <w:r w:rsidR="008D355C">
        <w:rPr>
          <w:lang w:bidi="he-IL"/>
        </w:rPr>
        <w:t>ere is no difference. When it is Yahweh who speaks</w:t>
      </w:r>
      <w:r w:rsidR="009A500C">
        <w:rPr>
          <w:lang w:bidi="he-IL"/>
        </w:rPr>
        <w:t xml:space="preserve">, </w:t>
      </w:r>
      <w:r w:rsidR="008D355C">
        <w:rPr>
          <w:lang w:bidi="he-IL"/>
        </w:rPr>
        <w:t>an oath only buttress</w:t>
      </w:r>
      <w:r w:rsidR="00B0114B">
        <w:rPr>
          <w:lang w:bidi="he-IL"/>
        </w:rPr>
        <w:t xml:space="preserve">es the confidence </w:t>
      </w:r>
      <w:r w:rsidR="009A500C">
        <w:rPr>
          <w:lang w:bidi="he-IL"/>
        </w:rPr>
        <w:t xml:space="preserve">of the </w:t>
      </w:r>
      <w:r w:rsidR="008D355C">
        <w:rPr>
          <w:lang w:bidi="he-IL"/>
        </w:rPr>
        <w:t>promise’s recipient</w:t>
      </w:r>
      <w:r w:rsidR="00B0114B">
        <w:rPr>
          <w:lang w:bidi="he-IL"/>
        </w:rPr>
        <w:t>. Abraham know</w:t>
      </w:r>
      <w:r w:rsidR="002800CC">
        <w:rPr>
          <w:lang w:bidi="he-IL"/>
        </w:rPr>
        <w:t>s</w:t>
      </w:r>
      <w:r w:rsidR="00B0114B">
        <w:rPr>
          <w:lang w:bidi="he-IL"/>
        </w:rPr>
        <w:t xml:space="preserve"> that God made that promise and </w:t>
      </w:r>
      <w:r w:rsidR="009A500C">
        <w:rPr>
          <w:lang w:bidi="he-IL"/>
        </w:rPr>
        <w:t xml:space="preserve">he </w:t>
      </w:r>
      <w:r w:rsidR="00B0114B">
        <w:rPr>
          <w:lang w:bidi="he-IL"/>
        </w:rPr>
        <w:t xml:space="preserve">apparently also knows that Isaac needs </w:t>
      </w:r>
      <w:r w:rsidR="008D355C">
        <w:rPr>
          <w:lang w:bidi="he-IL"/>
        </w:rPr>
        <w:t>to marry someone from back home (n</w:t>
      </w:r>
      <w:r w:rsidR="008D355C" w:rsidRPr="008D355C">
        <w:rPr>
          <w:lang w:bidi="he-IL"/>
        </w:rPr>
        <w:t>otwithstanding her mention in 22:20-24, no one seems to know about Rebe</w:t>
      </w:r>
      <w:r w:rsidR="008D355C">
        <w:rPr>
          <w:lang w:bidi="he-IL"/>
        </w:rPr>
        <w:t>kah at this stage in this story,</w:t>
      </w:r>
      <w:r w:rsidR="008D355C" w:rsidRPr="008D355C">
        <w:rPr>
          <w:vertAlign w:val="superscript"/>
          <w:lang w:bidi="he-IL"/>
        </w:rPr>
        <w:footnoteReference w:id="815"/>
      </w:r>
      <w:r w:rsidR="008D355C" w:rsidRPr="008D355C">
        <w:rPr>
          <w:lang w:bidi="he-IL"/>
        </w:rPr>
        <w:t xml:space="preserve"> </w:t>
      </w:r>
      <w:r w:rsidR="00B0114B">
        <w:rPr>
          <w:lang w:bidi="he-IL"/>
        </w:rPr>
        <w:t>thoug</w:t>
      </w:r>
      <w:r w:rsidR="003E1827">
        <w:rPr>
          <w:lang w:bidi="he-IL"/>
        </w:rPr>
        <w:t>h that mention</w:t>
      </w:r>
      <w:r w:rsidR="008D355C">
        <w:rPr>
          <w:lang w:bidi="he-IL"/>
        </w:rPr>
        <w:t xml:space="preserve"> would have enabled the audience</w:t>
      </w:r>
      <w:r w:rsidR="00B0114B">
        <w:rPr>
          <w:lang w:bidi="he-IL"/>
        </w:rPr>
        <w:t xml:space="preserve"> to put two and two together</w:t>
      </w:r>
      <w:r w:rsidR="008D355C">
        <w:rPr>
          <w:lang w:bidi="he-IL"/>
        </w:rPr>
        <w:t>)</w:t>
      </w:r>
      <w:r w:rsidR="00B0114B">
        <w:rPr>
          <w:lang w:bidi="he-IL"/>
        </w:rPr>
        <w:t>. And Abraham has enough experience of Yahweh getting involved with him and his family to be able to extrapolate to how Yahweh will ensure that the two aspects of his intention find fulfillment (see 16:7-</w:t>
      </w:r>
      <w:r w:rsidR="006B6DB6">
        <w:rPr>
          <w:lang w:bidi="he-IL"/>
        </w:rPr>
        <w:t xml:space="preserve">12; 31:17; 22:11-18). </w:t>
      </w:r>
      <w:r w:rsidR="00354DE4">
        <w:rPr>
          <w:lang w:bidi="he-IL"/>
        </w:rPr>
        <w:t>I</w:t>
      </w:r>
      <w:r w:rsidR="008D355C">
        <w:rPr>
          <w:lang w:bidi="he-IL"/>
        </w:rPr>
        <w:t>t i</w:t>
      </w:r>
      <w:r w:rsidR="001D6E91">
        <w:rPr>
          <w:lang w:bidi="he-IL"/>
        </w:rPr>
        <w:t xml:space="preserve">s still quite a statement of trust. </w:t>
      </w:r>
      <w:r w:rsidR="003E2AAF" w:rsidRPr="003E2AAF">
        <w:rPr>
          <w:lang w:bidi="he-IL"/>
        </w:rPr>
        <w:t>“In complete and perfect faith” he affirms that “those heavenly spirits and princes are engaged in this seemingly insignificant, carnal, and foolish work.”</w:t>
      </w:r>
      <w:r w:rsidR="003E2AAF" w:rsidRPr="003E2AAF">
        <w:rPr>
          <w:vertAlign w:val="superscript"/>
          <w:lang w:bidi="he-IL"/>
        </w:rPr>
        <w:footnoteReference w:id="816"/>
      </w:r>
      <w:r w:rsidR="003E2AAF">
        <w:rPr>
          <w:lang w:bidi="he-IL"/>
        </w:rPr>
        <w:t xml:space="preserve"> </w:t>
      </w:r>
      <w:r w:rsidR="002800CC">
        <w:rPr>
          <w:lang w:bidi="he-IL"/>
        </w:rPr>
        <w:t>So the readers know who the servant will find, though not how</w:t>
      </w:r>
      <w:r w:rsidR="008D355C">
        <w:rPr>
          <w:lang w:bidi="he-IL"/>
        </w:rPr>
        <w:t xml:space="preserve"> he will find her; Abraham doesn’</w:t>
      </w:r>
      <w:r w:rsidR="002800CC">
        <w:rPr>
          <w:lang w:bidi="he-IL"/>
        </w:rPr>
        <w:t>t know who he will find, but he knows how he will find her.</w:t>
      </w:r>
      <w:r w:rsidR="002800CC">
        <w:rPr>
          <w:rStyle w:val="FootnoteReference"/>
          <w:lang w:bidi="he-IL"/>
        </w:rPr>
        <w:footnoteReference w:id="817"/>
      </w:r>
      <w:r w:rsidR="002800CC">
        <w:rPr>
          <w:lang w:bidi="he-IL"/>
        </w:rPr>
        <w:t xml:space="preserve"> </w:t>
      </w:r>
      <w:r w:rsidR="008C52AB">
        <w:rPr>
          <w:lang w:bidi="he-IL"/>
        </w:rPr>
        <w:t>The</w:t>
      </w:r>
      <w:r>
        <w:rPr>
          <w:lang w:bidi="he-IL"/>
        </w:rPr>
        <w:t xml:space="preserve"> gloss on the name Yahweh </w:t>
      </w:r>
      <w:r w:rsidR="008C52AB">
        <w:rPr>
          <w:lang w:bidi="he-IL"/>
        </w:rPr>
        <w:t xml:space="preserve">that Abraham uses here, </w:t>
      </w:r>
      <w:r w:rsidR="008C52AB" w:rsidRPr="008C52AB">
        <w:rPr>
          <w:lang w:bidi="he-IL"/>
        </w:rPr>
        <w:t>“the God of the heav</w:t>
      </w:r>
      <w:r w:rsidR="008C52AB">
        <w:rPr>
          <w:lang w:bidi="he-IL"/>
        </w:rPr>
        <w:t xml:space="preserve">ens,” </w:t>
      </w:r>
      <w:r>
        <w:rPr>
          <w:lang w:bidi="he-IL"/>
        </w:rPr>
        <w:t>has nearly all its parallel</w:t>
      </w:r>
      <w:r w:rsidR="009F66F5">
        <w:rPr>
          <w:lang w:bidi="he-IL"/>
        </w:rPr>
        <w:t>s in Ezra, Nehemiah, and Daniel</w:t>
      </w:r>
      <w:r>
        <w:rPr>
          <w:lang w:bidi="he-IL"/>
        </w:rPr>
        <w:t xml:space="preserve"> (e.g., Ezra 7</w:t>
      </w:r>
      <w:r w:rsidR="00AD231E">
        <w:rPr>
          <w:lang w:bidi="he-IL"/>
        </w:rPr>
        <w:t>:</w:t>
      </w:r>
      <w:r w:rsidR="008C52AB">
        <w:rPr>
          <w:lang w:bidi="he-IL"/>
        </w:rPr>
        <w:t>21, 23; Neh 1:4-5; Dan 2:18-19); it is</w:t>
      </w:r>
      <w:r w:rsidR="00AD231E">
        <w:rPr>
          <w:lang w:bidi="he-IL"/>
        </w:rPr>
        <w:t xml:space="preserve"> perhaps a sign that the story gives Aramaic coloring to its story set in Aram</w:t>
      </w:r>
      <w:r>
        <w:rPr>
          <w:lang w:bidi="he-IL"/>
        </w:rPr>
        <w:t>.</w:t>
      </w:r>
      <w:r w:rsidR="00AD231E">
        <w:rPr>
          <w:rStyle w:val="FootnoteReference"/>
          <w:lang w:bidi="he-IL"/>
        </w:rPr>
        <w:footnoteReference w:id="818"/>
      </w:r>
      <w:r w:rsidR="0079316F">
        <w:rPr>
          <w:lang w:bidi="he-IL"/>
        </w:rPr>
        <w:t xml:space="preserve"> That God is </w:t>
      </w:r>
      <w:r w:rsidR="003E2AAF">
        <w:rPr>
          <w:lang w:bidi="he-IL"/>
        </w:rPr>
        <w:t xml:space="preserve">once again </w:t>
      </w:r>
      <w:r w:rsidR="0079316F">
        <w:rPr>
          <w:lang w:bidi="he-IL"/>
        </w:rPr>
        <w:t>the guarantee that the servant’s mission to this far away land can be successful. He is not just active in this land.</w:t>
      </w:r>
    </w:p>
    <w:p w14:paraId="725FA7D0" w14:textId="77777777" w:rsidR="006B6DB6" w:rsidRDefault="001D6E91" w:rsidP="00A53627">
      <w:pPr>
        <w:rPr>
          <w:lang w:bidi="he-IL"/>
        </w:rPr>
      </w:pPr>
      <w:r>
        <w:rPr>
          <w:lang w:bidi="he-IL"/>
        </w:rPr>
        <w:t>Abraham rec</w:t>
      </w:r>
      <w:r w:rsidR="008C52AB">
        <w:rPr>
          <w:lang w:bidi="he-IL"/>
        </w:rPr>
        <w:t>ognizes that God does not usually</w:t>
      </w:r>
      <w:r>
        <w:rPr>
          <w:lang w:bidi="he-IL"/>
        </w:rPr>
        <w:t xml:space="preserve"> compel people to fulfill his purpose (v</w:t>
      </w:r>
      <w:r w:rsidR="003E2AAF">
        <w:rPr>
          <w:lang w:bidi="he-IL"/>
        </w:rPr>
        <w:t>v</w:t>
      </w:r>
      <w:r>
        <w:rPr>
          <w:lang w:bidi="he-IL"/>
        </w:rPr>
        <w:t>. 8</w:t>
      </w:r>
      <w:r w:rsidR="003E2AAF">
        <w:rPr>
          <w:lang w:bidi="he-IL"/>
        </w:rPr>
        <w:t>-9</w:t>
      </w:r>
      <w:r>
        <w:rPr>
          <w:lang w:bidi="he-IL"/>
        </w:rPr>
        <w:t xml:space="preserve">). Abraham </w:t>
      </w:r>
      <w:r w:rsidR="008C52AB">
        <w:rPr>
          <w:lang w:bidi="he-IL"/>
        </w:rPr>
        <w:t xml:space="preserve">has </w:t>
      </w:r>
      <w:r w:rsidR="003E2AAF">
        <w:rPr>
          <w:lang w:bidi="he-IL"/>
        </w:rPr>
        <w:t>taken his</w:t>
      </w:r>
      <w:r w:rsidR="003E2AAF" w:rsidRPr="003E2AAF">
        <w:rPr>
          <w:lang w:bidi="he-IL"/>
        </w:rPr>
        <w:t xml:space="preserve"> initiative</w:t>
      </w:r>
      <w:r w:rsidR="003E2AAF">
        <w:rPr>
          <w:lang w:bidi="he-IL"/>
        </w:rPr>
        <w:t>,</w:t>
      </w:r>
      <w:r w:rsidR="003E2AAF" w:rsidRPr="003E2AAF">
        <w:rPr>
          <w:lang w:bidi="he-IL"/>
        </w:rPr>
        <w:t xml:space="preserve"> and he is confident that God’s leading will respond.</w:t>
      </w:r>
      <w:r w:rsidR="003E2AAF" w:rsidRPr="003E2AAF">
        <w:rPr>
          <w:vertAlign w:val="superscript"/>
          <w:lang w:bidi="he-IL"/>
        </w:rPr>
        <w:footnoteReference w:id="819"/>
      </w:r>
      <w:r w:rsidR="003E2AAF" w:rsidRPr="003E2AAF">
        <w:rPr>
          <w:lang w:bidi="he-IL"/>
        </w:rPr>
        <w:t xml:space="preserve"> </w:t>
      </w:r>
      <w:r w:rsidR="003E2AAF">
        <w:rPr>
          <w:lang w:bidi="he-IL"/>
        </w:rPr>
        <w:t>Rebekah will make her decision</w:t>
      </w:r>
      <w:r>
        <w:rPr>
          <w:lang w:bidi="he-IL"/>
        </w:rPr>
        <w:t xml:space="preserve">. </w:t>
      </w:r>
      <w:r w:rsidR="003544B1">
        <w:rPr>
          <w:lang w:bidi="he-IL"/>
        </w:rPr>
        <w:t xml:space="preserve">The servant will have done his part. </w:t>
      </w:r>
    </w:p>
    <w:p w14:paraId="5AB5DD6F" w14:textId="2AAFA565" w:rsidR="00E41676" w:rsidRDefault="00696B95" w:rsidP="00A53627">
      <w:pPr>
        <w:rPr>
          <w:lang w:bidi="he-IL"/>
        </w:rPr>
      </w:pPr>
      <w:r>
        <w:rPr>
          <w:b/>
          <w:lang w:bidi="he-IL"/>
        </w:rPr>
        <w:t>24:10-14</w:t>
      </w:r>
      <w:r w:rsidR="003544B1">
        <w:rPr>
          <w:b/>
          <w:lang w:bidi="he-IL"/>
        </w:rPr>
        <w:t xml:space="preserve">. </w:t>
      </w:r>
      <w:r w:rsidR="006F1484">
        <w:rPr>
          <w:lang w:bidi="he-IL"/>
        </w:rPr>
        <w:t>One might hav</w:t>
      </w:r>
      <w:r w:rsidR="003E2AAF">
        <w:rPr>
          <w:lang w:bidi="he-IL"/>
        </w:rPr>
        <w:t xml:space="preserve">e assumed that Abraham was </w:t>
      </w:r>
      <w:r w:rsidR="00A06521">
        <w:rPr>
          <w:lang w:bidi="he-IL"/>
        </w:rPr>
        <w:t>sending off the</w:t>
      </w:r>
      <w:r w:rsidR="006F1484">
        <w:rPr>
          <w:lang w:bidi="he-IL"/>
        </w:rPr>
        <w:t xml:space="preserve"> servant</w:t>
      </w:r>
      <w:r w:rsidR="003E2AAF">
        <w:rPr>
          <w:lang w:bidi="he-IL"/>
        </w:rPr>
        <w:t xml:space="preserve"> on his own</w:t>
      </w:r>
      <w:r w:rsidR="00A06521">
        <w:rPr>
          <w:lang w:bidi="he-IL"/>
        </w:rPr>
        <w:t xml:space="preserve">, but it is not so. Arranging a marriage </w:t>
      </w:r>
      <w:r w:rsidR="003E1827">
        <w:rPr>
          <w:lang w:bidi="he-IL"/>
        </w:rPr>
        <w:t>would require</w:t>
      </w:r>
      <w:r w:rsidR="006F1484">
        <w:rPr>
          <w:lang w:bidi="he-IL"/>
        </w:rPr>
        <w:t xml:space="preserve"> gifts to seal or deepen the relationship between the two families</w:t>
      </w:r>
      <w:r w:rsidR="003E1827">
        <w:rPr>
          <w:lang w:bidi="he-IL"/>
        </w:rPr>
        <w:t>, comparable to the gift-giving and celebratory meal at a Western wedding</w:t>
      </w:r>
      <w:r w:rsidR="006F1484">
        <w:rPr>
          <w:lang w:bidi="he-IL"/>
        </w:rPr>
        <w:t>. When someone wants to take a girl a long way away, and when the head of the household is someone as pros</w:t>
      </w:r>
      <w:r w:rsidR="00F20749">
        <w:rPr>
          <w:lang w:bidi="he-IL"/>
        </w:rPr>
        <w:t xml:space="preserve">perous as Abraham, substantial </w:t>
      </w:r>
      <w:r w:rsidR="006F1484">
        <w:rPr>
          <w:lang w:bidi="he-IL"/>
        </w:rPr>
        <w:t>gifts would be needed, though “all the go</w:t>
      </w:r>
      <w:r w:rsidR="00A06521">
        <w:rPr>
          <w:lang w:bidi="he-IL"/>
        </w:rPr>
        <w:t>od things” is a hyperbole; it</w:t>
      </w:r>
      <w:r w:rsidR="00F20749">
        <w:rPr>
          <w:lang w:bidi="he-IL"/>
        </w:rPr>
        <w:t xml:space="preserve"> perhaps implies “examples of all the good things.” </w:t>
      </w:r>
      <w:r w:rsidR="0092423A">
        <w:rPr>
          <w:lang w:bidi="he-IL"/>
        </w:rPr>
        <w:t>Both the camels and their cargo will demonstrate Abraham’s wealth and prosperity to another family from whom</w:t>
      </w:r>
      <w:r w:rsidR="003E2AAF">
        <w:rPr>
          <w:lang w:bidi="he-IL"/>
        </w:rPr>
        <w:t xml:space="preserve"> he was seeking a wife for his son</w:t>
      </w:r>
      <w:r w:rsidR="0092423A">
        <w:rPr>
          <w:lang w:bidi="he-IL"/>
        </w:rPr>
        <w:t xml:space="preserve">. </w:t>
      </w:r>
      <w:r w:rsidR="003E2AAF">
        <w:rPr>
          <w:lang w:bidi="he-IL"/>
        </w:rPr>
        <w:t xml:space="preserve">In due course the camels will be </w:t>
      </w:r>
      <w:r w:rsidR="00196B48">
        <w:rPr>
          <w:lang w:bidi="he-IL"/>
        </w:rPr>
        <w:t xml:space="preserve">transport for the women whom the servant brings home </w:t>
      </w:r>
      <w:r w:rsidR="00196B48" w:rsidRPr="00196B48">
        <w:rPr>
          <w:lang w:bidi="he-IL"/>
        </w:rPr>
        <w:t xml:space="preserve">(cf. v. 61) </w:t>
      </w:r>
      <w:r w:rsidR="00196B48">
        <w:rPr>
          <w:lang w:bidi="he-IL"/>
        </w:rPr>
        <w:t>and perhaps in the meantime for</w:t>
      </w:r>
      <w:r w:rsidR="00B814B0">
        <w:rPr>
          <w:lang w:bidi="he-IL"/>
        </w:rPr>
        <w:t xml:space="preserve"> the men</w:t>
      </w:r>
      <w:r w:rsidR="003E2AAF">
        <w:rPr>
          <w:lang w:bidi="he-IL"/>
        </w:rPr>
        <w:t xml:space="preserve"> who accompany the servant (v. 32), but they also</w:t>
      </w:r>
      <w:r w:rsidR="00196B48">
        <w:rPr>
          <w:lang w:bidi="he-IL"/>
        </w:rPr>
        <w:t xml:space="preserve"> carry the gifts</w:t>
      </w:r>
      <w:r w:rsidR="00354DE4">
        <w:rPr>
          <w:lang w:bidi="he-IL"/>
        </w:rPr>
        <w:t xml:space="preserve"> and they may be</w:t>
      </w:r>
      <w:r w:rsidR="00527BCB">
        <w:rPr>
          <w:lang w:bidi="he-IL"/>
        </w:rPr>
        <w:t xml:space="preserve"> gifts for the prospective bride’s family</w:t>
      </w:r>
      <w:r w:rsidR="00196B48">
        <w:rPr>
          <w:lang w:bidi="he-IL"/>
        </w:rPr>
        <w:t xml:space="preserve">. </w:t>
      </w:r>
      <w:r w:rsidR="003E2AAF">
        <w:rPr>
          <w:lang w:bidi="he-IL"/>
        </w:rPr>
        <w:t>T</w:t>
      </w:r>
      <w:r w:rsidR="00F20749">
        <w:rPr>
          <w:lang w:bidi="he-IL"/>
        </w:rPr>
        <w:t>he brisk summary of the servan</w:t>
      </w:r>
      <w:r w:rsidR="00A06521">
        <w:rPr>
          <w:lang w:bidi="he-IL"/>
        </w:rPr>
        <w:t xml:space="preserve">t’s journey doesn’t make clear </w:t>
      </w:r>
      <w:r w:rsidR="00F20749">
        <w:rPr>
          <w:lang w:bidi="he-IL"/>
        </w:rPr>
        <w:t xml:space="preserve">to Western readers that </w:t>
      </w:r>
      <w:r w:rsidR="00F20749" w:rsidRPr="00F20749">
        <w:rPr>
          <w:lang w:bidi="he-IL"/>
        </w:rPr>
        <w:t>the distanc</w:t>
      </w:r>
      <w:r w:rsidR="00F20749">
        <w:rPr>
          <w:lang w:bidi="he-IL"/>
        </w:rPr>
        <w:t>e is several hundred miles</w:t>
      </w:r>
      <w:r w:rsidR="00A06521">
        <w:rPr>
          <w:lang w:bidi="he-IL"/>
        </w:rPr>
        <w:t>,</w:t>
      </w:r>
      <w:r w:rsidR="00F20749">
        <w:rPr>
          <w:lang w:bidi="he-IL"/>
        </w:rPr>
        <w:t xml:space="preserve"> so that the journey would take several </w:t>
      </w:r>
      <w:r w:rsidR="00F20749">
        <w:rPr>
          <w:lang w:bidi="he-IL"/>
        </w:rPr>
        <w:lastRenderedPageBreak/>
        <w:t>weeks</w:t>
      </w:r>
      <w:r w:rsidR="00F77CCD">
        <w:rPr>
          <w:lang w:bidi="he-IL"/>
        </w:rPr>
        <w:t xml:space="preserve"> (</w:t>
      </w:r>
      <w:r w:rsidR="009A6886">
        <w:rPr>
          <w:lang w:bidi="he-IL"/>
        </w:rPr>
        <w:t xml:space="preserve">from the “today” of v. 42 </w:t>
      </w:r>
      <w:r w:rsidR="009A6886">
        <w:rPr>
          <w:i/>
          <w:lang w:bidi="he-IL"/>
        </w:rPr>
        <w:t>GenR</w:t>
      </w:r>
      <w:r w:rsidR="00F77CCD">
        <w:rPr>
          <w:lang w:bidi="he-IL"/>
        </w:rPr>
        <w:t xml:space="preserve"> </w:t>
      </w:r>
      <w:r w:rsidR="009A6886">
        <w:rPr>
          <w:lang w:bidi="he-IL"/>
        </w:rPr>
        <w:t xml:space="preserve">59:11 infers that </w:t>
      </w:r>
      <w:r w:rsidR="00F77CCD">
        <w:rPr>
          <w:lang w:bidi="he-IL"/>
        </w:rPr>
        <w:t xml:space="preserve">God </w:t>
      </w:r>
      <w:r w:rsidR="009A6886" w:rsidRPr="009A6886">
        <w:rPr>
          <w:lang w:bidi="he-IL"/>
        </w:rPr>
        <w:t xml:space="preserve">miraculously </w:t>
      </w:r>
      <w:r w:rsidR="00F77CCD">
        <w:rPr>
          <w:lang w:bidi="he-IL"/>
        </w:rPr>
        <w:t>c</w:t>
      </w:r>
      <w:r w:rsidR="009A6886">
        <w:rPr>
          <w:lang w:bidi="he-IL"/>
        </w:rPr>
        <w:t>aused</w:t>
      </w:r>
      <w:r w:rsidR="003E2AAF">
        <w:rPr>
          <w:lang w:bidi="he-IL"/>
        </w:rPr>
        <w:t xml:space="preserve"> it</w:t>
      </w:r>
      <w:r w:rsidR="00F77CCD">
        <w:rPr>
          <w:lang w:bidi="he-IL"/>
        </w:rPr>
        <w:t xml:space="preserve"> to take only one day to get there</w:t>
      </w:r>
      <w:r w:rsidR="009A6886">
        <w:rPr>
          <w:lang w:bidi="he-IL"/>
        </w:rPr>
        <w:t xml:space="preserve">, </w:t>
      </w:r>
      <w:r w:rsidR="00F77CCD">
        <w:rPr>
          <w:lang w:bidi="he-IL"/>
        </w:rPr>
        <w:t xml:space="preserve">and </w:t>
      </w:r>
      <w:r w:rsidR="009A6886">
        <w:rPr>
          <w:lang w:bidi="he-IL"/>
        </w:rPr>
        <w:t xml:space="preserve">at v. 61 </w:t>
      </w:r>
      <w:r w:rsidR="009A6886" w:rsidRPr="009A6886">
        <w:rPr>
          <w:lang w:bidi="he-IL"/>
        </w:rPr>
        <w:t xml:space="preserve">TgPsJ </w:t>
      </w:r>
      <w:r w:rsidR="009A6886">
        <w:rPr>
          <w:lang w:bidi="he-IL"/>
        </w:rPr>
        <w:t xml:space="preserve">similarly has it taking only </w:t>
      </w:r>
      <w:r w:rsidR="00F77CCD">
        <w:rPr>
          <w:lang w:bidi="he-IL"/>
        </w:rPr>
        <w:t>one day to get back)</w:t>
      </w:r>
      <w:r w:rsidR="00F20749">
        <w:rPr>
          <w:lang w:bidi="he-IL"/>
        </w:rPr>
        <w:t>. Aram of the Two Rivers is a Hebrew expression equivalent to the Greek name Mesopotamia but it refers in particular to the northwestern part of Mesopotamia, equivalent to norther</w:t>
      </w:r>
      <w:r w:rsidR="00A16E61">
        <w:rPr>
          <w:lang w:bidi="he-IL"/>
        </w:rPr>
        <w:t>n</w:t>
      </w:r>
      <w:r w:rsidR="00F20749">
        <w:rPr>
          <w:lang w:bidi="he-IL"/>
        </w:rPr>
        <w:t xml:space="preserve"> Syria and northern Iraq. </w:t>
      </w:r>
      <w:r w:rsidR="00322C4F">
        <w:rPr>
          <w:lang w:bidi="he-IL"/>
        </w:rPr>
        <w:t>The two rivers are not the Euphrates and the Tigris but the Euphrates and its tributary the Khabur.</w:t>
      </w:r>
      <w:r w:rsidR="00322C4F">
        <w:rPr>
          <w:rStyle w:val="FootnoteReference"/>
          <w:lang w:bidi="he-IL"/>
        </w:rPr>
        <w:footnoteReference w:id="820"/>
      </w:r>
      <w:r w:rsidR="00322C4F">
        <w:rPr>
          <w:lang w:bidi="he-IL"/>
        </w:rPr>
        <w:t xml:space="preserve"> </w:t>
      </w:r>
      <w:r w:rsidR="003E1827">
        <w:rPr>
          <w:lang w:bidi="he-IL"/>
        </w:rPr>
        <w:t>Though</w:t>
      </w:r>
      <w:r w:rsidR="00A16E61">
        <w:rPr>
          <w:lang w:bidi="he-IL"/>
        </w:rPr>
        <w:t xml:space="preserve"> there is a town called Nahor, it is more natural to assume that “Nahor’s town” is Harran </w:t>
      </w:r>
      <w:r w:rsidR="00C05DF0">
        <w:rPr>
          <w:lang w:bidi="he-IL"/>
        </w:rPr>
        <w:t xml:space="preserve">(cf. 27:43) </w:t>
      </w:r>
      <w:r w:rsidR="00A16E61">
        <w:rPr>
          <w:lang w:bidi="he-IL"/>
        </w:rPr>
        <w:t>and that the servant knows to go there.</w:t>
      </w:r>
      <w:r w:rsidR="00E41676">
        <w:rPr>
          <w:lang w:bidi="he-IL"/>
        </w:rPr>
        <w:t xml:space="preserve"> </w:t>
      </w:r>
      <w:r w:rsidR="00A06521">
        <w:rPr>
          <w:lang w:bidi="he-IL"/>
        </w:rPr>
        <w:t xml:space="preserve">But </w:t>
      </w:r>
      <w:r w:rsidR="006D6E27">
        <w:rPr>
          <w:lang w:bidi="he-IL"/>
        </w:rPr>
        <w:t>Question Three now arises: will he be able to find the right girl?</w:t>
      </w:r>
    </w:p>
    <w:p w14:paraId="0DFCC35E" w14:textId="2C446679" w:rsidR="00A16E61" w:rsidRDefault="00A06521" w:rsidP="00A53627">
      <w:pPr>
        <w:rPr>
          <w:lang w:bidi="he-IL"/>
        </w:rPr>
      </w:pPr>
      <w:r>
        <w:rPr>
          <w:lang w:bidi="he-IL"/>
        </w:rPr>
        <w:t>He</w:t>
      </w:r>
      <w:r w:rsidR="00A16E61">
        <w:rPr>
          <w:lang w:bidi="he-IL"/>
        </w:rPr>
        <w:t xml:space="preserve"> happens to arrive in the evening (v. 11). The camels have perhaps not drunk since they left home.</w:t>
      </w:r>
      <w:r w:rsidR="00AA23A8">
        <w:rPr>
          <w:lang w:bidi="he-IL"/>
        </w:rPr>
        <w:t xml:space="preserve"> </w:t>
      </w:r>
      <w:r w:rsidR="00056F54">
        <w:rPr>
          <w:lang w:bidi="he-IL"/>
        </w:rPr>
        <w:t xml:space="preserve">While their need </w:t>
      </w:r>
      <w:r w:rsidR="0092423A">
        <w:rPr>
          <w:lang w:bidi="he-IL"/>
        </w:rPr>
        <w:t xml:space="preserve">for water </w:t>
      </w:r>
      <w:r>
        <w:rPr>
          <w:lang w:bidi="he-IL"/>
        </w:rPr>
        <w:t xml:space="preserve">thus suggests one </w:t>
      </w:r>
      <w:r w:rsidR="00056F54">
        <w:rPr>
          <w:lang w:bidi="he-IL"/>
        </w:rPr>
        <w:t>reason for stopping at the well</w:t>
      </w:r>
      <w:r w:rsidR="0092423A">
        <w:rPr>
          <w:lang w:bidi="he-IL"/>
        </w:rPr>
        <w:t xml:space="preserve"> and kneeling</w:t>
      </w:r>
      <w:r w:rsidR="00A654C2">
        <w:rPr>
          <w:lang w:bidi="he-IL"/>
        </w:rPr>
        <w:t xml:space="preserve"> so as to be able to drink</w:t>
      </w:r>
      <w:r w:rsidR="00056F54">
        <w:rPr>
          <w:lang w:bidi="he-IL"/>
        </w:rPr>
        <w:t xml:space="preserve">, another is that (like the town gateway) </w:t>
      </w:r>
      <w:r>
        <w:rPr>
          <w:lang w:bidi="he-IL"/>
        </w:rPr>
        <w:t xml:space="preserve">the well is a </w:t>
      </w:r>
      <w:r w:rsidR="00056F54" w:rsidRPr="00056F54">
        <w:rPr>
          <w:lang w:bidi="he-IL"/>
        </w:rPr>
        <w:t xml:space="preserve">place to meet people </w:t>
      </w:r>
      <w:r w:rsidR="00056F54">
        <w:rPr>
          <w:lang w:bidi="he-IL"/>
        </w:rPr>
        <w:t>as the cool of evening arrives</w:t>
      </w:r>
      <w:r w:rsidR="00A654C2">
        <w:rPr>
          <w:lang w:bidi="he-IL"/>
        </w:rPr>
        <w:t xml:space="preserve"> and</w:t>
      </w:r>
      <w:r w:rsidR="00A654C2" w:rsidRPr="00A654C2">
        <w:rPr>
          <w:lang w:bidi="he-IL"/>
        </w:rPr>
        <w:t xml:space="preserve"> thus </w:t>
      </w:r>
      <w:r w:rsidR="00354DE4">
        <w:rPr>
          <w:lang w:bidi="he-IL"/>
        </w:rPr>
        <w:t>a place for the servant to discover</w:t>
      </w:r>
      <w:r w:rsidR="00A654C2" w:rsidRPr="00A654C2">
        <w:rPr>
          <w:lang w:bidi="he-IL"/>
        </w:rPr>
        <w:t xml:space="preserve"> if he can locate Abraham’s extended family</w:t>
      </w:r>
      <w:r w:rsidR="00056F54">
        <w:rPr>
          <w:lang w:bidi="he-IL"/>
        </w:rPr>
        <w:t xml:space="preserve">. </w:t>
      </w:r>
      <w:r w:rsidR="00A654C2" w:rsidRPr="00A654C2">
        <w:rPr>
          <w:lang w:bidi="he-IL"/>
        </w:rPr>
        <w:t xml:space="preserve">Drawing water is usually the task of young women (cf. 1 Sam 9:11), but in 29:1-8 </w:t>
      </w:r>
      <w:r>
        <w:rPr>
          <w:lang w:bidi="he-IL"/>
        </w:rPr>
        <w:t xml:space="preserve">male </w:t>
      </w:r>
      <w:r w:rsidR="00A654C2" w:rsidRPr="00A654C2">
        <w:rPr>
          <w:lang w:bidi="he-IL"/>
        </w:rPr>
        <w:t xml:space="preserve">shepherds </w:t>
      </w:r>
      <w:r w:rsidR="008767E3">
        <w:rPr>
          <w:lang w:bidi="he-IL"/>
        </w:rPr>
        <w:t xml:space="preserve">(from Harran) </w:t>
      </w:r>
      <w:r w:rsidR="00A654C2" w:rsidRPr="00A654C2">
        <w:rPr>
          <w:lang w:bidi="he-IL"/>
        </w:rPr>
        <w:t xml:space="preserve">are just </w:t>
      </w:r>
      <w:r w:rsidR="008767E3">
        <w:rPr>
          <w:lang w:bidi="he-IL"/>
        </w:rPr>
        <w:t>hanging about near a well</w:t>
      </w:r>
      <w:r w:rsidR="00A654C2" w:rsidRPr="00A654C2">
        <w:rPr>
          <w:lang w:bidi="he-IL"/>
        </w:rPr>
        <w:t xml:space="preserve"> killing time.</w:t>
      </w:r>
    </w:p>
    <w:p w14:paraId="34DFB109" w14:textId="1F44B004" w:rsidR="009652BA" w:rsidRPr="00D72B07" w:rsidRDefault="00E41676" w:rsidP="009652BA">
      <w:pPr>
        <w:rPr>
          <w:lang w:bidi="he-IL"/>
        </w:rPr>
      </w:pPr>
      <w:r>
        <w:rPr>
          <w:lang w:bidi="he-IL"/>
        </w:rPr>
        <w:t xml:space="preserve">It is a strategic moment for the servant to pray (v. 12). </w:t>
      </w:r>
      <w:r w:rsidR="002B3368">
        <w:rPr>
          <w:lang w:bidi="he-IL"/>
        </w:rPr>
        <w:t>“Looking for a bride is a difficult matter—doubly difficult if one is supposed to choose a bride for another, but superhumanly difficult if the servant is seeking her for his young ma</w:t>
      </w:r>
      <w:r w:rsidR="008767E3">
        <w:rPr>
          <w:lang w:bidi="he-IL"/>
        </w:rPr>
        <w:t>s</w:t>
      </w:r>
      <w:r w:rsidR="002B3368">
        <w:rPr>
          <w:lang w:bidi="he-IL"/>
        </w:rPr>
        <w:t>ter.”</w:t>
      </w:r>
      <w:r w:rsidR="002B3368">
        <w:rPr>
          <w:rStyle w:val="FootnoteReference"/>
          <w:lang w:bidi="he-IL"/>
        </w:rPr>
        <w:footnoteReference w:id="821"/>
      </w:r>
      <w:r w:rsidR="002B3368">
        <w:rPr>
          <w:lang w:bidi="he-IL"/>
        </w:rPr>
        <w:t xml:space="preserve"> The servant</w:t>
      </w:r>
      <w:r w:rsidR="008767E3">
        <w:rPr>
          <w:lang w:bidi="he-IL"/>
        </w:rPr>
        <w:t xml:space="preserve"> addresses Yahweh in yet a further</w:t>
      </w:r>
      <w:r>
        <w:rPr>
          <w:lang w:bidi="he-IL"/>
        </w:rPr>
        <w:t xml:space="preserve"> way, as Abraham’s God. It is the first occurrence of such a description (c</w:t>
      </w:r>
      <w:r w:rsidR="008767E3">
        <w:rPr>
          <w:lang w:bidi="he-IL"/>
        </w:rPr>
        <w:t xml:space="preserve">f. 26:24; 28:13; 31:42, 53; also </w:t>
      </w:r>
      <w:r>
        <w:rPr>
          <w:lang w:bidi="he-IL"/>
        </w:rPr>
        <w:t>Ps 47:9). Expanded to incorporate reference t</w:t>
      </w:r>
      <w:r w:rsidR="00A06521">
        <w:rPr>
          <w:lang w:bidi="he-IL"/>
        </w:rPr>
        <w:t xml:space="preserve">o Isaac and Jacob, it will </w:t>
      </w:r>
      <w:r>
        <w:rPr>
          <w:lang w:bidi="he-IL"/>
        </w:rPr>
        <w:t>link the ancestors’ story with the exodus (Exod 3:6, 15, 16; 4:5; late</w:t>
      </w:r>
      <w:r w:rsidR="008767E3">
        <w:rPr>
          <w:lang w:bidi="he-IL"/>
        </w:rPr>
        <w:t>r</w:t>
      </w:r>
      <w:r w:rsidR="00354DE4">
        <w:rPr>
          <w:lang w:bidi="he-IL"/>
        </w:rPr>
        <w:t>,</w:t>
      </w:r>
      <w:r w:rsidR="008767E3">
        <w:rPr>
          <w:lang w:bidi="he-IL"/>
        </w:rPr>
        <w:t xml:space="preserve"> 1 Kings 18:36;</w:t>
      </w:r>
      <w:r>
        <w:rPr>
          <w:lang w:bidi="he-IL"/>
        </w:rPr>
        <w:t xml:space="preserve"> I Chro</w:t>
      </w:r>
      <w:r w:rsidR="00AA23A8">
        <w:rPr>
          <w:lang w:bidi="he-IL"/>
        </w:rPr>
        <w:t xml:space="preserve">n 29:18; 30:6). </w:t>
      </w:r>
      <w:r>
        <w:rPr>
          <w:lang w:bidi="he-IL"/>
        </w:rPr>
        <w:t>Its implication is that Yahweh relates</w:t>
      </w:r>
      <w:r w:rsidR="00AA23A8">
        <w:rPr>
          <w:lang w:bidi="he-IL"/>
        </w:rPr>
        <w:t xml:space="preserve"> to the </w:t>
      </w:r>
      <w:r w:rsidR="00A06521">
        <w:rPr>
          <w:lang w:bidi="he-IL"/>
        </w:rPr>
        <w:t xml:space="preserve">clan head </w:t>
      </w:r>
      <w:r w:rsidR="00AA23A8">
        <w:rPr>
          <w:lang w:bidi="he-IL"/>
        </w:rPr>
        <w:t xml:space="preserve">in a way that also benefits the </w:t>
      </w:r>
      <w:r w:rsidR="001E28D2">
        <w:rPr>
          <w:lang w:bidi="he-IL"/>
        </w:rPr>
        <w:t>clan itself</w:t>
      </w:r>
      <w:r w:rsidR="00AA23A8">
        <w:rPr>
          <w:lang w:bidi="he-IL"/>
        </w:rPr>
        <w:t>. The servant can himself address this God, so the idea is not that Abraham is like a priest through whom an ordinary person has to go</w:t>
      </w:r>
      <w:r w:rsidR="001E28D2">
        <w:rPr>
          <w:lang w:bidi="he-IL"/>
        </w:rPr>
        <w:t xml:space="preserve"> to get to God. R</w:t>
      </w:r>
      <w:r w:rsidR="00AA23A8">
        <w:rPr>
          <w:lang w:bidi="he-IL"/>
        </w:rPr>
        <w:t>ath</w:t>
      </w:r>
      <w:r w:rsidR="001E28D2">
        <w:rPr>
          <w:lang w:bidi="he-IL"/>
        </w:rPr>
        <w:t>er, he can make Yahweh’</w:t>
      </w:r>
      <w:r w:rsidR="00AA23A8">
        <w:rPr>
          <w:lang w:bidi="he-IL"/>
        </w:rPr>
        <w:t xml:space="preserve">s </w:t>
      </w:r>
      <w:r w:rsidR="001E28D2">
        <w:rPr>
          <w:lang w:bidi="he-IL"/>
        </w:rPr>
        <w:t xml:space="preserve">being </w:t>
      </w:r>
      <w:r w:rsidR="00AA23A8">
        <w:rPr>
          <w:lang w:bidi="he-IL"/>
        </w:rPr>
        <w:t>Abraham’s God the basis for a prayer that God may do what Abraham needs. Ab</w:t>
      </w:r>
      <w:r w:rsidR="008767E3">
        <w:rPr>
          <w:lang w:bidi="he-IL"/>
        </w:rPr>
        <w:t>raham, after all, is his master and his</w:t>
      </w:r>
      <w:r w:rsidR="001E28D2">
        <w:rPr>
          <w:lang w:bidi="he-IL"/>
        </w:rPr>
        <w:t xml:space="preserve"> mission is </w:t>
      </w:r>
      <w:r w:rsidR="00527BCB">
        <w:rPr>
          <w:lang w:bidi="he-IL"/>
        </w:rPr>
        <w:t>undertaken for Abraham, in connection with the fulfillment of God’s promi</w:t>
      </w:r>
      <w:r w:rsidR="008767E3">
        <w:rPr>
          <w:lang w:bidi="he-IL"/>
        </w:rPr>
        <w:t>se to him</w:t>
      </w:r>
      <w:r w:rsidR="00527BCB">
        <w:rPr>
          <w:lang w:bidi="he-IL"/>
        </w:rPr>
        <w:t>.</w:t>
      </w:r>
      <w:r w:rsidR="00044150">
        <w:rPr>
          <w:lang w:bidi="he-IL"/>
        </w:rPr>
        <w:t xml:space="preserve"> </w:t>
      </w:r>
      <w:r w:rsidR="001E28D2">
        <w:rPr>
          <w:lang w:bidi="he-IL"/>
        </w:rPr>
        <w:t>The action he seek</w:t>
      </w:r>
      <w:r w:rsidR="00044150" w:rsidRPr="00044150">
        <w:rPr>
          <w:lang w:bidi="he-IL"/>
        </w:rPr>
        <w:t xml:space="preserve">s </w:t>
      </w:r>
      <w:r w:rsidR="00044150">
        <w:rPr>
          <w:lang w:bidi="he-IL"/>
        </w:rPr>
        <w:t>will be an expression</w:t>
      </w:r>
      <w:r w:rsidR="00044150" w:rsidRPr="00044150">
        <w:rPr>
          <w:lang w:bidi="he-IL"/>
        </w:rPr>
        <w:t xml:space="preserve"> of Yahweh’s commitment (</w:t>
      </w:r>
      <w:r w:rsidR="00044150" w:rsidRPr="00044150">
        <w:rPr>
          <w:i/>
          <w:lang w:bidi="he-IL"/>
        </w:rPr>
        <w:t>ḥesed</w:t>
      </w:r>
      <w:r w:rsidR="00044150" w:rsidRPr="00044150">
        <w:rPr>
          <w:lang w:bidi="he-IL"/>
        </w:rPr>
        <w:t>)</w:t>
      </w:r>
      <w:r w:rsidR="00044150">
        <w:rPr>
          <w:lang w:bidi="he-IL"/>
        </w:rPr>
        <w:t>:</w:t>
      </w:r>
      <w:r w:rsidR="00354DE4">
        <w:rPr>
          <w:rStyle w:val="FootnoteReference"/>
          <w:lang w:bidi="he-IL"/>
        </w:rPr>
        <w:footnoteReference w:id="822"/>
      </w:r>
      <w:r w:rsidR="00044150">
        <w:rPr>
          <w:lang w:bidi="he-IL"/>
        </w:rPr>
        <w:t xml:space="preserve"> i</w:t>
      </w:r>
      <w:r w:rsidR="00044150" w:rsidRPr="00044150">
        <w:rPr>
          <w:lang w:bidi="he-IL"/>
        </w:rPr>
        <w:t xml:space="preserve">t is the first reference to Yahweh’s commitment in Genesis. </w:t>
      </w:r>
      <w:r w:rsidR="005D3612">
        <w:rPr>
          <w:lang w:bidi="he-IL"/>
        </w:rPr>
        <w:t>F</w:t>
      </w:r>
      <w:r w:rsidR="005D3612" w:rsidRPr="00044150">
        <w:rPr>
          <w:lang w:bidi="he-IL"/>
        </w:rPr>
        <w:t xml:space="preserve">or his own sake </w:t>
      </w:r>
      <w:r w:rsidR="00044150" w:rsidRPr="00044150">
        <w:rPr>
          <w:lang w:bidi="he-IL"/>
        </w:rPr>
        <w:t>Yahweh needs to act as the servant says, because of the kind of person he is.</w:t>
      </w:r>
      <w:r w:rsidR="001E28D2">
        <w:rPr>
          <w:lang w:bidi="he-IL"/>
        </w:rPr>
        <w:t xml:space="preserve"> The</w:t>
      </w:r>
      <w:r w:rsidR="00FB7C35">
        <w:rPr>
          <w:lang w:bidi="he-IL"/>
        </w:rPr>
        <w:t xml:space="preserve"> prayer involves a creative linguistic usage</w:t>
      </w:r>
      <w:r w:rsidR="009652BA">
        <w:rPr>
          <w:lang w:bidi="he-IL"/>
        </w:rPr>
        <w:t>. He asks for God t</w:t>
      </w:r>
      <w:r w:rsidR="00D72B07">
        <w:rPr>
          <w:lang w:bidi="he-IL"/>
        </w:rPr>
        <w:t>o “make something happen</w:t>
      </w:r>
      <w:r w:rsidR="00AA2766">
        <w:rPr>
          <w:lang w:bidi="he-IL"/>
        </w:rPr>
        <w:t>,</w:t>
      </w:r>
      <w:r w:rsidR="00D72B07">
        <w:rPr>
          <w:lang w:bidi="he-IL"/>
        </w:rPr>
        <w:t>”</w:t>
      </w:r>
      <w:r w:rsidR="00AA2766">
        <w:t xml:space="preserve"> </w:t>
      </w:r>
      <w:r w:rsidR="00AA2766" w:rsidRPr="00AA2766">
        <w:t>a paradoxical request since talk of things</w:t>
      </w:r>
      <w:r w:rsidR="00AA2766">
        <w:t xml:space="preserve"> “</w:t>
      </w:r>
      <w:r w:rsidR="00AA2766" w:rsidRPr="00AA2766">
        <w:t>happening</w:t>
      </w:r>
      <w:r w:rsidR="00AA2766">
        <w:t>”</w:t>
      </w:r>
      <w:r w:rsidR="00AA2766" w:rsidRPr="00AA2766">
        <w:t xml:space="preserve"> points aw</w:t>
      </w:r>
      <w:r w:rsidR="00AA2766">
        <w:t>ay from the idea of causation.</w:t>
      </w:r>
    </w:p>
    <w:p w14:paraId="04976F7A" w14:textId="087619AE" w:rsidR="00AA23A8" w:rsidRDefault="001E28D2" w:rsidP="00A53627">
      <w:pPr>
        <w:rPr>
          <w:lang w:bidi="he-IL"/>
        </w:rPr>
      </w:pPr>
      <w:r>
        <w:rPr>
          <w:lang w:bidi="he-IL"/>
        </w:rPr>
        <w:t xml:space="preserve">The </w:t>
      </w:r>
      <w:r w:rsidR="008767E3">
        <w:rPr>
          <w:lang w:bidi="he-IL"/>
        </w:rPr>
        <w:t xml:space="preserve">servant’s own confidence in God finds </w:t>
      </w:r>
      <w:r w:rsidR="00D72B07">
        <w:rPr>
          <w:lang w:bidi="he-IL"/>
        </w:rPr>
        <w:t xml:space="preserve">further </w:t>
      </w:r>
      <w:r w:rsidR="008767E3">
        <w:rPr>
          <w:lang w:bidi="he-IL"/>
        </w:rPr>
        <w:t>expression in the prayer’s bold</w:t>
      </w:r>
      <w:r w:rsidR="00AA23A8">
        <w:rPr>
          <w:lang w:bidi="he-IL"/>
        </w:rPr>
        <w:t xml:space="preserve"> specific</w:t>
      </w:r>
      <w:r w:rsidR="008767E3">
        <w:rPr>
          <w:lang w:bidi="he-IL"/>
        </w:rPr>
        <w:t>ity</w:t>
      </w:r>
      <w:r w:rsidR="00696B95">
        <w:rPr>
          <w:lang w:bidi="he-IL"/>
        </w:rPr>
        <w:t xml:space="preserve"> (vv. 13-14)</w:t>
      </w:r>
      <w:r w:rsidR="005D3612">
        <w:rPr>
          <w:lang w:bidi="he-IL"/>
        </w:rPr>
        <w:t>. It</w:t>
      </w:r>
      <w:r w:rsidR="008767E3">
        <w:rPr>
          <w:lang w:bidi="he-IL"/>
        </w:rPr>
        <w:t xml:space="preserve"> is </w:t>
      </w:r>
      <w:r w:rsidR="00AA23A8">
        <w:rPr>
          <w:lang w:bidi="he-IL"/>
        </w:rPr>
        <w:t>unparalleled elsewhe</w:t>
      </w:r>
      <w:r w:rsidR="008767E3">
        <w:rPr>
          <w:lang w:bidi="he-IL"/>
        </w:rPr>
        <w:t>re in the Scriptures. While p</w:t>
      </w:r>
      <w:r w:rsidR="00696B95">
        <w:rPr>
          <w:lang w:bidi="he-IL"/>
        </w:rPr>
        <w:t>rayers by Gideon,</w:t>
      </w:r>
      <w:r w:rsidR="00AA23A8">
        <w:rPr>
          <w:lang w:bidi="he-IL"/>
        </w:rPr>
        <w:t xml:space="preserve"> Elijah</w:t>
      </w:r>
      <w:r w:rsidR="00696B95">
        <w:rPr>
          <w:lang w:bidi="he-IL"/>
        </w:rPr>
        <w:t>, and</w:t>
      </w:r>
      <w:r w:rsidR="008767E3">
        <w:rPr>
          <w:lang w:bidi="he-IL"/>
        </w:rPr>
        <w:t xml:space="preserve"> Isaiah are near </w:t>
      </w:r>
      <w:r>
        <w:rPr>
          <w:lang w:bidi="he-IL"/>
        </w:rPr>
        <w:t>counterparts, they don’t</w:t>
      </w:r>
      <w:r w:rsidR="00696B95">
        <w:rPr>
          <w:lang w:bidi="he-IL"/>
        </w:rPr>
        <w:t xml:space="preserve"> rel</w:t>
      </w:r>
      <w:r>
        <w:rPr>
          <w:lang w:bidi="he-IL"/>
        </w:rPr>
        <w:t>ate directly to a task or</w:t>
      </w:r>
      <w:r w:rsidR="00696B95">
        <w:rPr>
          <w:lang w:bidi="he-IL"/>
        </w:rPr>
        <w:t xml:space="preserve"> to something that another person will need to do. </w:t>
      </w:r>
      <w:r w:rsidR="00E02997">
        <w:rPr>
          <w:lang w:bidi="he-IL"/>
        </w:rPr>
        <w:t>Jonathan’s ploy in 1 Sam 14 which relies on Yahweh’s making things work out requires the Philistines to reac</w:t>
      </w:r>
      <w:r>
        <w:rPr>
          <w:lang w:bidi="he-IL"/>
        </w:rPr>
        <w:t>t in the right way, but it doesn’</w:t>
      </w:r>
      <w:r w:rsidR="00E02997">
        <w:rPr>
          <w:lang w:bidi="he-IL"/>
        </w:rPr>
        <w:t xml:space="preserve">t involve a prayer. </w:t>
      </w:r>
      <w:r w:rsidR="00696B95">
        <w:rPr>
          <w:lang w:bidi="he-IL"/>
        </w:rPr>
        <w:t>The notion that Yahweh has decided on a specific bri</w:t>
      </w:r>
      <w:r w:rsidR="002B3368">
        <w:rPr>
          <w:lang w:bidi="he-IL"/>
        </w:rPr>
        <w:t>de for Isaac is</w:t>
      </w:r>
      <w:r w:rsidR="00696B95">
        <w:rPr>
          <w:lang w:bidi="he-IL"/>
        </w:rPr>
        <w:t xml:space="preserve"> a new feature in the story and it adds tension to the servant’s task. The servant adds </w:t>
      </w:r>
      <w:r w:rsidR="00044150">
        <w:rPr>
          <w:lang w:bidi="he-IL"/>
        </w:rPr>
        <w:t xml:space="preserve">further </w:t>
      </w:r>
      <w:r w:rsidR="00696B95">
        <w:rPr>
          <w:lang w:bidi="he-IL"/>
        </w:rPr>
        <w:t>motivation for Yahweh’s a</w:t>
      </w:r>
      <w:r w:rsidR="00044150">
        <w:rPr>
          <w:lang w:bidi="he-IL"/>
        </w:rPr>
        <w:t xml:space="preserve">nswering the prayer. As well as being an </w:t>
      </w:r>
      <w:r w:rsidR="00044150" w:rsidRPr="005D3612">
        <w:rPr>
          <w:i/>
          <w:lang w:bidi="he-IL"/>
        </w:rPr>
        <w:t>expression</w:t>
      </w:r>
      <w:r w:rsidR="00044150">
        <w:rPr>
          <w:lang w:bidi="he-IL"/>
        </w:rPr>
        <w:t xml:space="preserve"> </w:t>
      </w:r>
      <w:r w:rsidR="00696B95">
        <w:rPr>
          <w:lang w:bidi="he-IL"/>
        </w:rPr>
        <w:t xml:space="preserve">of Yahweh’s commitment, </w:t>
      </w:r>
      <w:r w:rsidR="00044150">
        <w:rPr>
          <w:lang w:bidi="he-IL"/>
        </w:rPr>
        <w:t xml:space="preserve">it will be an </w:t>
      </w:r>
      <w:r w:rsidR="00044150" w:rsidRPr="005D3612">
        <w:rPr>
          <w:i/>
          <w:lang w:bidi="he-IL"/>
        </w:rPr>
        <w:t>evidence</w:t>
      </w:r>
      <w:r w:rsidR="00044150">
        <w:rPr>
          <w:lang w:bidi="he-IL"/>
        </w:rPr>
        <w:t xml:space="preserve"> of this commitment. It</w:t>
      </w:r>
      <w:r w:rsidR="00696B95">
        <w:rPr>
          <w:lang w:bidi="he-IL"/>
        </w:rPr>
        <w:t xml:space="preserve"> will lead to </w:t>
      </w:r>
      <w:r w:rsidR="00044150">
        <w:rPr>
          <w:lang w:bidi="he-IL"/>
        </w:rPr>
        <w:t xml:space="preserve">its </w:t>
      </w:r>
      <w:r w:rsidR="00696B95">
        <w:rPr>
          <w:lang w:bidi="he-IL"/>
        </w:rPr>
        <w:t xml:space="preserve">being known and </w:t>
      </w:r>
      <w:r>
        <w:rPr>
          <w:lang w:bidi="he-IL"/>
        </w:rPr>
        <w:t xml:space="preserve">to </w:t>
      </w:r>
      <w:r w:rsidR="00044150">
        <w:rPr>
          <w:lang w:bidi="he-IL"/>
        </w:rPr>
        <w:t xml:space="preserve">his being </w:t>
      </w:r>
      <w:r w:rsidR="00696B95">
        <w:rPr>
          <w:lang w:bidi="he-IL"/>
        </w:rPr>
        <w:t>acknowledged as this kind of God.</w:t>
      </w:r>
      <w:r w:rsidR="004A76F9">
        <w:rPr>
          <w:lang w:bidi="he-IL"/>
        </w:rPr>
        <w:t xml:space="preserve"> </w:t>
      </w:r>
      <w:r w:rsidR="00044150">
        <w:rPr>
          <w:lang w:bidi="he-IL"/>
        </w:rPr>
        <w:t>Further, it will mean</w:t>
      </w:r>
      <w:r w:rsidR="004A76F9">
        <w:rPr>
          <w:lang w:bidi="he-IL"/>
        </w:rPr>
        <w:t xml:space="preserve"> that the camels function in the story not only as markers of Abraham’s wealth but as a test of a prospective bride’s worthiness to share in it.</w:t>
      </w:r>
      <w:r w:rsidR="004A76F9">
        <w:rPr>
          <w:rStyle w:val="FootnoteReference"/>
          <w:lang w:bidi="he-IL"/>
        </w:rPr>
        <w:footnoteReference w:id="823"/>
      </w:r>
    </w:p>
    <w:p w14:paraId="409C608E" w14:textId="77777777" w:rsidR="000B542B" w:rsidRDefault="00696B95" w:rsidP="00A53627">
      <w:pPr>
        <w:rPr>
          <w:lang w:bidi="he-IL"/>
        </w:rPr>
      </w:pPr>
      <w:r>
        <w:rPr>
          <w:b/>
          <w:lang w:bidi="he-IL"/>
        </w:rPr>
        <w:t>24:15-21.</w:t>
      </w:r>
      <w:r>
        <w:rPr>
          <w:lang w:bidi="he-IL"/>
        </w:rPr>
        <w:t xml:space="preserve"> </w:t>
      </w:r>
      <w:proofErr w:type="gramStart"/>
      <w:r w:rsidR="004A76F9">
        <w:rPr>
          <w:lang w:bidi="he-IL"/>
        </w:rPr>
        <w:t>Wher</w:t>
      </w:r>
      <w:r w:rsidR="00044150">
        <w:rPr>
          <w:lang w:bidi="he-IL"/>
        </w:rPr>
        <w:t>eas</w:t>
      </w:r>
      <w:proofErr w:type="gramEnd"/>
      <w:r w:rsidR="00044150">
        <w:rPr>
          <w:lang w:bidi="he-IL"/>
        </w:rPr>
        <w:t xml:space="preserve"> in</w:t>
      </w:r>
      <w:r w:rsidR="00A74CE9">
        <w:rPr>
          <w:lang w:bidi="he-IL"/>
        </w:rPr>
        <w:t xml:space="preserve"> folktales</w:t>
      </w:r>
      <w:r w:rsidR="00044150">
        <w:rPr>
          <w:lang w:bidi="he-IL"/>
        </w:rPr>
        <w:t xml:space="preserve"> the right person </w:t>
      </w:r>
      <w:r w:rsidR="00A74CE9">
        <w:rPr>
          <w:lang w:bidi="he-IL"/>
        </w:rPr>
        <w:t xml:space="preserve">often </w:t>
      </w:r>
      <w:r w:rsidR="004A76F9">
        <w:rPr>
          <w:lang w:bidi="he-IL"/>
        </w:rPr>
        <w:t>emerge</w:t>
      </w:r>
      <w:r w:rsidR="00044150">
        <w:rPr>
          <w:lang w:bidi="he-IL"/>
        </w:rPr>
        <w:t>s</w:t>
      </w:r>
      <w:r w:rsidR="004A76F9">
        <w:rPr>
          <w:lang w:bidi="he-IL"/>
        </w:rPr>
        <w:t xml:space="preserve"> only after a couple of false starts</w:t>
      </w:r>
      <w:r w:rsidR="00A74CE9">
        <w:rPr>
          <w:lang w:bidi="he-IL"/>
        </w:rPr>
        <w:t xml:space="preserve"> (and cf.</w:t>
      </w:r>
      <w:r w:rsidR="00044150">
        <w:rPr>
          <w:lang w:bidi="he-IL"/>
        </w:rPr>
        <w:t xml:space="preserve"> 1 Sam 16</w:t>
      </w:r>
      <w:r w:rsidR="00A74CE9">
        <w:rPr>
          <w:lang w:bidi="he-IL"/>
        </w:rPr>
        <w:t>; 1 Esdras 3—4)</w:t>
      </w:r>
      <w:r w:rsidR="004A76F9">
        <w:rPr>
          <w:lang w:bidi="he-IL"/>
        </w:rPr>
        <w:t xml:space="preserve">, </w:t>
      </w:r>
      <w:r w:rsidR="00AD03D2">
        <w:rPr>
          <w:lang w:bidi="he-IL"/>
        </w:rPr>
        <w:t>and i</w:t>
      </w:r>
      <w:r w:rsidR="00B42785">
        <w:rPr>
          <w:lang w:bidi="he-IL"/>
        </w:rPr>
        <w:t>n Josephus other girls refuse the servant (</w:t>
      </w:r>
      <w:r w:rsidR="00B42785">
        <w:rPr>
          <w:i/>
          <w:lang w:bidi="he-IL"/>
        </w:rPr>
        <w:t xml:space="preserve">Antiquities </w:t>
      </w:r>
      <w:r w:rsidR="00E47B82">
        <w:rPr>
          <w:lang w:bidi="he-IL"/>
        </w:rPr>
        <w:t>I,</w:t>
      </w:r>
      <w:r w:rsidR="002C7A2A">
        <w:rPr>
          <w:lang w:bidi="he-IL"/>
        </w:rPr>
        <w:t xml:space="preserve"> </w:t>
      </w:r>
      <w:r w:rsidR="00B42785">
        <w:rPr>
          <w:lang w:bidi="he-IL"/>
        </w:rPr>
        <w:t xml:space="preserve">16:2), </w:t>
      </w:r>
      <w:r w:rsidR="004A76F9">
        <w:rPr>
          <w:lang w:bidi="he-IL"/>
        </w:rPr>
        <w:t>in this story she emerges immediately.</w:t>
      </w:r>
      <w:r w:rsidR="004A76F9">
        <w:rPr>
          <w:rStyle w:val="FootnoteReference"/>
          <w:lang w:bidi="he-IL"/>
        </w:rPr>
        <w:footnoteReference w:id="824"/>
      </w:r>
      <w:r w:rsidR="004A76F9">
        <w:rPr>
          <w:lang w:bidi="he-IL"/>
        </w:rPr>
        <w:t xml:space="preserve"> </w:t>
      </w:r>
      <w:r>
        <w:rPr>
          <w:lang w:bidi="he-IL"/>
        </w:rPr>
        <w:t xml:space="preserve">The </w:t>
      </w:r>
      <w:r w:rsidR="00000AAA">
        <w:rPr>
          <w:lang w:bidi="he-IL"/>
        </w:rPr>
        <w:t xml:space="preserve">speed with which an answer comes indicates the </w:t>
      </w:r>
      <w:r w:rsidR="001E28D2">
        <w:rPr>
          <w:lang w:bidi="he-IL"/>
        </w:rPr>
        <w:t xml:space="preserve">wonderful </w:t>
      </w:r>
      <w:r>
        <w:rPr>
          <w:lang w:bidi="he-IL"/>
        </w:rPr>
        <w:lastRenderedPageBreak/>
        <w:t xml:space="preserve">nature of Yahweh’s answer and the evidence of his commitment </w:t>
      </w:r>
      <w:r w:rsidR="000B542B">
        <w:rPr>
          <w:lang w:bidi="he-IL"/>
        </w:rPr>
        <w:t>t</w:t>
      </w:r>
      <w:r>
        <w:rPr>
          <w:lang w:bidi="he-IL"/>
        </w:rPr>
        <w:t>o Abraham</w:t>
      </w:r>
      <w:r w:rsidR="00000AAA">
        <w:rPr>
          <w:lang w:bidi="he-IL"/>
        </w:rPr>
        <w:t>.</w:t>
      </w:r>
      <w:r w:rsidR="000B542B">
        <w:rPr>
          <w:lang w:bidi="he-IL"/>
        </w:rPr>
        <w:t xml:space="preserve"> The story provides a concrete embodiment of Isa 65:24</w:t>
      </w:r>
      <w:r w:rsidR="006975FA">
        <w:rPr>
          <w:lang w:bidi="he-IL"/>
        </w:rPr>
        <w:t xml:space="preserve"> (</w:t>
      </w:r>
      <w:r w:rsidR="006975FA">
        <w:rPr>
          <w:i/>
          <w:lang w:bidi="he-IL"/>
        </w:rPr>
        <w:t xml:space="preserve">GenR </w:t>
      </w:r>
      <w:r w:rsidR="006975FA">
        <w:rPr>
          <w:lang w:bidi="he-IL"/>
        </w:rPr>
        <w:t>60:4 also compares Num 16:31 and 2 Chron 7:1)</w:t>
      </w:r>
      <w:r w:rsidR="000B542B">
        <w:rPr>
          <w:lang w:bidi="he-IL"/>
        </w:rPr>
        <w:t xml:space="preserve">. </w:t>
      </w:r>
      <w:r w:rsidR="00371FA2">
        <w:rPr>
          <w:lang w:bidi="he-IL"/>
        </w:rPr>
        <w:t>It was</w:t>
      </w:r>
      <w:r w:rsidR="00A74CE9">
        <w:rPr>
          <w:lang w:bidi="he-IL"/>
        </w:rPr>
        <w:t xml:space="preserve"> an outrageous prayer, but God wa</w:t>
      </w:r>
      <w:r w:rsidR="00371FA2">
        <w:rPr>
          <w:lang w:bidi="he-IL"/>
        </w:rPr>
        <w:t xml:space="preserve">s okay with it. </w:t>
      </w:r>
      <w:r w:rsidR="000B542B">
        <w:rPr>
          <w:lang w:bidi="he-IL"/>
        </w:rPr>
        <w:t>The family description of Rebekah harks back to 22:20-24</w:t>
      </w:r>
      <w:r w:rsidR="00253313">
        <w:rPr>
          <w:lang w:bidi="he-IL"/>
        </w:rPr>
        <w:t xml:space="preserve">, though the servant </w:t>
      </w:r>
      <w:r w:rsidR="00A74CE9">
        <w:rPr>
          <w:lang w:bidi="he-IL"/>
        </w:rPr>
        <w:t xml:space="preserve">still </w:t>
      </w:r>
      <w:r w:rsidR="00253313">
        <w:rPr>
          <w:lang w:bidi="he-IL"/>
        </w:rPr>
        <w:t xml:space="preserve">does not yet know these facts about her. But what he can see fits </w:t>
      </w:r>
      <w:r w:rsidR="000B542B">
        <w:rPr>
          <w:lang w:bidi="he-IL"/>
        </w:rPr>
        <w:t xml:space="preserve">the ideal requirements. </w:t>
      </w:r>
      <w:r w:rsidR="00A74CE9">
        <w:rPr>
          <w:lang w:bidi="he-IL"/>
        </w:rPr>
        <w:t>The servant could perhaps</w:t>
      </w:r>
      <w:r w:rsidR="00253313">
        <w:rPr>
          <w:lang w:bidi="he-IL"/>
        </w:rPr>
        <w:t xml:space="preserve"> tell f</w:t>
      </w:r>
      <w:r w:rsidR="00A74CE9">
        <w:rPr>
          <w:lang w:bidi="he-IL"/>
        </w:rPr>
        <w:t>rom her dress that she was not married</w:t>
      </w:r>
      <w:r w:rsidR="006D6E27">
        <w:rPr>
          <w:lang w:bidi="he-IL"/>
        </w:rPr>
        <w:t xml:space="preserve">. </w:t>
      </w:r>
      <w:r w:rsidR="000B542B">
        <w:rPr>
          <w:lang w:bidi="he-IL"/>
        </w:rPr>
        <w:t>The spring was evidently down some steps, and the servant watches her go down an</w:t>
      </w:r>
      <w:r w:rsidR="00056F54">
        <w:rPr>
          <w:lang w:bidi="he-IL"/>
        </w:rPr>
        <w:t>d come back up with her pitcher, in brisk businesslike fashion. It is not the last indication that Rebekah is not someone who messes around.</w:t>
      </w:r>
      <w:r w:rsidR="000061D3">
        <w:rPr>
          <w:rStyle w:val="FootnoteReference"/>
          <w:lang w:bidi="he-IL"/>
        </w:rPr>
        <w:footnoteReference w:id="825"/>
      </w:r>
      <w:r w:rsidR="000061D3">
        <w:rPr>
          <w:lang w:bidi="he-IL"/>
        </w:rPr>
        <w:t xml:space="preserve"> </w:t>
      </w:r>
    </w:p>
    <w:p w14:paraId="4A30FB21" w14:textId="1788A5B4" w:rsidR="000B542B" w:rsidRDefault="00253313" w:rsidP="00A53627">
      <w:pPr>
        <w:rPr>
          <w:lang w:bidi="he-IL"/>
        </w:rPr>
      </w:pPr>
      <w:r>
        <w:rPr>
          <w:lang w:bidi="he-IL"/>
        </w:rPr>
        <w:t xml:space="preserve">The servant’s request (vv. 17-20) soon establishes that </w:t>
      </w:r>
      <w:r w:rsidR="00A74CE9">
        <w:rPr>
          <w:lang w:bidi="he-IL"/>
        </w:rPr>
        <w:t>s</w:t>
      </w:r>
      <w:r>
        <w:rPr>
          <w:lang w:bidi="he-IL"/>
        </w:rPr>
        <w:t>he has the character to</w:t>
      </w:r>
      <w:r w:rsidR="00A74CE9">
        <w:rPr>
          <w:lang w:bidi="he-IL"/>
        </w:rPr>
        <w:t xml:space="preserve"> go with her looks and marital status</w:t>
      </w:r>
      <w:r>
        <w:rPr>
          <w:lang w:bidi="he-IL"/>
        </w:rPr>
        <w:t xml:space="preserve">. His </w:t>
      </w:r>
      <w:r w:rsidR="00A74CE9">
        <w:rPr>
          <w:lang w:bidi="he-IL"/>
        </w:rPr>
        <w:t>own running indicates his urgent desire to see if his prayer is find</w:t>
      </w:r>
      <w:r>
        <w:rPr>
          <w:lang w:bidi="he-IL"/>
        </w:rPr>
        <w:t xml:space="preserve">ing </w:t>
      </w:r>
      <w:r w:rsidR="00A74CE9">
        <w:rPr>
          <w:lang w:bidi="he-IL"/>
        </w:rPr>
        <w:t xml:space="preserve">its </w:t>
      </w:r>
      <w:r w:rsidR="005D3612">
        <w:rPr>
          <w:lang w:bidi="he-IL"/>
        </w:rPr>
        <w:t xml:space="preserve">answer and </w:t>
      </w:r>
      <w:r>
        <w:rPr>
          <w:lang w:bidi="he-IL"/>
        </w:rPr>
        <w:t xml:space="preserve">his journey </w:t>
      </w:r>
      <w:r w:rsidR="001E28D2">
        <w:rPr>
          <w:lang w:bidi="he-IL"/>
        </w:rPr>
        <w:t xml:space="preserve">thus </w:t>
      </w:r>
      <w:r>
        <w:rPr>
          <w:lang w:bidi="he-IL"/>
        </w:rPr>
        <w:t xml:space="preserve">meeting with success. </w:t>
      </w:r>
      <w:r w:rsidR="00BE17DE">
        <w:rPr>
          <w:lang w:bidi="he-IL"/>
        </w:rPr>
        <w:t>His prayer has not asked that the first girl who shows up will be the right one, but that the first girl who agrees to give him a drink and also offers on her own initiative to water the camels will be the right one. Giving someone a little water would be</w:t>
      </w:r>
      <w:r w:rsidR="002C7A2A">
        <w:rPr>
          <w:lang w:bidi="he-IL"/>
        </w:rPr>
        <w:t xml:space="preserve"> a small thing. D</w:t>
      </w:r>
      <w:r w:rsidR="00BE17DE">
        <w:rPr>
          <w:lang w:bidi="he-IL"/>
        </w:rPr>
        <w:t>raw</w:t>
      </w:r>
      <w:r w:rsidR="002C7A2A">
        <w:rPr>
          <w:lang w:bidi="he-IL"/>
        </w:rPr>
        <w:t>ing</w:t>
      </w:r>
      <w:r w:rsidR="00BE17DE">
        <w:rPr>
          <w:lang w:bidi="he-IL"/>
        </w:rPr>
        <w:t xml:space="preserve"> for the camels would be</w:t>
      </w:r>
      <w:r w:rsidR="005D3612">
        <w:rPr>
          <w:lang w:bidi="he-IL"/>
        </w:rPr>
        <w:t xml:space="preserve"> a huge undertaking; if</w:t>
      </w:r>
      <w:r>
        <w:rPr>
          <w:lang w:bidi="he-IL"/>
        </w:rPr>
        <w:t xml:space="preserve"> they have not drunk for weeks, their capacity would be gargantuan. </w:t>
      </w:r>
      <w:r w:rsidR="004E57E3">
        <w:rPr>
          <w:lang w:bidi="he-IL"/>
        </w:rPr>
        <w:t>Initially she offers only a drink for him, w</w:t>
      </w:r>
      <w:r w:rsidR="00A074FD">
        <w:rPr>
          <w:lang w:bidi="he-IL"/>
        </w:rPr>
        <w:t>hich raises suspense—maybe she’</w:t>
      </w:r>
      <w:r w:rsidR="004E57E3">
        <w:rPr>
          <w:lang w:bidi="he-IL"/>
        </w:rPr>
        <w:t xml:space="preserve">s not the right girl. But then, unprompted, she comes through with her special offer. </w:t>
      </w:r>
    </w:p>
    <w:p w14:paraId="541F0F22" w14:textId="0B787B4B" w:rsidR="00253313" w:rsidRDefault="0033438D" w:rsidP="005D3612">
      <w:pPr>
        <w:rPr>
          <w:lang w:bidi="he-IL"/>
        </w:rPr>
      </w:pPr>
      <w:r>
        <w:rPr>
          <w:lang w:bidi="he-IL"/>
        </w:rPr>
        <w:t>“While Rebeka</w:t>
      </w:r>
      <w:r w:rsidR="005D3612">
        <w:rPr>
          <w:lang w:bidi="he-IL"/>
        </w:rPr>
        <w:t>h</w:t>
      </w:r>
      <w:r>
        <w:rPr>
          <w:lang w:bidi="he-IL"/>
        </w:rPr>
        <w:t xml:space="preserve"> is doing this back-breaking work</w:t>
      </w:r>
      <w:r w:rsidR="00EA767D">
        <w:rPr>
          <w:lang w:bidi="he-IL"/>
        </w:rPr>
        <w:t>” (v. 21), the servant is “gazing at her wondering.”</w:t>
      </w:r>
      <w:r w:rsidR="00EA767D">
        <w:rPr>
          <w:rStyle w:val="FootnoteReference"/>
          <w:lang w:bidi="he-IL"/>
        </w:rPr>
        <w:footnoteReference w:id="826"/>
      </w:r>
      <w:r w:rsidR="005D3612">
        <w:rPr>
          <w:lang w:bidi="he-IL"/>
        </w:rPr>
        <w:t xml:space="preserve"> </w:t>
      </w:r>
      <w:r w:rsidR="00A074FD">
        <w:rPr>
          <w:lang w:bidi="he-IL"/>
        </w:rPr>
        <w:t>The girl didn’t respond</w:t>
      </w:r>
      <w:r w:rsidR="006B3B50">
        <w:rPr>
          <w:lang w:bidi="he-IL"/>
        </w:rPr>
        <w:t xml:space="preserve"> </w:t>
      </w:r>
      <w:r w:rsidR="005D3612">
        <w:rPr>
          <w:lang w:bidi="he-IL"/>
        </w:rPr>
        <w:t xml:space="preserve">in words </w:t>
      </w:r>
      <w:r w:rsidR="006B3B50">
        <w:rPr>
          <w:lang w:bidi="he-IL"/>
        </w:rPr>
        <w:t xml:space="preserve">in </w:t>
      </w:r>
      <w:r w:rsidR="00A074FD">
        <w:rPr>
          <w:lang w:bidi="he-IL"/>
        </w:rPr>
        <w:t xml:space="preserve">quite </w:t>
      </w:r>
      <w:r w:rsidR="006B3B50">
        <w:rPr>
          <w:lang w:bidi="he-IL"/>
        </w:rPr>
        <w:t>the way he prescribed</w:t>
      </w:r>
      <w:r w:rsidR="0033029D">
        <w:rPr>
          <w:lang w:bidi="he-IL"/>
        </w:rPr>
        <w:t xml:space="preserve">, </w:t>
      </w:r>
      <w:r w:rsidR="006B3B50">
        <w:rPr>
          <w:lang w:bidi="he-IL"/>
        </w:rPr>
        <w:t xml:space="preserve">but </w:t>
      </w:r>
      <w:r w:rsidR="00A074FD">
        <w:rPr>
          <w:lang w:bidi="he-IL"/>
        </w:rPr>
        <w:t>she acted in the way prescribed</w:t>
      </w:r>
      <w:r w:rsidR="002C7A2A">
        <w:rPr>
          <w:lang w:bidi="he-IL"/>
        </w:rPr>
        <w:t>. “Rebekah is a woman of deeds rather than of words…. In this she is a counterbalance of the servant who hardly ever stops talking.”</w:t>
      </w:r>
      <w:r w:rsidR="002C7A2A">
        <w:rPr>
          <w:rStyle w:val="FootnoteReference"/>
          <w:lang w:bidi="he-IL"/>
        </w:rPr>
        <w:footnoteReference w:id="827"/>
      </w:r>
      <w:r w:rsidR="006975FA">
        <w:rPr>
          <w:lang w:bidi="he-IL"/>
        </w:rPr>
        <w:t xml:space="preserve"> </w:t>
      </w:r>
      <w:r w:rsidR="002C7A2A">
        <w:rPr>
          <w:lang w:bidi="he-IL"/>
        </w:rPr>
        <w:t xml:space="preserve">As she acted, </w:t>
      </w:r>
      <w:r w:rsidR="006975FA">
        <w:rPr>
          <w:lang w:bidi="he-IL"/>
        </w:rPr>
        <w:t>“he sipped the water and stared at her, asking ‘whether the Lord had prospered his journey or not’” (</w:t>
      </w:r>
      <w:r w:rsidR="006975FA">
        <w:rPr>
          <w:i/>
          <w:lang w:bidi="he-IL"/>
        </w:rPr>
        <w:t xml:space="preserve">GenR </w:t>
      </w:r>
      <w:r w:rsidR="006975FA">
        <w:rPr>
          <w:lang w:bidi="he-IL"/>
        </w:rPr>
        <w:t>60:6)</w:t>
      </w:r>
      <w:r w:rsidR="0033029D">
        <w:rPr>
          <w:lang w:bidi="he-IL"/>
        </w:rPr>
        <w:t>.</w:t>
      </w:r>
      <w:r w:rsidR="00A074FD" w:rsidRPr="00A074FD">
        <w:rPr>
          <w:lang w:bidi="he-IL"/>
        </w:rPr>
        <w:t xml:space="preserve"> </w:t>
      </w:r>
      <w:r w:rsidR="00A074FD">
        <w:rPr>
          <w:lang w:bidi="he-IL"/>
        </w:rPr>
        <w:t>T</w:t>
      </w:r>
      <w:r w:rsidR="00A074FD" w:rsidRPr="00A074FD">
        <w:rPr>
          <w:lang w:bidi="he-IL"/>
        </w:rPr>
        <w:t>he answer to the question is unfolding before his eyes</w:t>
      </w:r>
      <w:r w:rsidR="0033029D">
        <w:rPr>
          <w:lang w:bidi="he-IL"/>
        </w:rPr>
        <w:t xml:space="preserve"> </w:t>
      </w:r>
      <w:r w:rsidR="00A074FD">
        <w:rPr>
          <w:lang w:bidi="he-IL"/>
        </w:rPr>
        <w:t>as she waters</w:t>
      </w:r>
      <w:r w:rsidR="00647C45">
        <w:rPr>
          <w:lang w:bidi="he-IL"/>
        </w:rPr>
        <w:t xml:space="preserve"> the </w:t>
      </w:r>
      <w:r w:rsidR="00A074FD">
        <w:rPr>
          <w:lang w:bidi="he-IL"/>
        </w:rPr>
        <w:t>camels</w:t>
      </w:r>
      <w:r w:rsidR="00647C45">
        <w:rPr>
          <w:lang w:bidi="he-IL"/>
        </w:rPr>
        <w:t xml:space="preserve">. </w:t>
      </w:r>
      <w:r w:rsidR="00E93464">
        <w:rPr>
          <w:lang w:bidi="he-IL"/>
        </w:rPr>
        <w:t>But Q</w:t>
      </w:r>
      <w:r w:rsidR="00F10C70">
        <w:rPr>
          <w:lang w:bidi="he-IL"/>
        </w:rPr>
        <w:t>uestion Four now</w:t>
      </w:r>
      <w:r w:rsidR="006D6E27">
        <w:rPr>
          <w:lang w:bidi="he-IL"/>
        </w:rPr>
        <w:t xml:space="preserve"> is</w:t>
      </w:r>
      <w:r w:rsidR="00F10C70">
        <w:rPr>
          <w:lang w:bidi="he-IL"/>
        </w:rPr>
        <w:t>,</w:t>
      </w:r>
      <w:r w:rsidR="006D6E27">
        <w:rPr>
          <w:lang w:bidi="he-IL"/>
        </w:rPr>
        <w:t xml:space="preserve"> what family </w:t>
      </w:r>
      <w:r w:rsidR="00F10C70">
        <w:rPr>
          <w:lang w:bidi="he-IL"/>
        </w:rPr>
        <w:t>does she belong to and will they welcome him?</w:t>
      </w:r>
    </w:p>
    <w:p w14:paraId="469465A4" w14:textId="3935259D" w:rsidR="006D6E27" w:rsidRDefault="004441A3" w:rsidP="00A53627">
      <w:pPr>
        <w:rPr>
          <w:lang w:bidi="he-IL"/>
        </w:rPr>
      </w:pPr>
      <w:r>
        <w:rPr>
          <w:b/>
          <w:lang w:bidi="he-IL"/>
        </w:rPr>
        <w:t>24:22-28</w:t>
      </w:r>
      <w:r w:rsidR="006D6E27">
        <w:rPr>
          <w:lang w:bidi="he-IL"/>
        </w:rPr>
        <w:t xml:space="preserve">. </w:t>
      </w:r>
      <w:proofErr w:type="gramStart"/>
      <w:r>
        <w:rPr>
          <w:lang w:bidi="he-IL"/>
        </w:rPr>
        <w:t>The</w:t>
      </w:r>
      <w:proofErr w:type="gramEnd"/>
      <w:r>
        <w:rPr>
          <w:lang w:bidi="he-IL"/>
        </w:rPr>
        <w:t xml:space="preserve"> gifts </w:t>
      </w:r>
      <w:r w:rsidR="00A74CE9">
        <w:rPr>
          <w:lang w:bidi="he-IL"/>
        </w:rPr>
        <w:t xml:space="preserve">would </w:t>
      </w:r>
      <w:r>
        <w:rPr>
          <w:lang w:bidi="he-IL"/>
        </w:rPr>
        <w:t xml:space="preserve">recognize </w:t>
      </w:r>
      <w:r w:rsidR="006D6E27">
        <w:rPr>
          <w:lang w:bidi="he-IL"/>
        </w:rPr>
        <w:t xml:space="preserve">the </w:t>
      </w:r>
      <w:r w:rsidR="00684004">
        <w:rPr>
          <w:lang w:bidi="he-IL"/>
        </w:rPr>
        <w:t xml:space="preserve">generous and </w:t>
      </w:r>
      <w:r w:rsidR="005D3612">
        <w:rPr>
          <w:lang w:bidi="he-IL"/>
        </w:rPr>
        <w:t>monumental</w:t>
      </w:r>
      <w:r w:rsidR="006D6E27">
        <w:rPr>
          <w:lang w:bidi="he-IL"/>
        </w:rPr>
        <w:t xml:space="preserve"> nature of the task she has undertaken</w:t>
      </w:r>
      <w:r w:rsidR="00A74CE9">
        <w:rPr>
          <w:lang w:bidi="he-IL"/>
        </w:rPr>
        <w:t>; they might or might not imply something more</w:t>
      </w:r>
      <w:r>
        <w:rPr>
          <w:lang w:bidi="he-IL"/>
        </w:rPr>
        <w:t xml:space="preserve">. They are </w:t>
      </w:r>
      <w:r w:rsidR="00A074FD">
        <w:rPr>
          <w:lang w:bidi="he-IL"/>
        </w:rPr>
        <w:t>lavish</w:t>
      </w:r>
      <w:r>
        <w:rPr>
          <w:lang w:bidi="he-IL"/>
        </w:rPr>
        <w:t xml:space="preserve">, but </w:t>
      </w:r>
      <w:r w:rsidR="00A74CE9">
        <w:rPr>
          <w:lang w:bidi="he-IL"/>
        </w:rPr>
        <w:t xml:space="preserve">they are </w:t>
      </w:r>
      <w:r>
        <w:rPr>
          <w:lang w:bidi="he-IL"/>
        </w:rPr>
        <w:t>nothing compare</w:t>
      </w:r>
      <w:r w:rsidR="00A074FD">
        <w:rPr>
          <w:lang w:bidi="he-IL"/>
        </w:rPr>
        <w:t xml:space="preserve">d with the rest of what the </w:t>
      </w:r>
      <w:r>
        <w:rPr>
          <w:lang w:bidi="he-IL"/>
        </w:rPr>
        <w:t>camels are carrying.</w:t>
      </w:r>
    </w:p>
    <w:p w14:paraId="5942A8B0" w14:textId="41F30D50" w:rsidR="004441A3" w:rsidRDefault="00567BC1" w:rsidP="005D3612">
      <w:pPr>
        <w:rPr>
          <w:lang w:bidi="he-IL"/>
        </w:rPr>
      </w:pPr>
      <w:r>
        <w:rPr>
          <w:lang w:bidi="he-IL"/>
        </w:rPr>
        <w:t>The gifts</w:t>
      </w:r>
      <w:r w:rsidR="00A074FD">
        <w:rPr>
          <w:lang w:bidi="he-IL"/>
        </w:rPr>
        <w:t xml:space="preserve"> </w:t>
      </w:r>
      <w:r w:rsidR="004441A3">
        <w:rPr>
          <w:lang w:bidi="he-IL"/>
        </w:rPr>
        <w:t>also prepare the way (v</w:t>
      </w:r>
      <w:r w:rsidR="005D3612">
        <w:rPr>
          <w:lang w:bidi="he-IL"/>
        </w:rPr>
        <w:t>v</w:t>
      </w:r>
      <w:r w:rsidR="004441A3">
        <w:rPr>
          <w:lang w:bidi="he-IL"/>
        </w:rPr>
        <w:t>. 23</w:t>
      </w:r>
      <w:r w:rsidR="005D3612">
        <w:rPr>
          <w:lang w:bidi="he-IL"/>
        </w:rPr>
        <w:t>-25</w:t>
      </w:r>
      <w:r w:rsidR="004441A3">
        <w:rPr>
          <w:lang w:bidi="he-IL"/>
        </w:rPr>
        <w:t>) for further quest</w:t>
      </w:r>
      <w:r w:rsidR="005D3612">
        <w:rPr>
          <w:lang w:bidi="he-IL"/>
        </w:rPr>
        <w:t>ions. To Rebekah</w:t>
      </w:r>
      <w:r w:rsidR="004441A3">
        <w:rPr>
          <w:lang w:bidi="he-IL"/>
        </w:rPr>
        <w:t xml:space="preserve">, the first question would come across not just as inquisitiveness (what right does he have to ask?) but as the lead in to the </w:t>
      </w:r>
      <w:r>
        <w:rPr>
          <w:lang w:bidi="he-IL"/>
        </w:rPr>
        <w:t>second question. One might imagine</w:t>
      </w:r>
      <w:r w:rsidR="004441A3">
        <w:rPr>
          <w:lang w:bidi="he-IL"/>
        </w:rPr>
        <w:t xml:space="preserve"> that there would be an inn in Harran, bu</w:t>
      </w:r>
      <w:r>
        <w:rPr>
          <w:lang w:bidi="he-IL"/>
        </w:rPr>
        <w:t xml:space="preserve">t the servant is working </w:t>
      </w:r>
      <w:r w:rsidR="004441A3">
        <w:rPr>
          <w:lang w:bidi="he-IL"/>
        </w:rPr>
        <w:t>with the assumption that traditional peoples accept an obligation to show hospitality to wayfarers if they can</w:t>
      </w:r>
      <w:r w:rsidR="00A074FD">
        <w:rPr>
          <w:lang w:bidi="he-IL"/>
        </w:rPr>
        <w:t xml:space="preserve"> (cf. 19:1-2)</w:t>
      </w:r>
      <w:r w:rsidR="004441A3">
        <w:rPr>
          <w:lang w:bidi="he-IL"/>
        </w:rPr>
        <w:t>.</w:t>
      </w:r>
      <w:r w:rsidR="005114A3">
        <w:rPr>
          <w:rStyle w:val="FootnoteReference"/>
          <w:lang w:bidi="he-IL"/>
        </w:rPr>
        <w:footnoteReference w:id="828"/>
      </w:r>
      <w:r w:rsidR="005D3612">
        <w:rPr>
          <w:lang w:bidi="he-IL"/>
        </w:rPr>
        <w:t xml:space="preserve"> </w:t>
      </w:r>
      <w:r w:rsidR="004441A3">
        <w:rPr>
          <w:lang w:bidi="he-IL"/>
        </w:rPr>
        <w:t>The repli</w:t>
      </w:r>
      <w:r w:rsidR="005D3612">
        <w:rPr>
          <w:lang w:bidi="he-IL"/>
        </w:rPr>
        <w:t xml:space="preserve">es to the questions </w:t>
      </w:r>
      <w:r w:rsidR="004441A3">
        <w:rPr>
          <w:lang w:bidi="he-IL"/>
        </w:rPr>
        <w:t xml:space="preserve">first let the servant in on the secret that the audience knows from 22:20-24, </w:t>
      </w:r>
      <w:r w:rsidR="00D97D93">
        <w:rPr>
          <w:lang w:bidi="he-IL"/>
        </w:rPr>
        <w:t xml:space="preserve">and </w:t>
      </w:r>
      <w:r w:rsidR="004441A3">
        <w:rPr>
          <w:lang w:bidi="he-IL"/>
        </w:rPr>
        <w:t>then establish that the servant and his entourage have found their hospitality.</w:t>
      </w:r>
    </w:p>
    <w:p w14:paraId="6D4E5EC5" w14:textId="52768790" w:rsidR="00D97D93" w:rsidRDefault="00520BEC" w:rsidP="00A53627">
      <w:pPr>
        <w:rPr>
          <w:lang w:bidi="he-IL"/>
        </w:rPr>
      </w:pPr>
      <w:r>
        <w:rPr>
          <w:lang w:bidi="he-IL"/>
        </w:rPr>
        <w:t>So h</w:t>
      </w:r>
      <w:r w:rsidR="00D97D93">
        <w:rPr>
          <w:lang w:bidi="he-IL"/>
        </w:rPr>
        <w:t>is prayer has</w:t>
      </w:r>
      <w:r w:rsidR="00F8111F">
        <w:rPr>
          <w:lang w:bidi="he-IL"/>
        </w:rPr>
        <w:t xml:space="preserve"> </w:t>
      </w:r>
      <w:r w:rsidR="00D97D93">
        <w:rPr>
          <w:lang w:bidi="he-IL"/>
        </w:rPr>
        <w:t xml:space="preserve">been answered </w:t>
      </w:r>
      <w:r w:rsidR="00665D9D">
        <w:rPr>
          <w:lang w:bidi="he-IL"/>
        </w:rPr>
        <w:t>(v. 26</w:t>
      </w:r>
      <w:r w:rsidR="00F8111F">
        <w:rPr>
          <w:lang w:bidi="he-IL"/>
        </w:rPr>
        <w:t>).</w:t>
      </w:r>
      <w:r w:rsidR="00A074FD">
        <w:rPr>
          <w:lang w:bidi="he-IL"/>
        </w:rPr>
        <w:t xml:space="preserve"> While</w:t>
      </w:r>
      <w:r w:rsidR="00665D9D">
        <w:rPr>
          <w:lang w:bidi="he-IL"/>
        </w:rPr>
        <w:t xml:space="preserve"> lifting the head is a common posture for praise and prayer, bowing th</w:t>
      </w:r>
      <w:r w:rsidR="00A074FD">
        <w:rPr>
          <w:lang w:bidi="he-IL"/>
        </w:rPr>
        <w:t>e head is an alternative</w:t>
      </w:r>
      <w:r w:rsidR="00665D9D">
        <w:rPr>
          <w:lang w:bidi="he-IL"/>
        </w:rPr>
        <w:t xml:space="preserve"> (e.g., Exod 4:31; 12:27; 34:8). Like</w:t>
      </w:r>
      <w:r w:rsidR="00567BC1">
        <w:rPr>
          <w:lang w:bidi="he-IL"/>
        </w:rPr>
        <w:t xml:space="preserve"> bowing the knee, it is </w:t>
      </w:r>
      <w:r w:rsidR="00665D9D">
        <w:rPr>
          <w:lang w:bidi="he-IL"/>
        </w:rPr>
        <w:t>a sign of obeisance</w:t>
      </w:r>
      <w:r w:rsidR="00A074FD">
        <w:rPr>
          <w:lang w:bidi="he-IL"/>
        </w:rPr>
        <w:t xml:space="preserve">, </w:t>
      </w:r>
      <w:r w:rsidR="00665D9D">
        <w:rPr>
          <w:lang w:bidi="he-IL"/>
        </w:rPr>
        <w:t>to a human being</w:t>
      </w:r>
      <w:r>
        <w:rPr>
          <w:lang w:bidi="he-IL"/>
        </w:rPr>
        <w:t xml:space="preserve"> or</w:t>
      </w:r>
      <w:r w:rsidR="00567BC1">
        <w:rPr>
          <w:lang w:bidi="he-IL"/>
        </w:rPr>
        <w:t xml:space="preserve"> to God. As well as bowing his head, the servant</w:t>
      </w:r>
      <w:r w:rsidR="00665D9D">
        <w:rPr>
          <w:lang w:bidi="he-IL"/>
        </w:rPr>
        <w:t xml:space="preserve"> bows his whole body.</w:t>
      </w:r>
      <w:r>
        <w:rPr>
          <w:lang w:bidi="he-IL"/>
        </w:rPr>
        <w:t xml:space="preserve"> It is a sign that the</w:t>
      </w:r>
      <w:r w:rsidR="005269C5">
        <w:rPr>
          <w:lang w:bidi="he-IL"/>
        </w:rPr>
        <w:t xml:space="preserve"> who</w:t>
      </w:r>
      <w:r w:rsidR="00A074FD">
        <w:rPr>
          <w:lang w:bidi="he-IL"/>
        </w:rPr>
        <w:t xml:space="preserve">le person is submitting </w:t>
      </w:r>
      <w:r w:rsidR="005269C5">
        <w:rPr>
          <w:lang w:bidi="he-IL"/>
        </w:rPr>
        <w:t>and doing obeisance</w:t>
      </w:r>
      <w:r w:rsidR="00A074FD">
        <w:rPr>
          <w:lang w:bidi="he-IL"/>
        </w:rPr>
        <w:t>,</w:t>
      </w:r>
      <w:r w:rsidR="005269C5">
        <w:rPr>
          <w:lang w:bidi="he-IL"/>
        </w:rPr>
        <w:t xml:space="preserve"> to </w:t>
      </w:r>
      <w:r w:rsidR="00A074FD">
        <w:rPr>
          <w:lang w:bidi="he-IL"/>
        </w:rPr>
        <w:t>a human being</w:t>
      </w:r>
      <w:r w:rsidR="00567BC1">
        <w:rPr>
          <w:lang w:bidi="he-IL"/>
        </w:rPr>
        <w:t xml:space="preserve"> or to </w:t>
      </w:r>
      <w:r w:rsidR="005269C5">
        <w:rPr>
          <w:lang w:bidi="he-IL"/>
        </w:rPr>
        <w:t xml:space="preserve">God—a sign to God, a sign to other people, and a sign to oneself. </w:t>
      </w:r>
    </w:p>
    <w:p w14:paraId="7296AEEA" w14:textId="77777777" w:rsidR="00665D9D" w:rsidRDefault="00665D9D" w:rsidP="00A53627">
      <w:pPr>
        <w:rPr>
          <w:lang w:bidi="he-IL"/>
        </w:rPr>
      </w:pPr>
      <w:r>
        <w:rPr>
          <w:lang w:bidi="he-IL"/>
        </w:rPr>
        <w:t xml:space="preserve">The God of Abraham indeed deserves praise (v. 27). </w:t>
      </w:r>
      <w:r w:rsidR="005269C5">
        <w:rPr>
          <w:lang w:bidi="he-IL"/>
        </w:rPr>
        <w:t>To declare out loud that God is blessed is likewise a way of acknowledging something to him, saying something in oneself, and glorifying him before ot</w:t>
      </w:r>
      <w:r w:rsidR="00567BC1">
        <w:rPr>
          <w:lang w:bidi="he-IL"/>
        </w:rPr>
        <w:t>her people with one’s words;</w:t>
      </w:r>
      <w:r w:rsidR="005269C5">
        <w:rPr>
          <w:lang w:bidi="he-IL"/>
        </w:rPr>
        <w:t xml:space="preserve"> the use of words gives it more specific content.</w:t>
      </w:r>
      <w:r w:rsidR="00567BC1">
        <w:rPr>
          <w:lang w:bidi="he-IL"/>
        </w:rPr>
        <w:t xml:space="preserve"> </w:t>
      </w:r>
      <w:r>
        <w:rPr>
          <w:lang w:bidi="he-IL"/>
        </w:rPr>
        <w:t xml:space="preserve">To commitment </w:t>
      </w:r>
      <w:r>
        <w:rPr>
          <w:lang w:bidi="he-IL"/>
        </w:rPr>
        <w:lastRenderedPageBreak/>
        <w:t>the servant adds truthfulness (</w:t>
      </w:r>
      <w:r>
        <w:rPr>
          <w:i/>
          <w:lang w:bidi="he-IL"/>
        </w:rPr>
        <w:t>’ĕmet</w:t>
      </w:r>
      <w:r>
        <w:rPr>
          <w:lang w:bidi="he-IL"/>
        </w:rPr>
        <w:t>), another word appearing fo</w:t>
      </w:r>
      <w:r w:rsidR="00567BC1">
        <w:rPr>
          <w:lang w:bidi="he-IL"/>
        </w:rPr>
        <w:t xml:space="preserve">r the first time in Genesis; it </w:t>
      </w:r>
      <w:r>
        <w:rPr>
          <w:lang w:bidi="he-IL"/>
        </w:rPr>
        <w:t>ad</w:t>
      </w:r>
      <w:r w:rsidR="00C77648">
        <w:rPr>
          <w:lang w:bidi="he-IL"/>
        </w:rPr>
        <w:t>d</w:t>
      </w:r>
      <w:r w:rsidR="00A074FD">
        <w:rPr>
          <w:lang w:bidi="he-IL"/>
        </w:rPr>
        <w:t>s force to “</w:t>
      </w:r>
      <w:r>
        <w:rPr>
          <w:lang w:bidi="he-IL"/>
        </w:rPr>
        <w:t>commitment</w:t>
      </w:r>
      <w:r w:rsidR="00C77648">
        <w:rPr>
          <w:lang w:bidi="he-IL"/>
        </w:rPr>
        <w:t>.</w:t>
      </w:r>
      <w:r w:rsidR="00A074FD">
        <w:rPr>
          <w:lang w:bidi="he-IL"/>
        </w:rPr>
        <w:t>”</w:t>
      </w:r>
      <w:r w:rsidR="00C77648">
        <w:rPr>
          <w:lang w:bidi="he-IL"/>
        </w:rPr>
        <w:t xml:space="preserve"> The two words commonly appear together and reinforce each other as a hendiadys, truthful commitment or committed truthfulness (e.g., 47:29; Exod 34:6; Ps 25:10; 57:3, 10 [4, 11]; 61:7 [8]). </w:t>
      </w:r>
      <w:r w:rsidR="00A074FD">
        <w:rPr>
          <w:lang w:bidi="he-IL"/>
        </w:rPr>
        <w:t xml:space="preserve">While </w:t>
      </w:r>
      <w:r w:rsidR="00A074FD">
        <w:rPr>
          <w:i/>
          <w:lang w:bidi="he-IL"/>
        </w:rPr>
        <w:t>ḥ</w:t>
      </w:r>
      <w:r w:rsidR="00567BC1" w:rsidRPr="00567BC1">
        <w:rPr>
          <w:i/>
          <w:lang w:bidi="he-IL"/>
        </w:rPr>
        <w:t>esed</w:t>
      </w:r>
      <w:r w:rsidR="00567BC1" w:rsidRPr="00567BC1">
        <w:rPr>
          <w:lang w:bidi="he-IL"/>
        </w:rPr>
        <w:t xml:space="preserve"> denotes “an act which one is not obligated to perform</w:t>
      </w:r>
      <w:r w:rsidR="00A074FD">
        <w:rPr>
          <w:lang w:bidi="he-IL"/>
        </w:rPr>
        <w:t xml:space="preserve">,” </w:t>
      </w:r>
      <w:r w:rsidR="00567BC1" w:rsidRPr="00567BC1">
        <w:rPr>
          <w:i/>
          <w:lang w:bidi="he-IL"/>
        </w:rPr>
        <w:t>’emet</w:t>
      </w:r>
      <w:r w:rsidR="00567BC1" w:rsidRPr="00567BC1">
        <w:rPr>
          <w:lang w:bidi="he-IL"/>
        </w:rPr>
        <w:t xml:space="preserve"> denotes keeping the promise to act in </w:t>
      </w:r>
      <w:r w:rsidR="00567BC1" w:rsidRPr="00567BC1">
        <w:rPr>
          <w:i/>
          <w:lang w:bidi="he-IL"/>
        </w:rPr>
        <w:t>ḥesed</w:t>
      </w:r>
      <w:r w:rsidR="00567BC1" w:rsidRPr="00567BC1">
        <w:rPr>
          <w:lang w:bidi="he-IL"/>
        </w:rPr>
        <w:t>.</w:t>
      </w:r>
      <w:r w:rsidR="00567BC1" w:rsidRPr="00567BC1">
        <w:rPr>
          <w:vertAlign w:val="superscript"/>
          <w:lang w:bidi="he-IL"/>
        </w:rPr>
        <w:footnoteReference w:id="829"/>
      </w:r>
      <w:r w:rsidR="00567BC1">
        <w:rPr>
          <w:lang w:bidi="he-IL"/>
        </w:rPr>
        <w:t xml:space="preserve"> </w:t>
      </w:r>
      <w:r w:rsidR="00C77648">
        <w:rPr>
          <w:lang w:bidi="he-IL"/>
        </w:rPr>
        <w:t>Yahweh has expressed that committed truthfulness to Abraha</w:t>
      </w:r>
      <w:r w:rsidR="004E57F4">
        <w:rPr>
          <w:lang w:bidi="he-IL"/>
        </w:rPr>
        <w:t xml:space="preserve">m </w:t>
      </w:r>
      <w:r w:rsidR="00C77648">
        <w:rPr>
          <w:lang w:bidi="he-IL"/>
        </w:rPr>
        <w:t>by leading his servant to the house where Abraham’s family live</w:t>
      </w:r>
      <w:r w:rsidR="00567BC1">
        <w:rPr>
          <w:lang w:bidi="he-IL"/>
        </w:rPr>
        <w:t>s</w:t>
      </w:r>
      <w:r w:rsidR="00C77648">
        <w:rPr>
          <w:lang w:bidi="he-IL"/>
        </w:rPr>
        <w:t>.</w:t>
      </w:r>
    </w:p>
    <w:p w14:paraId="19C130E2" w14:textId="5A33DDDB" w:rsidR="00C77648" w:rsidRDefault="00C77648" w:rsidP="00A53627">
      <w:pPr>
        <w:rPr>
          <w:lang w:bidi="he-IL"/>
        </w:rPr>
      </w:pPr>
      <w:r>
        <w:rPr>
          <w:lang w:bidi="he-IL"/>
        </w:rPr>
        <w:t>Rebekah, too, r</w:t>
      </w:r>
      <w:r w:rsidR="004F7BF1">
        <w:rPr>
          <w:lang w:bidi="he-IL"/>
        </w:rPr>
        <w:t>uns, to tell the family (v. 28). Explicitly it</w:t>
      </w:r>
      <w:r w:rsidR="00FA37D6">
        <w:rPr>
          <w:lang w:bidi="he-IL"/>
        </w:rPr>
        <w:t xml:space="preserve">’s </w:t>
      </w:r>
      <w:r w:rsidR="00830492">
        <w:rPr>
          <w:lang w:bidi="he-IL"/>
        </w:rPr>
        <w:t xml:space="preserve">her </w:t>
      </w:r>
      <w:r w:rsidR="00FA37D6">
        <w:rPr>
          <w:lang w:bidi="he-IL"/>
        </w:rPr>
        <w:t>mother’s household</w:t>
      </w:r>
      <w:r w:rsidR="004F7BF1">
        <w:rPr>
          <w:lang w:bidi="he-IL"/>
        </w:rPr>
        <w:t xml:space="preserve"> </w:t>
      </w:r>
      <w:r w:rsidR="00E05DF5">
        <w:rPr>
          <w:lang w:bidi="he-IL"/>
        </w:rPr>
        <w:t>(</w:t>
      </w:r>
      <w:r w:rsidR="00E05DF5" w:rsidRPr="00E05DF5">
        <w:rPr>
          <w:lang w:bidi="he-IL"/>
        </w:rPr>
        <w:t xml:space="preserve">cf. Ruth 1:8; Song 3:4; 8:2), </w:t>
      </w:r>
      <w:r w:rsidR="00E05DF5">
        <w:rPr>
          <w:lang w:bidi="he-IL"/>
        </w:rPr>
        <w:t xml:space="preserve">as opposed to her father’s </w:t>
      </w:r>
      <w:r w:rsidR="004F7BF1">
        <w:rPr>
          <w:lang w:bidi="he-IL"/>
        </w:rPr>
        <w:t>(</w:t>
      </w:r>
      <w:r w:rsidR="00E05DF5">
        <w:rPr>
          <w:lang w:bidi="he-IL"/>
        </w:rPr>
        <w:t>e.g., Gen 38:11; Num 30:16)</w:t>
      </w:r>
      <w:r w:rsidR="00830492">
        <w:rPr>
          <w:lang w:bidi="he-IL"/>
        </w:rPr>
        <w:t xml:space="preserve">. </w:t>
      </w:r>
      <w:r w:rsidR="004E57F4">
        <w:rPr>
          <w:lang w:bidi="he-IL"/>
        </w:rPr>
        <w:t>It’</w:t>
      </w:r>
      <w:r w:rsidR="00567BC1">
        <w:rPr>
          <w:lang w:bidi="he-IL"/>
        </w:rPr>
        <w:t xml:space="preserve">s </w:t>
      </w:r>
      <w:r w:rsidR="00830492" w:rsidRPr="00830492">
        <w:rPr>
          <w:lang w:bidi="he-IL"/>
        </w:rPr>
        <w:t>natural for a girl to go and talk to her moth</w:t>
      </w:r>
      <w:r w:rsidR="004E57F4">
        <w:rPr>
          <w:lang w:bidi="he-IL"/>
        </w:rPr>
        <w:t xml:space="preserve">er about what has just happened: </w:t>
      </w:r>
      <w:r w:rsidR="006975FA">
        <w:rPr>
          <w:lang w:bidi="he-IL"/>
        </w:rPr>
        <w:t>“A woman feels at home only in the house of her mother” (</w:t>
      </w:r>
      <w:r w:rsidR="006975FA">
        <w:rPr>
          <w:i/>
          <w:lang w:bidi="he-IL"/>
        </w:rPr>
        <w:t xml:space="preserve">GenR </w:t>
      </w:r>
      <w:r w:rsidR="006975FA">
        <w:rPr>
          <w:lang w:bidi="he-IL"/>
        </w:rPr>
        <w:t>60:7).</w:t>
      </w:r>
      <w:r w:rsidR="006975FA">
        <w:rPr>
          <w:rStyle w:val="FootnoteReference"/>
          <w:lang w:bidi="he-IL"/>
        </w:rPr>
        <w:footnoteReference w:id="830"/>
      </w:r>
      <w:r w:rsidR="006975FA">
        <w:rPr>
          <w:lang w:bidi="he-IL"/>
        </w:rPr>
        <w:t xml:space="preserve"> </w:t>
      </w:r>
      <w:r w:rsidR="00830492">
        <w:rPr>
          <w:lang w:bidi="he-IL"/>
        </w:rPr>
        <w:t>Her father does appear in v. 50</w:t>
      </w:r>
      <w:r w:rsidR="00E05DF5">
        <w:rPr>
          <w:lang w:bidi="he-IL"/>
        </w:rPr>
        <w:t xml:space="preserve">, </w:t>
      </w:r>
      <w:r w:rsidR="00830492">
        <w:rPr>
          <w:lang w:bidi="he-IL"/>
        </w:rPr>
        <w:t xml:space="preserve">but only secondarily to </w:t>
      </w:r>
      <w:r w:rsidR="004F7BF1">
        <w:rPr>
          <w:lang w:bidi="he-IL"/>
        </w:rPr>
        <w:t>her brother</w:t>
      </w:r>
      <w:r w:rsidR="00830492">
        <w:rPr>
          <w:lang w:bidi="he-IL"/>
        </w:rPr>
        <w:t xml:space="preserve"> Laban, and it’s Laban</w:t>
      </w:r>
      <w:r w:rsidR="004F7BF1">
        <w:rPr>
          <w:lang w:bidi="he-IL"/>
        </w:rPr>
        <w:t xml:space="preserve"> who comes out to meet </w:t>
      </w:r>
      <w:r w:rsidR="00F52869">
        <w:rPr>
          <w:lang w:bidi="he-IL"/>
        </w:rPr>
        <w:t>the servant</w:t>
      </w:r>
      <w:r w:rsidR="00830492">
        <w:rPr>
          <w:lang w:bidi="he-IL"/>
        </w:rPr>
        <w:t xml:space="preserve"> in v. 29</w:t>
      </w:r>
      <w:r w:rsidR="00FA37D6">
        <w:rPr>
          <w:lang w:bidi="he-IL"/>
        </w:rPr>
        <w:t xml:space="preserve">. </w:t>
      </w:r>
      <w:r w:rsidR="004E57F4">
        <w:rPr>
          <w:lang w:bidi="he-IL"/>
        </w:rPr>
        <w:t>F</w:t>
      </w:r>
      <w:r w:rsidR="00830492">
        <w:rPr>
          <w:lang w:bidi="he-IL"/>
        </w:rPr>
        <w:t xml:space="preserve">or practical purposes </w:t>
      </w:r>
      <w:r w:rsidR="004E57F4">
        <w:rPr>
          <w:lang w:bidi="he-IL"/>
        </w:rPr>
        <w:t>he</w:t>
      </w:r>
      <w:r w:rsidR="009C744B">
        <w:rPr>
          <w:lang w:bidi="he-IL"/>
        </w:rPr>
        <w:t xml:space="preserve"> seems to be head of the family. S</w:t>
      </w:r>
      <w:r w:rsidR="00830492">
        <w:rPr>
          <w:lang w:bidi="he-IL"/>
        </w:rPr>
        <w:t>uch “fratriarchy” is known f</w:t>
      </w:r>
      <w:r w:rsidR="009C744B">
        <w:rPr>
          <w:lang w:bidi="he-IL"/>
        </w:rPr>
        <w:t>rom other traditional societies, though</w:t>
      </w:r>
      <w:r w:rsidR="00F52869">
        <w:rPr>
          <w:lang w:bidi="he-IL"/>
        </w:rPr>
        <w:t xml:space="preserve"> it may </w:t>
      </w:r>
      <w:r w:rsidR="004E57F4">
        <w:rPr>
          <w:lang w:bidi="he-IL"/>
        </w:rPr>
        <w:t xml:space="preserve">be that Bethuel is old and </w:t>
      </w:r>
      <w:r w:rsidR="00F52869">
        <w:rPr>
          <w:lang w:bidi="he-IL"/>
        </w:rPr>
        <w:t>leadership in the family has thus passed to Laban.</w:t>
      </w:r>
    </w:p>
    <w:p w14:paraId="237D1AE8" w14:textId="0C7AED44" w:rsidR="00C77648" w:rsidRDefault="00F14C8F" w:rsidP="00A53627">
      <w:pPr>
        <w:rPr>
          <w:lang w:bidi="he-IL"/>
        </w:rPr>
      </w:pPr>
      <w:r>
        <w:rPr>
          <w:b/>
          <w:lang w:bidi="he-IL"/>
        </w:rPr>
        <w:t>24:29-33</w:t>
      </w:r>
      <w:r w:rsidR="003D3B68">
        <w:rPr>
          <w:lang w:bidi="he-IL"/>
        </w:rPr>
        <w:t xml:space="preserve">. </w:t>
      </w:r>
      <w:r w:rsidR="00C77648">
        <w:rPr>
          <w:lang w:bidi="he-IL"/>
        </w:rPr>
        <w:t>Laban runs</w:t>
      </w:r>
      <w:r w:rsidR="003D3B68">
        <w:rPr>
          <w:lang w:bidi="he-IL"/>
        </w:rPr>
        <w:t>, too</w:t>
      </w:r>
      <w:r w:rsidR="00D532DD">
        <w:rPr>
          <w:lang w:bidi="he-IL"/>
        </w:rPr>
        <w:t>, but</w:t>
      </w:r>
      <w:r w:rsidR="00C77648">
        <w:rPr>
          <w:lang w:bidi="he-IL"/>
        </w:rPr>
        <w:t xml:space="preserve"> </w:t>
      </w:r>
      <w:r w:rsidR="006B25DE">
        <w:rPr>
          <w:lang w:bidi="he-IL"/>
        </w:rPr>
        <w:t xml:space="preserve">here </w:t>
      </w:r>
      <w:r w:rsidR="00D532DD">
        <w:rPr>
          <w:lang w:bidi="he-IL"/>
        </w:rPr>
        <w:t>Genesis relates events in non-chronological order</w:t>
      </w:r>
      <w:r w:rsidR="009C744B">
        <w:rPr>
          <w:lang w:bidi="he-IL"/>
        </w:rPr>
        <w:t>, for dramatic effect.</w:t>
      </w:r>
      <w:r w:rsidR="00D532DD">
        <w:rPr>
          <w:lang w:bidi="he-IL"/>
        </w:rPr>
        <w:t xml:space="preserve"> First Laban will have </w:t>
      </w:r>
      <w:r w:rsidR="0000340A">
        <w:rPr>
          <w:lang w:bidi="he-IL"/>
        </w:rPr>
        <w:t xml:space="preserve">seen Rebekah’s adornments and heard everything from her. Then he will have made room for the servant and his companions, and the camels. Then he will have run out. The servant will have been standing by the well all </w:t>
      </w:r>
      <w:r w:rsidR="00F52869">
        <w:rPr>
          <w:lang w:bidi="he-IL"/>
        </w:rPr>
        <w:t xml:space="preserve">the </w:t>
      </w:r>
      <w:r w:rsidR="0000340A">
        <w:rPr>
          <w:lang w:bidi="he-IL"/>
        </w:rPr>
        <w:t>time</w:t>
      </w:r>
      <w:r w:rsidR="00D532DD">
        <w:rPr>
          <w:lang w:bidi="he-IL"/>
        </w:rPr>
        <w:t xml:space="preserve">; Laban </w:t>
      </w:r>
      <w:r w:rsidR="00F52869">
        <w:rPr>
          <w:lang w:bidi="he-IL"/>
        </w:rPr>
        <w:t xml:space="preserve">thus </w:t>
      </w:r>
      <w:r w:rsidR="00D532DD">
        <w:rPr>
          <w:lang w:bidi="he-IL"/>
        </w:rPr>
        <w:t xml:space="preserve">hastens to invite him to the house. </w:t>
      </w:r>
      <w:r w:rsidR="000456B2">
        <w:rPr>
          <w:lang w:bidi="he-IL"/>
        </w:rPr>
        <w:t>The description “blessed by Yahweh</w:t>
      </w:r>
      <w:r>
        <w:rPr>
          <w:lang w:bidi="he-IL"/>
        </w:rPr>
        <w:t>”</w:t>
      </w:r>
      <w:r w:rsidR="004F7BF1">
        <w:rPr>
          <w:lang w:bidi="he-IL"/>
        </w:rPr>
        <w:t xml:space="preserve"> </w:t>
      </w:r>
      <w:r w:rsidR="000456B2">
        <w:rPr>
          <w:lang w:bidi="he-IL"/>
        </w:rPr>
        <w:t xml:space="preserve">is a good description of his master (see vv. 1 and 35) of which the camels and their cargo (v. 10) as well as the gifts to Rebekah give plentiful evidence; apparently the servant is treated as sharing in that glory. </w:t>
      </w:r>
      <w:r w:rsidR="004F7BF1">
        <w:rPr>
          <w:lang w:bidi="he-IL"/>
        </w:rPr>
        <w:t>Like an</w:t>
      </w:r>
      <w:r w:rsidR="000456B2">
        <w:rPr>
          <w:lang w:bidi="he-IL"/>
        </w:rPr>
        <w:t>yone else in Genesis, Laban would</w:t>
      </w:r>
      <w:r w:rsidR="004E57F4">
        <w:rPr>
          <w:lang w:bidi="he-IL"/>
        </w:rPr>
        <w:t xml:space="preserve"> not </w:t>
      </w:r>
      <w:r w:rsidR="000456B2">
        <w:rPr>
          <w:lang w:bidi="he-IL"/>
        </w:rPr>
        <w:t>use the name Yahweh, but the narrative treats him as a true adherent of the God of Abraham.</w:t>
      </w:r>
      <w:r w:rsidR="00B54385">
        <w:rPr>
          <w:lang w:bidi="he-IL"/>
        </w:rPr>
        <w:t xml:space="preserve"> There’s no suggestion of a negative characteri</w:t>
      </w:r>
      <w:r w:rsidR="004E57F4">
        <w:rPr>
          <w:lang w:bidi="he-IL"/>
        </w:rPr>
        <w:t>zation of Laban such as</w:t>
      </w:r>
      <w:r w:rsidR="00B54385">
        <w:rPr>
          <w:lang w:bidi="he-IL"/>
        </w:rPr>
        <w:t xml:space="preserve"> will appear in Gen 31.</w:t>
      </w:r>
      <w:r w:rsidR="00B54385">
        <w:rPr>
          <w:rStyle w:val="FootnoteReference"/>
          <w:lang w:bidi="he-IL"/>
        </w:rPr>
        <w:footnoteReference w:id="831"/>
      </w:r>
    </w:p>
    <w:p w14:paraId="117DF0BA" w14:textId="5C9BD718" w:rsidR="00F14C8F" w:rsidRDefault="005C59C6" w:rsidP="00A53627">
      <w:pPr>
        <w:rPr>
          <w:lang w:bidi="he-IL"/>
        </w:rPr>
      </w:pPr>
      <w:r>
        <w:rPr>
          <w:lang w:bidi="he-IL"/>
        </w:rPr>
        <w:t xml:space="preserve">In the </w:t>
      </w:r>
      <w:r w:rsidR="009C744B">
        <w:rPr>
          <w:lang w:bidi="he-IL"/>
        </w:rPr>
        <w:t xml:space="preserve">house’s </w:t>
      </w:r>
      <w:r>
        <w:rPr>
          <w:lang w:bidi="he-IL"/>
        </w:rPr>
        <w:t>courtyard o</w:t>
      </w:r>
      <w:r w:rsidR="000456B2">
        <w:rPr>
          <w:lang w:bidi="he-IL"/>
        </w:rPr>
        <w:t>r o</w:t>
      </w:r>
      <w:r w:rsidR="009C744B">
        <w:rPr>
          <w:lang w:bidi="he-IL"/>
        </w:rPr>
        <w:t>uthouses</w:t>
      </w:r>
      <w:r w:rsidR="002228BF">
        <w:rPr>
          <w:lang w:bidi="he-IL"/>
        </w:rPr>
        <w:t xml:space="preserve"> (vv. 32-33</w:t>
      </w:r>
      <w:r w:rsidR="000456B2">
        <w:rPr>
          <w:lang w:bidi="he-IL"/>
        </w:rPr>
        <w:t xml:space="preserve">) </w:t>
      </w:r>
      <w:r>
        <w:rPr>
          <w:lang w:bidi="he-IL"/>
        </w:rPr>
        <w:t>there wou</w:t>
      </w:r>
      <w:r w:rsidR="004E57F4">
        <w:rPr>
          <w:lang w:bidi="he-IL"/>
        </w:rPr>
        <w:t xml:space="preserve">ld be </w:t>
      </w:r>
      <w:r>
        <w:rPr>
          <w:lang w:bidi="he-IL"/>
        </w:rPr>
        <w:t>stalls for donkeys, ca</w:t>
      </w:r>
      <w:r w:rsidR="000456B2">
        <w:rPr>
          <w:lang w:bidi="he-IL"/>
        </w:rPr>
        <w:t xml:space="preserve">mels and other animals, and in the house </w:t>
      </w:r>
      <w:r w:rsidR="00F14C8F">
        <w:rPr>
          <w:lang w:bidi="he-IL"/>
        </w:rPr>
        <w:t>there are the practicalities of hospitality to be obse</w:t>
      </w:r>
      <w:r w:rsidR="000456B2">
        <w:rPr>
          <w:lang w:bidi="he-IL"/>
        </w:rPr>
        <w:t xml:space="preserve">rved. The servant allows the practicalities </w:t>
      </w:r>
      <w:r w:rsidR="00F14C8F">
        <w:rPr>
          <w:lang w:bidi="he-IL"/>
        </w:rPr>
        <w:t xml:space="preserve">that benefit the camels </w:t>
      </w:r>
      <w:r w:rsidR="002228BF">
        <w:rPr>
          <w:lang w:bidi="he-IL"/>
        </w:rPr>
        <w:t>and his companions, and washing his feet might be</w:t>
      </w:r>
      <w:r w:rsidR="00F14C8F">
        <w:rPr>
          <w:lang w:bidi="he-IL"/>
        </w:rPr>
        <w:t xml:space="preserve"> a considerate gesture. But a meal could take a while, and he has things he must say.</w:t>
      </w:r>
    </w:p>
    <w:p w14:paraId="2788DD1F" w14:textId="0788984D" w:rsidR="00F14C8F" w:rsidRDefault="00F14C8F" w:rsidP="00A53627">
      <w:pPr>
        <w:rPr>
          <w:lang w:bidi="he-IL"/>
        </w:rPr>
      </w:pPr>
      <w:r>
        <w:rPr>
          <w:b/>
          <w:lang w:bidi="he-IL"/>
        </w:rPr>
        <w:t>24:34-</w:t>
      </w:r>
      <w:r w:rsidR="00983E71">
        <w:rPr>
          <w:b/>
          <w:lang w:bidi="he-IL"/>
        </w:rPr>
        <w:t>49</w:t>
      </w:r>
      <w:r>
        <w:rPr>
          <w:b/>
          <w:lang w:bidi="he-IL"/>
        </w:rPr>
        <w:t xml:space="preserve">. </w:t>
      </w:r>
      <w:r w:rsidR="009C744B">
        <w:rPr>
          <w:lang w:bidi="he-IL"/>
        </w:rPr>
        <w:t>He</w:t>
      </w:r>
      <w:r w:rsidR="00140874">
        <w:rPr>
          <w:lang w:bidi="he-IL"/>
        </w:rPr>
        <w:t xml:space="preserve"> introduces himself in terms of his relationship with his family, like Rebekah (v. 24),</w:t>
      </w:r>
      <w:r w:rsidR="00140874">
        <w:rPr>
          <w:rStyle w:val="FootnoteReference"/>
          <w:lang w:bidi="he-IL"/>
        </w:rPr>
        <w:footnoteReference w:id="832"/>
      </w:r>
      <w:r w:rsidR="004E57F4">
        <w:rPr>
          <w:lang w:bidi="he-IL"/>
        </w:rPr>
        <w:t xml:space="preserve"> but the narrative still doesn’t tell</w:t>
      </w:r>
      <w:r w:rsidR="00140874">
        <w:rPr>
          <w:lang w:bidi="he-IL"/>
        </w:rPr>
        <w:t xml:space="preserve"> us his</w:t>
      </w:r>
      <w:r w:rsidR="004E57F4">
        <w:rPr>
          <w:lang w:bidi="he-IL"/>
        </w:rPr>
        <w:t xml:space="preserve"> name</w:t>
      </w:r>
      <w:r w:rsidR="00140874">
        <w:rPr>
          <w:lang w:bidi="he-IL"/>
        </w:rPr>
        <w:t>.</w:t>
      </w:r>
      <w:r w:rsidR="00684004">
        <w:rPr>
          <w:lang w:bidi="he-IL"/>
        </w:rPr>
        <w:t xml:space="preserve"> “Blessing” is something that is “great” by definition; only her</w:t>
      </w:r>
      <w:r w:rsidR="00E93464">
        <w:rPr>
          <w:lang w:bidi="he-IL"/>
        </w:rPr>
        <w:t>e</w:t>
      </w:r>
      <w:r w:rsidR="00684004">
        <w:rPr>
          <w:lang w:bidi="he-IL"/>
        </w:rPr>
        <w:t xml:space="preserve"> does the expression “greatly blessed” occur.</w:t>
      </w:r>
      <w:r w:rsidR="00140874">
        <w:rPr>
          <w:lang w:bidi="he-IL"/>
        </w:rPr>
        <w:t xml:space="preserve"> </w:t>
      </w:r>
      <w:r w:rsidR="00E93464">
        <w:rPr>
          <w:lang w:bidi="he-IL"/>
        </w:rPr>
        <w:t>The itemizing of the blessing indicates that the ten camels with their loads</w:t>
      </w:r>
      <w:r w:rsidR="004E57F4">
        <w:rPr>
          <w:lang w:bidi="he-IL"/>
        </w:rPr>
        <w:t>,</w:t>
      </w:r>
      <w:r w:rsidR="00E93464">
        <w:rPr>
          <w:lang w:bidi="he-IL"/>
        </w:rPr>
        <w:t xml:space="preserve"> and the gifts he has made to Rebekah</w:t>
      </w:r>
      <w:r w:rsidR="004E57F4">
        <w:rPr>
          <w:lang w:bidi="he-IL"/>
        </w:rPr>
        <w:t>,</w:t>
      </w:r>
      <w:r w:rsidR="00E93464">
        <w:rPr>
          <w:lang w:bidi="he-IL"/>
        </w:rPr>
        <w:t xml:space="preserve"> are only the tip of an iceberg</w:t>
      </w:r>
      <w:r w:rsidR="004F30A5">
        <w:rPr>
          <w:lang w:bidi="he-IL"/>
        </w:rPr>
        <w:t xml:space="preserve">, and the servant makes the important point that Rebekah’s prospective but unwitting suitor is the designated heir to all this wealth (though Genesis itself </w:t>
      </w:r>
      <w:r w:rsidR="00FA6035">
        <w:rPr>
          <w:lang w:bidi="he-IL"/>
        </w:rPr>
        <w:t>will not say</w:t>
      </w:r>
      <w:r w:rsidR="004F30A5">
        <w:rPr>
          <w:lang w:bidi="he-IL"/>
        </w:rPr>
        <w:t xml:space="preserve"> so until 25:5)</w:t>
      </w:r>
      <w:r w:rsidR="00E93464">
        <w:rPr>
          <w:lang w:bidi="he-IL"/>
        </w:rPr>
        <w:t xml:space="preserve">. </w:t>
      </w:r>
      <w:r w:rsidR="00FA6035">
        <w:rPr>
          <w:lang w:bidi="he-IL"/>
        </w:rPr>
        <w:t>For economy, there would b</w:t>
      </w:r>
      <w:r w:rsidR="009C744B">
        <w:rPr>
          <w:lang w:bidi="he-IL"/>
        </w:rPr>
        <w:t>e no need to include what the servant said</w:t>
      </w:r>
      <w:r w:rsidR="00FA6035">
        <w:rPr>
          <w:lang w:bidi="he-IL"/>
        </w:rPr>
        <w:t>, which repeat</w:t>
      </w:r>
      <w:r w:rsidR="009C744B">
        <w:rPr>
          <w:lang w:bidi="he-IL"/>
        </w:rPr>
        <w:t>s</w:t>
      </w:r>
      <w:r w:rsidR="00FA6035">
        <w:rPr>
          <w:lang w:bidi="he-IL"/>
        </w:rPr>
        <w:t xml:space="preserve"> what we already know</w:t>
      </w:r>
      <w:r>
        <w:rPr>
          <w:lang w:bidi="he-IL"/>
        </w:rPr>
        <w:t xml:space="preserve">, but repeating it </w:t>
      </w:r>
      <w:r w:rsidR="00FA6035">
        <w:rPr>
          <w:lang w:bidi="he-IL"/>
        </w:rPr>
        <w:t>underscores its significance, and the servant</w:t>
      </w:r>
      <w:r>
        <w:rPr>
          <w:lang w:bidi="he-IL"/>
        </w:rPr>
        <w:t xml:space="preserve"> varies the account slightly</w:t>
      </w:r>
      <w:r w:rsidR="000B1789">
        <w:rPr>
          <w:lang w:bidi="he-IL"/>
        </w:rPr>
        <w:t>, though at some points tellingly</w:t>
      </w:r>
      <w:r>
        <w:rPr>
          <w:lang w:bidi="he-IL"/>
        </w:rPr>
        <w:t>.</w:t>
      </w:r>
      <w:r w:rsidR="004F30A5">
        <w:rPr>
          <w:rStyle w:val="FootnoteReference"/>
          <w:lang w:bidi="he-IL"/>
        </w:rPr>
        <w:footnoteReference w:id="833"/>
      </w:r>
      <w:r>
        <w:rPr>
          <w:lang w:bidi="he-IL"/>
        </w:rPr>
        <w:t xml:space="preserve"> </w:t>
      </w:r>
      <w:r w:rsidR="00527BCB">
        <w:rPr>
          <w:lang w:bidi="he-IL"/>
        </w:rPr>
        <w:t xml:space="preserve">Rebekah </w:t>
      </w:r>
      <w:r w:rsidR="00684004">
        <w:rPr>
          <w:lang w:bidi="he-IL"/>
        </w:rPr>
        <w:t xml:space="preserve">is now </w:t>
      </w:r>
      <w:r w:rsidR="00527BCB">
        <w:rPr>
          <w:lang w:bidi="he-IL"/>
        </w:rPr>
        <w:t>a young lady (</w:t>
      </w:r>
      <w:r w:rsidR="00527BCB">
        <w:rPr>
          <w:i/>
          <w:lang w:bidi="he-IL"/>
        </w:rPr>
        <w:t>‘almāh</w:t>
      </w:r>
      <w:r w:rsidR="00C064F7">
        <w:rPr>
          <w:lang w:bidi="he-IL"/>
        </w:rPr>
        <w:t xml:space="preserve">) rather than a young woman </w:t>
      </w:r>
      <w:r w:rsidR="00527BCB">
        <w:rPr>
          <w:lang w:bidi="he-IL"/>
        </w:rPr>
        <w:t>(</w:t>
      </w:r>
      <w:r w:rsidR="00527BCB">
        <w:rPr>
          <w:i/>
          <w:lang w:bidi="he-IL"/>
        </w:rPr>
        <w:t>bᵉ</w:t>
      </w:r>
      <w:r w:rsidR="00684004">
        <w:rPr>
          <w:i/>
          <w:lang w:bidi="he-IL"/>
        </w:rPr>
        <w:t>tûl</w:t>
      </w:r>
      <w:r w:rsidR="00527BCB">
        <w:rPr>
          <w:i/>
          <w:lang w:bidi="he-IL"/>
        </w:rPr>
        <w:t>āh</w:t>
      </w:r>
      <w:r w:rsidR="00C064F7">
        <w:rPr>
          <w:lang w:bidi="he-IL"/>
        </w:rPr>
        <w:t>)</w:t>
      </w:r>
      <w:r w:rsidR="00527BCB">
        <w:rPr>
          <w:rStyle w:val="FootnoteReference"/>
          <w:lang w:bidi="he-IL"/>
        </w:rPr>
        <w:footnoteReference w:id="834"/>
      </w:r>
      <w:r w:rsidR="00C064F7">
        <w:rPr>
          <w:lang w:bidi="he-IL"/>
        </w:rPr>
        <w:t xml:space="preserve">—elsewhere </w:t>
      </w:r>
      <w:r w:rsidR="006B3B50">
        <w:rPr>
          <w:lang w:bidi="he-IL"/>
        </w:rPr>
        <w:t>the story usually describes her as a girl (</w:t>
      </w:r>
      <w:proofErr w:type="gramStart"/>
      <w:r w:rsidR="006B3B50">
        <w:rPr>
          <w:i/>
          <w:lang w:bidi="he-IL"/>
        </w:rPr>
        <w:t>na’ărāh</w:t>
      </w:r>
      <w:proofErr w:type="gramEnd"/>
      <w:r w:rsidR="006B3B50">
        <w:rPr>
          <w:lang w:bidi="he-IL"/>
        </w:rPr>
        <w:t>).</w:t>
      </w:r>
      <w:r w:rsidR="006B3B50">
        <w:rPr>
          <w:i/>
          <w:lang w:bidi="he-IL"/>
        </w:rPr>
        <w:t xml:space="preserve"> </w:t>
      </w:r>
      <w:r>
        <w:rPr>
          <w:lang w:bidi="he-IL"/>
        </w:rPr>
        <w:t>The word</w:t>
      </w:r>
      <w:r w:rsidR="005C59C6">
        <w:rPr>
          <w:lang w:bidi="he-IL"/>
        </w:rPr>
        <w:t>s</w:t>
      </w:r>
      <w:r>
        <w:rPr>
          <w:lang w:bidi="he-IL"/>
        </w:rPr>
        <w:t xml:space="preserve"> </w:t>
      </w:r>
      <w:r w:rsidR="005C59C6" w:rsidRPr="005C59C6">
        <w:rPr>
          <w:lang w:val="en-GB" w:bidi="he-IL"/>
        </w:rPr>
        <w:t>“father’s household</w:t>
      </w:r>
      <w:r w:rsidR="005C59C6" w:rsidRPr="005C59C6">
        <w:rPr>
          <w:lang w:bidi="he-IL"/>
        </w:rPr>
        <w:t xml:space="preserve">” </w:t>
      </w:r>
      <w:r w:rsidR="005C59C6">
        <w:rPr>
          <w:lang w:bidi="he-IL"/>
        </w:rPr>
        <w:t xml:space="preserve">and </w:t>
      </w:r>
      <w:r>
        <w:rPr>
          <w:lang w:bidi="he-IL"/>
        </w:rPr>
        <w:t xml:space="preserve">“kin-group” </w:t>
      </w:r>
      <w:r w:rsidR="005C59C6">
        <w:rPr>
          <w:lang w:bidi="he-IL"/>
        </w:rPr>
        <w:t>now appear</w:t>
      </w:r>
      <w:r w:rsidR="00FA6035">
        <w:rPr>
          <w:lang w:bidi="he-IL"/>
        </w:rPr>
        <w:t>; the servant</w:t>
      </w:r>
      <w:r w:rsidR="000B1789">
        <w:rPr>
          <w:lang w:bidi="he-IL"/>
        </w:rPr>
        <w:t xml:space="preserve"> is appealing to a family relationship</w:t>
      </w:r>
      <w:r>
        <w:rPr>
          <w:lang w:bidi="he-IL"/>
        </w:rPr>
        <w:t>.</w:t>
      </w:r>
      <w:r w:rsidR="008A2864">
        <w:rPr>
          <w:lang w:bidi="he-IL"/>
        </w:rPr>
        <w:t xml:space="preserve"> I</w:t>
      </w:r>
      <w:r w:rsidR="004E57F4">
        <w:rPr>
          <w:lang w:bidi="he-IL"/>
        </w:rPr>
        <w:t>t’</w:t>
      </w:r>
      <w:r w:rsidR="004F30A5">
        <w:rPr>
          <w:lang w:bidi="he-IL"/>
        </w:rPr>
        <w:t>s the famil</w:t>
      </w:r>
      <w:r w:rsidR="008A2864">
        <w:rPr>
          <w:lang w:bidi="he-IL"/>
        </w:rPr>
        <w:t>y rather than the girl that ha</w:t>
      </w:r>
      <w:r w:rsidR="004F30A5">
        <w:rPr>
          <w:lang w:bidi="he-IL"/>
        </w:rPr>
        <w:t xml:space="preserve">s to agree to the match. </w:t>
      </w:r>
      <w:r w:rsidR="00E93464">
        <w:rPr>
          <w:lang w:bidi="he-IL"/>
        </w:rPr>
        <w:t xml:space="preserve">There’s no mention of the need to avoid taking Isaac back to Harran. </w:t>
      </w:r>
      <w:r w:rsidR="00983E71">
        <w:rPr>
          <w:lang w:bidi="he-IL"/>
        </w:rPr>
        <w:t>Yahweh is the one before whom Abraham has walked about (c</w:t>
      </w:r>
      <w:r w:rsidR="007C336F">
        <w:rPr>
          <w:lang w:bidi="he-IL"/>
        </w:rPr>
        <w:t>f. 17:1). The oath becomes an</w:t>
      </w:r>
      <w:r w:rsidR="00AE4AFD">
        <w:rPr>
          <w:lang w:bidi="he-IL"/>
        </w:rPr>
        <w:t xml:space="preserve"> </w:t>
      </w:r>
      <w:r w:rsidR="00AE4AFD">
        <w:rPr>
          <w:lang w:bidi="he-IL"/>
        </w:rPr>
        <w:lastRenderedPageBreak/>
        <w:t>imprecation</w:t>
      </w:r>
      <w:r w:rsidR="00FA37D6">
        <w:rPr>
          <w:lang w:bidi="he-IL"/>
        </w:rPr>
        <w:t xml:space="preserve"> (that is, the curse which constitutes the sanction attached to the oath).</w:t>
      </w:r>
      <w:r w:rsidR="00FA6035">
        <w:rPr>
          <w:lang w:bidi="he-IL"/>
        </w:rPr>
        <w:t xml:space="preserve"> The servant</w:t>
      </w:r>
      <w:r w:rsidR="00983E71">
        <w:rPr>
          <w:lang w:bidi="he-IL"/>
        </w:rPr>
        <w:t xml:space="preserve"> hadn’t said </w:t>
      </w:r>
      <w:r w:rsidR="00FA6035">
        <w:rPr>
          <w:lang w:bidi="he-IL"/>
        </w:rPr>
        <w:t>anything in his prayer about the girl’s watering the camels and he</w:t>
      </w:r>
      <w:r w:rsidR="00912C14">
        <w:rPr>
          <w:lang w:bidi="he-IL"/>
        </w:rPr>
        <w:t xml:space="preserve"> reverses his question</w:t>
      </w:r>
      <w:r w:rsidR="00FA6035">
        <w:rPr>
          <w:lang w:bidi="he-IL"/>
        </w:rPr>
        <w:t>ing her</w:t>
      </w:r>
      <w:r w:rsidR="00912C14">
        <w:rPr>
          <w:lang w:bidi="he-IL"/>
        </w:rPr>
        <w:t xml:space="preserve"> about her family and his giving her the gifts.</w:t>
      </w:r>
      <w:r w:rsidR="000B1789">
        <w:rPr>
          <w:lang w:bidi="he-IL"/>
        </w:rPr>
        <w:t xml:space="preserve"> </w:t>
      </w:r>
      <w:r w:rsidR="000B1789" w:rsidRPr="000B1789">
        <w:rPr>
          <w:lang w:bidi="he-IL"/>
        </w:rPr>
        <w:t>He says he had blessed Yahweh as the one who had led him on a true way.</w:t>
      </w:r>
      <w:r w:rsidR="00FA6035">
        <w:rPr>
          <w:lang w:bidi="he-IL"/>
        </w:rPr>
        <w:t xml:space="preserve"> One </w:t>
      </w:r>
      <w:r w:rsidR="007C336F">
        <w:rPr>
          <w:lang w:bidi="he-IL"/>
        </w:rPr>
        <w:t>effect of his story might be</w:t>
      </w:r>
      <w:r w:rsidR="000B1789">
        <w:rPr>
          <w:lang w:bidi="he-IL"/>
        </w:rPr>
        <w:t xml:space="preserve"> to apply a little religious blackmail to Rebekah’s family.</w:t>
      </w:r>
      <w:r w:rsidR="000B1789">
        <w:rPr>
          <w:rStyle w:val="FootnoteReference"/>
          <w:lang w:bidi="he-IL"/>
        </w:rPr>
        <w:footnoteReference w:id="835"/>
      </w:r>
    </w:p>
    <w:p w14:paraId="4897C807" w14:textId="67E0A770" w:rsidR="00983E71" w:rsidRDefault="00983E71" w:rsidP="00A53627">
      <w:pPr>
        <w:rPr>
          <w:lang w:bidi="he-IL"/>
        </w:rPr>
      </w:pPr>
      <w:r>
        <w:rPr>
          <w:lang w:bidi="he-IL"/>
        </w:rPr>
        <w:t xml:space="preserve">After giving his </w:t>
      </w:r>
      <w:r w:rsidR="00746311">
        <w:rPr>
          <w:lang w:bidi="he-IL"/>
        </w:rPr>
        <w:t>account of what has happened, the servant</w:t>
      </w:r>
      <w:r>
        <w:rPr>
          <w:lang w:bidi="he-IL"/>
        </w:rPr>
        <w:t xml:space="preserve"> poses his question (v. 49), </w:t>
      </w:r>
      <w:r w:rsidR="00F10C70">
        <w:rPr>
          <w:lang w:bidi="he-IL"/>
        </w:rPr>
        <w:t xml:space="preserve">Question Five in the story. </w:t>
      </w:r>
      <w:r w:rsidR="00AD03D2">
        <w:rPr>
          <w:lang w:bidi="he-IL"/>
        </w:rPr>
        <w:t>T</w:t>
      </w:r>
      <w:r w:rsidR="00746311" w:rsidRPr="00746311">
        <w:rPr>
          <w:lang w:bidi="he-IL"/>
        </w:rPr>
        <w:t>h</w:t>
      </w:r>
      <w:r w:rsidR="00FA6035">
        <w:rPr>
          <w:lang w:bidi="he-IL"/>
        </w:rPr>
        <w:t>e</w:t>
      </w:r>
      <w:r w:rsidR="00746311">
        <w:rPr>
          <w:lang w:bidi="he-IL"/>
        </w:rPr>
        <w:t xml:space="preserve"> long retelling of w</w:t>
      </w:r>
      <w:r w:rsidR="00AD03D2">
        <w:rPr>
          <w:lang w:bidi="he-IL"/>
        </w:rPr>
        <w:t xml:space="preserve">hat we already knew also </w:t>
      </w:r>
      <w:r w:rsidR="00746311">
        <w:rPr>
          <w:lang w:bidi="he-IL"/>
        </w:rPr>
        <w:t>functioned</w:t>
      </w:r>
      <w:r w:rsidR="00746311" w:rsidRPr="00746311">
        <w:rPr>
          <w:lang w:bidi="he-IL"/>
        </w:rPr>
        <w:t xml:space="preserve"> to raise suspense. Wh</w:t>
      </w:r>
      <w:r w:rsidR="00FA6035">
        <w:rPr>
          <w:lang w:bidi="he-IL"/>
        </w:rPr>
        <w:t>en will we discover whether the family</w:t>
      </w:r>
      <w:r w:rsidR="00746311" w:rsidRPr="00746311">
        <w:rPr>
          <w:lang w:bidi="he-IL"/>
        </w:rPr>
        <w:t xml:space="preserve"> will agree for Rebekah to go to marry Isaac? </w:t>
      </w:r>
      <w:r w:rsidR="00746311">
        <w:rPr>
          <w:lang w:bidi="he-IL"/>
        </w:rPr>
        <w:t>The servant</w:t>
      </w:r>
      <w:r w:rsidR="00F10C70">
        <w:rPr>
          <w:lang w:bidi="he-IL"/>
        </w:rPr>
        <w:t xml:space="preserve"> s</w:t>
      </w:r>
      <w:r>
        <w:rPr>
          <w:lang w:bidi="he-IL"/>
        </w:rPr>
        <w:t>p</w:t>
      </w:r>
      <w:r w:rsidR="00F10C70">
        <w:rPr>
          <w:lang w:bidi="he-IL"/>
        </w:rPr>
        <w:t>eaks</w:t>
      </w:r>
      <w:r>
        <w:rPr>
          <w:lang w:bidi="he-IL"/>
        </w:rPr>
        <w:t xml:space="preserve"> now of their commitment and truthfulness</w:t>
      </w:r>
      <w:r w:rsidR="003E2A19">
        <w:rPr>
          <w:lang w:bidi="he-IL"/>
        </w:rPr>
        <w:t xml:space="preserve"> (the “you” is plural)</w:t>
      </w:r>
      <w:r w:rsidR="00FA6035">
        <w:rPr>
          <w:lang w:bidi="he-IL"/>
        </w:rPr>
        <w:t>. If it is not</w:t>
      </w:r>
      <w:r w:rsidR="00746311">
        <w:rPr>
          <w:lang w:bidi="he-IL"/>
        </w:rPr>
        <w:t xml:space="preserve"> forthcoming, </w:t>
      </w:r>
      <w:r>
        <w:rPr>
          <w:lang w:bidi="he-IL"/>
        </w:rPr>
        <w:t xml:space="preserve">he </w:t>
      </w:r>
      <w:r w:rsidR="00746311">
        <w:rPr>
          <w:lang w:bidi="he-IL"/>
        </w:rPr>
        <w:t>will need</w:t>
      </w:r>
      <w:r>
        <w:rPr>
          <w:lang w:bidi="he-IL"/>
        </w:rPr>
        <w:t xml:space="preserve"> to look elsewhere.</w:t>
      </w:r>
    </w:p>
    <w:p w14:paraId="01E17F40" w14:textId="6DA74504" w:rsidR="003E2A19" w:rsidRDefault="00A004E0" w:rsidP="00A53627">
      <w:pPr>
        <w:rPr>
          <w:lang w:bidi="he-IL"/>
        </w:rPr>
      </w:pPr>
      <w:r>
        <w:rPr>
          <w:b/>
          <w:lang w:bidi="he-IL"/>
        </w:rPr>
        <w:t xml:space="preserve">24:50-53a. </w:t>
      </w:r>
      <w:proofErr w:type="gramStart"/>
      <w:r w:rsidR="00FA6035">
        <w:rPr>
          <w:lang w:bidi="he-IL"/>
        </w:rPr>
        <w:t>The</w:t>
      </w:r>
      <w:proofErr w:type="gramEnd"/>
      <w:r w:rsidR="00FA6035">
        <w:rPr>
          <w:lang w:bidi="he-IL"/>
        </w:rPr>
        <w:t xml:space="preserve"> family</w:t>
      </w:r>
      <w:r w:rsidR="00F10C70">
        <w:rPr>
          <w:lang w:bidi="he-IL"/>
        </w:rPr>
        <w:t xml:space="preserve"> can recognize Yahweh’s involvement as r</w:t>
      </w:r>
      <w:r w:rsidR="00FA6035">
        <w:rPr>
          <w:lang w:bidi="he-IL"/>
        </w:rPr>
        <w:t>eadily as the servant could. Laban is prominent in the response, as</w:t>
      </w:r>
      <w:r w:rsidR="00A7051B">
        <w:rPr>
          <w:lang w:bidi="he-IL"/>
        </w:rPr>
        <w:t xml:space="preserve"> </w:t>
      </w:r>
      <w:r w:rsidR="00FA6035">
        <w:rPr>
          <w:lang w:bidi="he-IL"/>
        </w:rPr>
        <w:t xml:space="preserve">he was </w:t>
      </w:r>
      <w:r w:rsidR="00A7051B">
        <w:rPr>
          <w:lang w:bidi="he-IL"/>
        </w:rPr>
        <w:t xml:space="preserve">in </w:t>
      </w:r>
      <w:r w:rsidR="00FA6035">
        <w:rPr>
          <w:lang w:bidi="he-IL"/>
        </w:rPr>
        <w:t>the practicalities of vv. 29-33</w:t>
      </w:r>
      <w:r w:rsidR="00A7051B">
        <w:rPr>
          <w:lang w:bidi="he-IL"/>
        </w:rPr>
        <w:t xml:space="preserve"> where </w:t>
      </w:r>
      <w:r w:rsidR="007A2160">
        <w:rPr>
          <w:lang w:bidi="he-IL"/>
        </w:rPr>
        <w:t>Bet</w:t>
      </w:r>
      <w:r w:rsidR="007C336F">
        <w:rPr>
          <w:lang w:bidi="he-IL"/>
        </w:rPr>
        <w:t>huel was not even mentioned (compare</w:t>
      </w:r>
      <w:r w:rsidR="007A2160">
        <w:rPr>
          <w:lang w:bidi="he-IL"/>
        </w:rPr>
        <w:t xml:space="preserve"> the involvement of Dinah’s brothers in Gen</w:t>
      </w:r>
      <w:r w:rsidR="00FA6035">
        <w:rPr>
          <w:lang w:bidi="he-IL"/>
        </w:rPr>
        <w:t xml:space="preserve"> </w:t>
      </w:r>
      <w:r w:rsidR="007A2160">
        <w:rPr>
          <w:lang w:bidi="he-IL"/>
        </w:rPr>
        <w:t>34 and of Tamar’s brother in 2 Sam 13).</w:t>
      </w:r>
      <w:r w:rsidR="007A2160">
        <w:rPr>
          <w:rStyle w:val="FootnoteReference"/>
          <w:lang w:bidi="he-IL"/>
        </w:rPr>
        <w:footnoteReference w:id="836"/>
      </w:r>
      <w:r w:rsidR="00FA6035">
        <w:rPr>
          <w:lang w:bidi="he-IL"/>
        </w:rPr>
        <w:t xml:space="preserve"> B</w:t>
      </w:r>
      <w:r w:rsidR="003E2A19">
        <w:rPr>
          <w:lang w:bidi="he-IL"/>
        </w:rPr>
        <w:t>rother and father are the auth</w:t>
      </w:r>
      <w:r w:rsidR="00FA6035">
        <w:rPr>
          <w:lang w:bidi="he-IL"/>
        </w:rPr>
        <w:t>oritative figures in the family (</w:t>
      </w:r>
      <w:r w:rsidR="00081C45">
        <w:rPr>
          <w:lang w:bidi="he-IL"/>
        </w:rPr>
        <w:t xml:space="preserve">but more brother than father) </w:t>
      </w:r>
      <w:r w:rsidR="003E2A19">
        <w:rPr>
          <w:lang w:bidi="he-IL"/>
        </w:rPr>
        <w:t xml:space="preserve">and </w:t>
      </w:r>
      <w:r w:rsidR="00081C45">
        <w:rPr>
          <w:lang w:bidi="he-IL"/>
        </w:rPr>
        <w:t xml:space="preserve">they </w:t>
      </w:r>
      <w:r w:rsidR="003E2A19">
        <w:rPr>
          <w:lang w:bidi="he-IL"/>
        </w:rPr>
        <w:t>can speak for it.</w:t>
      </w:r>
      <w:r w:rsidR="00081C45">
        <w:rPr>
          <w:lang w:bidi="he-IL"/>
        </w:rPr>
        <w:t xml:space="preserve"> But they recognize that re</w:t>
      </w:r>
      <w:r w:rsidR="00A5497F">
        <w:rPr>
          <w:lang w:bidi="he-IL"/>
        </w:rPr>
        <w:t xml:space="preserve">ally they have no option. In light of what the servant has told them, they can say nothing (“bad or good” is a merism for “anything”). </w:t>
      </w:r>
      <w:r w:rsidR="00FB106C">
        <w:rPr>
          <w:lang w:bidi="he-IL"/>
        </w:rPr>
        <w:t>“Here is Rebekah before you” expresses the family’s agreement to the marriage proposal made to it</w:t>
      </w:r>
      <w:r w:rsidR="00FA6035">
        <w:rPr>
          <w:lang w:bidi="he-IL"/>
        </w:rPr>
        <w:t xml:space="preserve">, </w:t>
      </w:r>
      <w:r w:rsidR="00FA6035" w:rsidRPr="00FA6035">
        <w:rPr>
          <w:lang w:bidi="he-IL"/>
        </w:rPr>
        <w:t>perhaps in a conventional formula</w:t>
      </w:r>
      <w:r w:rsidR="00FB106C">
        <w:rPr>
          <w:lang w:bidi="he-IL"/>
        </w:rPr>
        <w:t>.</w:t>
      </w:r>
    </w:p>
    <w:p w14:paraId="42DB7166" w14:textId="00681337" w:rsidR="00263AA7" w:rsidRDefault="003E2A19" w:rsidP="00263AA7">
      <w:pPr>
        <w:rPr>
          <w:lang w:bidi="he-IL"/>
        </w:rPr>
      </w:pPr>
      <w:r>
        <w:rPr>
          <w:lang w:bidi="he-IL"/>
        </w:rPr>
        <w:t>Once again the servant has reason to bow before Yahweh (v</w:t>
      </w:r>
      <w:r w:rsidR="00AD03D2">
        <w:rPr>
          <w:lang w:bidi="he-IL"/>
        </w:rPr>
        <w:t>v</w:t>
      </w:r>
      <w:r>
        <w:rPr>
          <w:lang w:bidi="he-IL"/>
        </w:rPr>
        <w:t>. 52</w:t>
      </w:r>
      <w:r w:rsidR="00AD03D2">
        <w:rPr>
          <w:lang w:bidi="he-IL"/>
        </w:rPr>
        <w:t>-53</w:t>
      </w:r>
      <w:r>
        <w:rPr>
          <w:lang w:bidi="he-IL"/>
        </w:rPr>
        <w:t xml:space="preserve">), even lower than he did in v. 26. He gives the betrothal gifts to the bride; </w:t>
      </w:r>
      <w:r w:rsidR="00D917BC">
        <w:rPr>
          <w:lang w:bidi="he-IL"/>
        </w:rPr>
        <w:t xml:space="preserve">these are apparently different and more substantial gifts </w:t>
      </w:r>
      <w:r w:rsidR="00E72403">
        <w:rPr>
          <w:lang w:bidi="he-IL"/>
        </w:rPr>
        <w:t xml:space="preserve">than the ones he gave her when he met her and </w:t>
      </w:r>
      <w:r w:rsidR="00FA6035">
        <w:rPr>
          <w:lang w:bidi="he-IL"/>
        </w:rPr>
        <w:t xml:space="preserve">when </w:t>
      </w:r>
      <w:r w:rsidR="00E72403">
        <w:rPr>
          <w:lang w:bidi="he-IL"/>
        </w:rPr>
        <w:t>she</w:t>
      </w:r>
      <w:r w:rsidR="00FA6035">
        <w:rPr>
          <w:lang w:bidi="he-IL"/>
        </w:rPr>
        <w:t xml:space="preserve"> acted so thoughtfully</w:t>
      </w:r>
      <w:r w:rsidR="00E72403">
        <w:rPr>
          <w:lang w:bidi="he-IL"/>
        </w:rPr>
        <w:t xml:space="preserve">. </w:t>
      </w:r>
      <w:r w:rsidR="00FA6035">
        <w:rPr>
          <w:lang w:bidi="he-IL"/>
        </w:rPr>
        <w:t>H</w:t>
      </w:r>
      <w:r>
        <w:rPr>
          <w:lang w:bidi="he-IL"/>
        </w:rPr>
        <w:t xml:space="preserve">er receiving them </w:t>
      </w:r>
      <w:r w:rsidR="002C77C4">
        <w:rPr>
          <w:lang w:bidi="he-IL"/>
        </w:rPr>
        <w:t>signifies her acceptance of</w:t>
      </w:r>
      <w:r>
        <w:rPr>
          <w:lang w:bidi="he-IL"/>
        </w:rPr>
        <w:t xml:space="preserve"> the marriage</w:t>
      </w:r>
      <w:r w:rsidR="002C77C4">
        <w:rPr>
          <w:lang w:bidi="he-IL"/>
        </w:rPr>
        <w:t xml:space="preserve"> proposal. </w:t>
      </w:r>
      <w:r w:rsidR="00310C3F">
        <w:rPr>
          <w:lang w:bidi="he-IL"/>
        </w:rPr>
        <w:t>T</w:t>
      </w:r>
      <w:r w:rsidR="002C77C4" w:rsidRPr="002C77C4">
        <w:rPr>
          <w:lang w:bidi="he-IL"/>
        </w:rPr>
        <w:t xml:space="preserve">he servant </w:t>
      </w:r>
      <w:r w:rsidR="002C77C4">
        <w:rPr>
          <w:lang w:bidi="he-IL"/>
        </w:rPr>
        <w:t>also give</w:t>
      </w:r>
      <w:r w:rsidR="002C77C4" w:rsidRPr="002C77C4">
        <w:rPr>
          <w:lang w:bidi="he-IL"/>
        </w:rPr>
        <w:t xml:space="preserve"> gifts t</w:t>
      </w:r>
      <w:r w:rsidR="002C77C4">
        <w:rPr>
          <w:lang w:bidi="he-IL"/>
        </w:rPr>
        <w:t>o Rebekah’s</w:t>
      </w:r>
      <w:r w:rsidR="002C77C4" w:rsidRPr="002C77C4">
        <w:rPr>
          <w:lang w:bidi="he-IL"/>
        </w:rPr>
        <w:t xml:space="preserve"> brother a</w:t>
      </w:r>
      <w:r w:rsidR="00AD03D2">
        <w:rPr>
          <w:lang w:bidi="he-IL"/>
        </w:rPr>
        <w:t xml:space="preserve">nd mother, who is also thus again </w:t>
      </w:r>
      <w:r w:rsidR="002C77C4" w:rsidRPr="002C77C4">
        <w:rPr>
          <w:lang w:bidi="he-IL"/>
        </w:rPr>
        <w:t>mentioned though never named.</w:t>
      </w:r>
      <w:r w:rsidR="00310C3F">
        <w:rPr>
          <w:lang w:bidi="he-IL"/>
        </w:rPr>
        <w:t xml:space="preserve"> Gen 34:12 will also speak of these two forms of gift, using the technical terms for them as this passage does not.</w:t>
      </w:r>
      <w:r w:rsidR="00310C3F">
        <w:rPr>
          <w:rStyle w:val="FootnoteReference"/>
          <w:lang w:bidi="he-IL"/>
        </w:rPr>
        <w:footnoteReference w:id="837"/>
      </w:r>
    </w:p>
    <w:p w14:paraId="779A23E8" w14:textId="77777777" w:rsidR="00FA00C3" w:rsidRDefault="00AD03D2" w:rsidP="00263AA7">
      <w:pPr>
        <w:rPr>
          <w:lang w:bidi="he-IL"/>
        </w:rPr>
      </w:pPr>
      <w:r>
        <w:rPr>
          <w:lang w:bidi="he-IL"/>
        </w:rPr>
        <w:t>The men (v. 54</w:t>
      </w:r>
      <w:r w:rsidR="00FA00C3">
        <w:rPr>
          <w:lang w:bidi="he-IL"/>
        </w:rPr>
        <w:t>a) then celebrate.</w:t>
      </w:r>
    </w:p>
    <w:p w14:paraId="6F60618E" w14:textId="77777777" w:rsidR="002D4CB6" w:rsidRPr="002D4CB6" w:rsidRDefault="00AD03D2" w:rsidP="00263AA7">
      <w:pPr>
        <w:rPr>
          <w:lang w:bidi="he-IL"/>
        </w:rPr>
      </w:pPr>
      <w:r>
        <w:rPr>
          <w:b/>
          <w:lang w:bidi="he-IL"/>
        </w:rPr>
        <w:t>24:54</w:t>
      </w:r>
      <w:r w:rsidR="00FA00C3">
        <w:rPr>
          <w:b/>
          <w:lang w:bidi="he-IL"/>
        </w:rPr>
        <w:t xml:space="preserve">b-61a. </w:t>
      </w:r>
      <w:proofErr w:type="gramStart"/>
      <w:r w:rsidR="002D4CB6">
        <w:rPr>
          <w:lang w:bidi="he-IL"/>
        </w:rPr>
        <w:t>It</w:t>
      </w:r>
      <w:proofErr w:type="gramEnd"/>
      <w:r w:rsidR="002D4CB6">
        <w:rPr>
          <w:lang w:bidi="he-IL"/>
        </w:rPr>
        <w:t xml:space="preserve"> might seem inappropriately hasty to want to leave so soon, but it would be natural for the servant to want to get back with his good news (and his find) as quickly as possible. </w:t>
      </w:r>
    </w:p>
    <w:p w14:paraId="5F8B828A" w14:textId="77777777" w:rsidR="00864F61" w:rsidRDefault="00FA00C3" w:rsidP="00263AA7">
      <w:pPr>
        <w:rPr>
          <w:lang w:bidi="he-IL"/>
        </w:rPr>
      </w:pPr>
      <w:r>
        <w:rPr>
          <w:lang w:bidi="he-IL"/>
        </w:rPr>
        <w:t>In due course Rebekah gets her say</w:t>
      </w:r>
      <w:r w:rsidR="00AD03D2">
        <w:rPr>
          <w:lang w:bidi="he-IL"/>
        </w:rPr>
        <w:t xml:space="preserve"> (vv. 57-5</w:t>
      </w:r>
      <w:r w:rsidR="002C77C4">
        <w:rPr>
          <w:lang w:bidi="he-IL"/>
        </w:rPr>
        <w:t>8). H</w:t>
      </w:r>
      <w:r>
        <w:rPr>
          <w:lang w:bidi="he-IL"/>
        </w:rPr>
        <w:t>er accepting</w:t>
      </w:r>
      <w:r w:rsidR="00AD03D2">
        <w:rPr>
          <w:lang w:bidi="he-IL"/>
        </w:rPr>
        <w:t xml:space="preserve"> the betrothal gifts has</w:t>
      </w:r>
      <w:r>
        <w:rPr>
          <w:lang w:bidi="he-IL"/>
        </w:rPr>
        <w:t xml:space="preserve"> indicated that she is prepared to go to marry Isaac. </w:t>
      </w:r>
      <w:r w:rsidR="00F10C70">
        <w:rPr>
          <w:lang w:bidi="he-IL"/>
        </w:rPr>
        <w:t>Question Six is</w:t>
      </w:r>
      <w:r>
        <w:rPr>
          <w:lang w:bidi="he-IL"/>
        </w:rPr>
        <w:t xml:space="preserve"> whether she is prepared to go now.</w:t>
      </w:r>
      <w:r w:rsidR="002828AA">
        <w:rPr>
          <w:lang w:bidi="he-IL"/>
        </w:rPr>
        <w:t xml:space="preserve"> Yet her declaration “I’ll go” also takes up the verb Yahweh used in setting Abraham on his move from Harran to Canaan (12:1, 4); she is making her commitment to join in the project Yahweh set going in commissioning Abraham.</w:t>
      </w:r>
      <w:r w:rsidR="002828AA">
        <w:rPr>
          <w:rStyle w:val="FootnoteReference"/>
          <w:lang w:bidi="he-IL"/>
        </w:rPr>
        <w:footnoteReference w:id="838"/>
      </w:r>
      <w:r w:rsidR="002C77C4">
        <w:rPr>
          <w:lang w:bidi="he-IL"/>
        </w:rPr>
        <w:t xml:space="preserve"> </w:t>
      </w:r>
      <w:r w:rsidR="00864F61">
        <w:rPr>
          <w:lang w:bidi="he-IL"/>
        </w:rPr>
        <w:t>Dramatically, the story</w:t>
      </w:r>
      <w:r w:rsidR="002C77C4">
        <w:rPr>
          <w:lang w:bidi="he-IL"/>
        </w:rPr>
        <w:t xml:space="preserve"> thus holds back </w:t>
      </w:r>
      <w:r w:rsidR="00AD03D2">
        <w:rPr>
          <w:lang w:bidi="he-IL"/>
        </w:rPr>
        <w:t xml:space="preserve">until this point </w:t>
      </w:r>
      <w:r w:rsidR="002C77C4">
        <w:rPr>
          <w:lang w:bidi="he-IL"/>
        </w:rPr>
        <w:t xml:space="preserve">her </w:t>
      </w:r>
      <w:r w:rsidR="00864F61">
        <w:rPr>
          <w:lang w:bidi="he-IL"/>
        </w:rPr>
        <w:t>opportunity for acquiescence</w:t>
      </w:r>
      <w:r w:rsidR="00DA2E61">
        <w:rPr>
          <w:lang w:bidi="he-IL"/>
        </w:rPr>
        <w:t xml:space="preserve"> </w:t>
      </w:r>
      <w:r w:rsidR="002C77C4">
        <w:rPr>
          <w:lang w:bidi="he-IL"/>
        </w:rPr>
        <w:t>in words</w:t>
      </w:r>
      <w:r w:rsidR="00DA2E61">
        <w:rPr>
          <w:lang w:bidi="he-IL"/>
        </w:rPr>
        <w:t>. “From here [it is derived] that a woman may not be given in marriage unless it is with her consent.”</w:t>
      </w:r>
      <w:r w:rsidR="00DA2E61">
        <w:rPr>
          <w:rStyle w:val="FootnoteReference"/>
          <w:lang w:bidi="he-IL"/>
        </w:rPr>
        <w:footnoteReference w:id="839"/>
      </w:r>
    </w:p>
    <w:p w14:paraId="061BCF03" w14:textId="77777777" w:rsidR="00B814B0" w:rsidRDefault="00FB41A8" w:rsidP="00263AA7">
      <w:pPr>
        <w:rPr>
          <w:lang w:bidi="he-IL"/>
        </w:rPr>
      </w:pPr>
      <w:r>
        <w:rPr>
          <w:lang w:bidi="he-IL"/>
        </w:rPr>
        <w:t>Likewise t</w:t>
      </w:r>
      <w:r w:rsidR="00B814B0">
        <w:rPr>
          <w:lang w:bidi="he-IL"/>
        </w:rPr>
        <w:t xml:space="preserve">he blessing </w:t>
      </w:r>
      <w:r w:rsidR="002C77C4">
        <w:rPr>
          <w:lang w:bidi="he-IL"/>
        </w:rPr>
        <w:t>that leads into her departure (v</w:t>
      </w:r>
      <w:r w:rsidR="00AC5BF1">
        <w:rPr>
          <w:lang w:bidi="he-IL"/>
        </w:rPr>
        <w:t>v. 59</w:t>
      </w:r>
      <w:r w:rsidR="002C77C4">
        <w:rPr>
          <w:lang w:bidi="he-IL"/>
        </w:rPr>
        <w:t xml:space="preserve">-61a) </w:t>
      </w:r>
      <w:r w:rsidR="00B814B0">
        <w:rPr>
          <w:lang w:bidi="he-IL"/>
        </w:rPr>
        <w:t>has some parallel</w:t>
      </w:r>
      <w:r>
        <w:rPr>
          <w:lang w:bidi="he-IL"/>
        </w:rPr>
        <w:t>s</w:t>
      </w:r>
      <w:r w:rsidR="00B814B0">
        <w:rPr>
          <w:lang w:bidi="he-IL"/>
        </w:rPr>
        <w:t xml:space="preserve"> with Yahweh’s original blessing of Abraham </w:t>
      </w:r>
      <w:r w:rsidR="001A3891">
        <w:rPr>
          <w:lang w:bidi="he-IL"/>
        </w:rPr>
        <w:t>and with the restate</w:t>
      </w:r>
      <w:r w:rsidR="00AC5BF1">
        <w:rPr>
          <w:lang w:bidi="he-IL"/>
        </w:rPr>
        <w:t>ment of that blessing in 22:17:</w:t>
      </w:r>
      <w:r w:rsidR="00B814B0">
        <w:rPr>
          <w:lang w:bidi="he-IL"/>
        </w:rPr>
        <w:t xml:space="preserve"> it recognizes that Rebekah may b</w:t>
      </w:r>
      <w:r w:rsidR="001A3891">
        <w:rPr>
          <w:lang w:bidi="he-IL"/>
        </w:rPr>
        <w:t xml:space="preserve">e subject to attack and it </w:t>
      </w:r>
      <w:r w:rsidR="00B814B0">
        <w:rPr>
          <w:lang w:bidi="he-IL"/>
        </w:rPr>
        <w:t>prays for her to do more than survive.</w:t>
      </w:r>
      <w:r w:rsidR="00081C45">
        <w:rPr>
          <w:lang w:bidi="he-IL"/>
        </w:rPr>
        <w:t xml:space="preserve"> </w:t>
      </w:r>
      <w:r w:rsidR="006475C2">
        <w:rPr>
          <w:lang w:bidi="he-IL"/>
        </w:rPr>
        <w:t>Unwittingly, s</w:t>
      </w:r>
      <w:r>
        <w:rPr>
          <w:lang w:bidi="he-IL"/>
        </w:rPr>
        <w:t xml:space="preserve">he </w:t>
      </w:r>
      <w:r w:rsidR="00AC5BF1">
        <w:rPr>
          <w:lang w:bidi="he-IL"/>
        </w:rPr>
        <w:t>has made</w:t>
      </w:r>
      <w:r>
        <w:rPr>
          <w:lang w:bidi="he-IL"/>
        </w:rPr>
        <w:t xml:space="preserve"> a commitment like Abra</w:t>
      </w:r>
      <w:r w:rsidR="006475C2">
        <w:rPr>
          <w:lang w:bidi="he-IL"/>
        </w:rPr>
        <w:t>ham, and</w:t>
      </w:r>
      <w:r>
        <w:rPr>
          <w:lang w:bidi="he-IL"/>
        </w:rPr>
        <w:t xml:space="preserve"> they pray that she will be blessed like Abraham.</w:t>
      </w:r>
      <w:r w:rsidR="00B94B9D">
        <w:rPr>
          <w:lang w:bidi="he-IL"/>
        </w:rPr>
        <w:t xml:space="preserve"> </w:t>
      </w:r>
    </w:p>
    <w:p w14:paraId="73E168A0" w14:textId="569E8B68" w:rsidR="00196B48" w:rsidRDefault="00196B48" w:rsidP="00263AA7">
      <w:pPr>
        <w:rPr>
          <w:lang w:bidi="he-IL"/>
        </w:rPr>
      </w:pPr>
      <w:r>
        <w:rPr>
          <w:b/>
          <w:lang w:bidi="he-IL"/>
        </w:rPr>
        <w:t>24:61b-67</w:t>
      </w:r>
      <w:r>
        <w:rPr>
          <w:lang w:bidi="he-IL"/>
        </w:rPr>
        <w:t xml:space="preserve">. </w:t>
      </w:r>
      <w:r w:rsidR="001E4362" w:rsidRPr="001E4362">
        <w:rPr>
          <w:lang w:bidi="he-IL"/>
        </w:rPr>
        <w:t xml:space="preserve">Again the story jumps quickly over a journey that took several weeks. </w:t>
      </w:r>
      <w:r w:rsidR="001E4362">
        <w:rPr>
          <w:lang w:bidi="he-IL"/>
        </w:rPr>
        <w:t>After the openi</w:t>
      </w:r>
      <w:r w:rsidR="00AC5BF1">
        <w:rPr>
          <w:lang w:bidi="he-IL"/>
        </w:rPr>
        <w:t>ng resumptive sentence,</w:t>
      </w:r>
      <w:r w:rsidR="001E4362">
        <w:rPr>
          <w:lang w:bidi="he-IL"/>
        </w:rPr>
        <w:t xml:space="preserve"> t</w:t>
      </w:r>
      <w:r w:rsidR="00AC5BF1">
        <w:rPr>
          <w:lang w:bidi="he-IL"/>
        </w:rPr>
        <w:t>he focus and point of view move</w:t>
      </w:r>
      <w:r w:rsidR="001E4362">
        <w:rPr>
          <w:lang w:bidi="he-IL"/>
        </w:rPr>
        <w:t xml:space="preserve"> to Isaac. We look through his eyes at the</w:t>
      </w:r>
      <w:r w:rsidR="00AC5BF1">
        <w:rPr>
          <w:lang w:bidi="he-IL"/>
        </w:rPr>
        <w:t xml:space="preserve"> approach of a camel train;</w:t>
      </w:r>
      <w:r w:rsidR="001E4362">
        <w:rPr>
          <w:lang w:bidi="he-IL"/>
        </w:rPr>
        <w:t xml:space="preserve"> we know better than he does t</w:t>
      </w:r>
      <w:r w:rsidR="00C47A5A">
        <w:rPr>
          <w:lang w:bidi="he-IL"/>
        </w:rPr>
        <w:t>hat he</w:t>
      </w:r>
      <w:r w:rsidR="00C47A5A" w:rsidRPr="00C47A5A">
        <w:rPr>
          <w:lang w:bidi="he-IL"/>
        </w:rPr>
        <w:t xml:space="preserve"> is about to meet his mail-order bride.</w:t>
      </w:r>
      <w:r w:rsidR="00C47A5A" w:rsidRPr="00C47A5A">
        <w:rPr>
          <w:vertAlign w:val="superscript"/>
          <w:lang w:bidi="he-IL"/>
        </w:rPr>
        <w:footnoteReference w:id="840"/>
      </w:r>
      <w:r w:rsidR="009141F3">
        <w:rPr>
          <w:lang w:bidi="he-IL"/>
        </w:rPr>
        <w:t xml:space="preserve"> </w:t>
      </w:r>
      <w:r w:rsidR="0075202E">
        <w:rPr>
          <w:lang w:bidi="he-IL"/>
        </w:rPr>
        <w:t xml:space="preserve">The geography continues to be equivocal. Has Abraham been based near Beer Sheba ever since </w:t>
      </w:r>
      <w:r w:rsidR="0075202E">
        <w:rPr>
          <w:lang w:bidi="he-IL"/>
        </w:rPr>
        <w:lastRenderedPageBreak/>
        <w:t>22:19 (with Sarah living her last days, dying, and being buried in the family settlement in the Hebron area in Gen 23)? Or did Abraham move to the family settlem</w:t>
      </w:r>
      <w:r w:rsidR="00AC5BF1">
        <w:rPr>
          <w:lang w:bidi="he-IL"/>
        </w:rPr>
        <w:t>ent in the Hebron area sometime</w:t>
      </w:r>
      <w:r w:rsidR="0075202E">
        <w:rPr>
          <w:lang w:bidi="he-IL"/>
        </w:rPr>
        <w:t xml:space="preserve"> after 22:19 so that Isaac alone is based near Beer Sheba? </w:t>
      </w:r>
      <w:r w:rsidR="009141F3">
        <w:rPr>
          <w:lang w:bidi="he-IL"/>
        </w:rPr>
        <w:t>Either way, it</w:t>
      </w:r>
      <w:r w:rsidR="00AC5BF1">
        <w:rPr>
          <w:lang w:bidi="he-IL"/>
        </w:rPr>
        <w:t>’</w:t>
      </w:r>
      <w:r w:rsidR="009141F3">
        <w:rPr>
          <w:lang w:bidi="he-IL"/>
        </w:rPr>
        <w:t xml:space="preserve">s odd that Sarah’s tent is in the </w:t>
      </w:r>
      <w:r w:rsidR="009542B9">
        <w:rPr>
          <w:lang w:bidi="he-IL"/>
        </w:rPr>
        <w:t>Negev</w:t>
      </w:r>
      <w:r w:rsidR="009141F3">
        <w:rPr>
          <w:lang w:bidi="he-IL"/>
        </w:rPr>
        <w:t xml:space="preserve">. </w:t>
      </w:r>
      <w:r w:rsidR="0075202E">
        <w:rPr>
          <w:lang w:bidi="he-IL"/>
        </w:rPr>
        <w:t>Ironica</w:t>
      </w:r>
      <w:r w:rsidR="009141F3">
        <w:rPr>
          <w:lang w:bidi="he-IL"/>
        </w:rPr>
        <w:t>lly, Isaac</w:t>
      </w:r>
      <w:r w:rsidR="002A69CA">
        <w:rPr>
          <w:lang w:bidi="he-IL"/>
        </w:rPr>
        <w:t xml:space="preserve"> is in the vicinity of </w:t>
      </w:r>
      <w:r>
        <w:rPr>
          <w:lang w:bidi="he-IL"/>
        </w:rPr>
        <w:t>the well where Yahweh first met with Hagar (</w:t>
      </w:r>
      <w:r w:rsidR="007B23BC">
        <w:rPr>
          <w:lang w:bidi="he-IL"/>
        </w:rPr>
        <w:t>16:14)</w:t>
      </w:r>
      <w:r w:rsidR="007C336F">
        <w:rPr>
          <w:lang w:bidi="he-IL"/>
        </w:rPr>
        <w:t xml:space="preserve"> but where</w:t>
      </w:r>
      <w:r w:rsidR="00AC5BF1">
        <w:rPr>
          <w:lang w:bidi="he-IL"/>
        </w:rPr>
        <w:t xml:space="preserve"> 25:11 </w:t>
      </w:r>
      <w:r w:rsidR="007C336F">
        <w:rPr>
          <w:lang w:bidi="he-IL"/>
        </w:rPr>
        <w:t>suggests he has settled</w:t>
      </w:r>
      <w:r w:rsidR="007B23BC">
        <w:rPr>
          <w:lang w:bidi="he-IL"/>
        </w:rPr>
        <w:t>.</w:t>
      </w:r>
      <w:r w:rsidR="002A69CA">
        <w:rPr>
          <w:lang w:bidi="he-IL"/>
        </w:rPr>
        <w:t xml:space="preserve"> He is apparently not out with the sheep</w:t>
      </w:r>
      <w:r w:rsidR="009141F3">
        <w:rPr>
          <w:lang w:bidi="he-IL"/>
        </w:rPr>
        <w:t xml:space="preserve">; </w:t>
      </w:r>
      <w:r w:rsidR="0075202E">
        <w:rPr>
          <w:lang w:bidi="he-IL"/>
        </w:rPr>
        <w:t xml:space="preserve">by evening </w:t>
      </w:r>
      <w:r w:rsidR="009141F3">
        <w:rPr>
          <w:lang w:bidi="he-IL"/>
        </w:rPr>
        <w:t>he would have brought them home</w:t>
      </w:r>
      <w:r w:rsidR="004974DB">
        <w:rPr>
          <w:lang w:bidi="he-IL"/>
        </w:rPr>
        <w:t xml:space="preserve"> after watering them at the well</w:t>
      </w:r>
      <w:r w:rsidR="0075202E">
        <w:rPr>
          <w:lang w:bidi="he-IL"/>
        </w:rPr>
        <w:t>. I</w:t>
      </w:r>
      <w:r w:rsidR="002A69CA">
        <w:rPr>
          <w:lang w:bidi="he-IL"/>
        </w:rPr>
        <w:t xml:space="preserve">t wouldn’t be surprising if he were </w:t>
      </w:r>
      <w:r w:rsidR="004974DB">
        <w:rPr>
          <w:lang w:bidi="he-IL"/>
        </w:rPr>
        <w:t xml:space="preserve">then </w:t>
      </w:r>
      <w:r w:rsidR="002A69CA">
        <w:rPr>
          <w:lang w:bidi="he-IL"/>
        </w:rPr>
        <w:t>out walking and thinking and praying about his father’s s</w:t>
      </w:r>
      <w:r w:rsidR="0075202E">
        <w:rPr>
          <w:lang w:bidi="he-IL"/>
        </w:rPr>
        <w:t>ervant’s mission</w:t>
      </w:r>
      <w:r w:rsidR="00047AC3">
        <w:rPr>
          <w:lang w:bidi="he-IL"/>
        </w:rPr>
        <w:t>, or about the loss of his mother</w:t>
      </w:r>
      <w:r w:rsidR="0075202E">
        <w:rPr>
          <w:lang w:bidi="he-IL"/>
        </w:rPr>
        <w:t>.</w:t>
      </w:r>
      <w:r w:rsidR="00047AC3">
        <w:rPr>
          <w:rStyle w:val="FootnoteReference"/>
          <w:lang w:bidi="he-IL"/>
        </w:rPr>
        <w:footnoteReference w:id="841"/>
      </w:r>
      <w:r w:rsidR="0075202E">
        <w:rPr>
          <w:lang w:bidi="he-IL"/>
        </w:rPr>
        <w:t xml:space="preserve"> T</w:t>
      </w:r>
      <w:r w:rsidR="002A69CA">
        <w:rPr>
          <w:lang w:bidi="he-IL"/>
        </w:rPr>
        <w:t>he way the story speaks of th</w:t>
      </w:r>
      <w:r w:rsidR="00AC5BF1">
        <w:rPr>
          <w:lang w:bidi="he-IL"/>
        </w:rPr>
        <w:t xml:space="preserve">e servant’s relating to God </w:t>
      </w:r>
      <w:r w:rsidR="0075202E">
        <w:rPr>
          <w:lang w:bidi="he-IL"/>
        </w:rPr>
        <w:t>would fit with</w:t>
      </w:r>
      <w:r w:rsidR="002A69CA">
        <w:rPr>
          <w:lang w:bidi="he-IL"/>
        </w:rPr>
        <w:t xml:space="preserve"> </w:t>
      </w:r>
      <w:r w:rsidR="00AC5BF1">
        <w:rPr>
          <w:lang w:bidi="he-IL"/>
        </w:rPr>
        <w:t>its imply</w:t>
      </w:r>
      <w:r w:rsidR="0075202E">
        <w:rPr>
          <w:lang w:bidi="he-IL"/>
        </w:rPr>
        <w:t>ing</w:t>
      </w:r>
      <w:r w:rsidR="002A69CA">
        <w:rPr>
          <w:lang w:bidi="he-IL"/>
        </w:rPr>
        <w:t xml:space="preserve"> </w:t>
      </w:r>
      <w:r w:rsidR="0027646D">
        <w:rPr>
          <w:lang w:bidi="he-IL"/>
        </w:rPr>
        <w:t xml:space="preserve">such an assumption </w:t>
      </w:r>
      <w:r w:rsidR="002A69CA">
        <w:rPr>
          <w:lang w:bidi="he-IL"/>
        </w:rPr>
        <w:t>about Isaac (who will appear as someone who prays in 25:21).</w:t>
      </w:r>
      <w:r w:rsidR="0075202E">
        <w:rPr>
          <w:lang w:bidi="he-IL"/>
        </w:rPr>
        <w:t xml:space="preserve"> I</w:t>
      </w:r>
      <w:r w:rsidR="00D4151B">
        <w:rPr>
          <w:lang w:bidi="he-IL"/>
        </w:rPr>
        <w:t xml:space="preserve">t would </w:t>
      </w:r>
      <w:r w:rsidR="0075202E">
        <w:rPr>
          <w:lang w:bidi="he-IL"/>
        </w:rPr>
        <w:t>also</w:t>
      </w:r>
      <w:r w:rsidR="00C47A5A">
        <w:rPr>
          <w:lang w:bidi="he-IL"/>
        </w:rPr>
        <w:t xml:space="preserve"> </w:t>
      </w:r>
      <w:r w:rsidR="00D4151B">
        <w:rPr>
          <w:lang w:bidi="he-IL"/>
        </w:rPr>
        <w:t>fit with the First Testament assumption that dawn and dusk are the times for worship, sacrifice, and prayer.</w:t>
      </w:r>
      <w:r w:rsidR="002D7C31">
        <w:rPr>
          <w:lang w:bidi="he-IL"/>
        </w:rPr>
        <w:t xml:space="preserve"> </w:t>
      </w:r>
      <w:r w:rsidR="0027646D">
        <w:rPr>
          <w:lang w:bidi="he-IL"/>
        </w:rPr>
        <w:t>Whatever he is doing, the narrative’s “there” draws us into looking through his eyes as the caravan approaches.</w:t>
      </w:r>
    </w:p>
    <w:p w14:paraId="2977A75B" w14:textId="77777777" w:rsidR="0072448C" w:rsidRDefault="001E4362" w:rsidP="00263AA7">
      <w:pPr>
        <w:rPr>
          <w:lang w:bidi="he-IL"/>
        </w:rPr>
      </w:pPr>
      <w:r>
        <w:rPr>
          <w:lang w:bidi="he-IL"/>
        </w:rPr>
        <w:t>Meanwhile the poi</w:t>
      </w:r>
      <w:r w:rsidR="0072448C">
        <w:rPr>
          <w:lang w:bidi="he-IL"/>
        </w:rPr>
        <w:t>nt of view returns to Rebekah (v. 64</w:t>
      </w:r>
      <w:r>
        <w:rPr>
          <w:lang w:bidi="he-IL"/>
        </w:rPr>
        <w:t xml:space="preserve">). </w:t>
      </w:r>
      <w:r w:rsidR="00C47A5A">
        <w:rPr>
          <w:lang w:bidi="he-IL"/>
        </w:rPr>
        <w:t>As Isaac lifted his eyes and saw,</w:t>
      </w:r>
      <w:r w:rsidR="00FB41A8">
        <w:rPr>
          <w:lang w:bidi="he-IL"/>
        </w:rPr>
        <w:t xml:space="preserve"> </w:t>
      </w:r>
      <w:r w:rsidR="00C47A5A">
        <w:rPr>
          <w:lang w:bidi="he-IL"/>
        </w:rPr>
        <w:t>so she lifted her eyes and saw, and now</w:t>
      </w:r>
      <w:r w:rsidR="00AC5BF1">
        <w:rPr>
          <w:lang w:bidi="he-IL"/>
        </w:rPr>
        <w:t xml:space="preserve"> we watch </w:t>
      </w:r>
      <w:r>
        <w:rPr>
          <w:lang w:bidi="he-IL"/>
        </w:rPr>
        <w:t>the approach of the meeting through her eyes.</w:t>
      </w:r>
      <w:r w:rsidR="0072448C">
        <w:rPr>
          <w:lang w:bidi="he-IL"/>
        </w:rPr>
        <w:t xml:space="preserve"> </w:t>
      </w:r>
      <w:r w:rsidR="002D4CB6">
        <w:rPr>
          <w:lang w:bidi="he-IL"/>
        </w:rPr>
        <w:t>Alighting from the camel before she meets Isaac would be the polite thing to do. J</w:t>
      </w:r>
      <w:r w:rsidR="0072448C">
        <w:rPr>
          <w:lang w:bidi="he-IL"/>
        </w:rPr>
        <w:t>ump</w:t>
      </w:r>
      <w:r w:rsidR="002D4CB6">
        <w:rPr>
          <w:lang w:bidi="he-IL"/>
        </w:rPr>
        <w:t>ing</w:t>
      </w:r>
      <w:r w:rsidR="0072448C">
        <w:rPr>
          <w:lang w:bidi="he-IL"/>
        </w:rPr>
        <w:t xml:space="preserve"> of</w:t>
      </w:r>
      <w:r w:rsidR="002D4CB6">
        <w:rPr>
          <w:lang w:bidi="he-IL"/>
        </w:rPr>
        <w:t>f the</w:t>
      </w:r>
      <w:r w:rsidR="004F2A44">
        <w:rPr>
          <w:lang w:bidi="he-IL"/>
        </w:rPr>
        <w:t xml:space="preserve"> camel, when she </w:t>
      </w:r>
      <w:r w:rsidR="0072448C">
        <w:rPr>
          <w:lang w:bidi="he-IL"/>
        </w:rPr>
        <w:t xml:space="preserve">was dressed as she would be, </w:t>
      </w:r>
      <w:r w:rsidR="002D4CB6">
        <w:rPr>
          <w:lang w:bidi="he-IL"/>
        </w:rPr>
        <w:t>would be quite an achievement</w:t>
      </w:r>
      <w:r w:rsidR="00864F61">
        <w:rPr>
          <w:lang w:bidi="he-IL"/>
        </w:rPr>
        <w:t xml:space="preserve"> (compare and contrast 1 Sam 25:23)</w:t>
      </w:r>
      <w:r w:rsidR="002D4CB6">
        <w:rPr>
          <w:lang w:bidi="he-IL"/>
        </w:rPr>
        <w:t>; t</w:t>
      </w:r>
      <w:r w:rsidR="00AC5BF1">
        <w:rPr>
          <w:lang w:bidi="he-IL"/>
        </w:rPr>
        <w:t>he expression is</w:t>
      </w:r>
      <w:r w:rsidR="0072448C">
        <w:rPr>
          <w:lang w:bidi="he-IL"/>
        </w:rPr>
        <w:t xml:space="preserve"> another way of conveying the commitm</w:t>
      </w:r>
      <w:r w:rsidR="00C47A5A">
        <w:rPr>
          <w:lang w:bidi="he-IL"/>
        </w:rPr>
        <w:t>ent and energy with which people act</w:t>
      </w:r>
      <w:r w:rsidR="0072448C">
        <w:rPr>
          <w:lang w:bidi="he-IL"/>
        </w:rPr>
        <w:t xml:space="preserve"> in this story. </w:t>
      </w:r>
    </w:p>
    <w:p w14:paraId="6E5C10D1" w14:textId="18415751" w:rsidR="00D4151B" w:rsidRDefault="00C47A5A" w:rsidP="00263AA7">
      <w:pPr>
        <w:rPr>
          <w:lang w:bidi="he-IL"/>
        </w:rPr>
      </w:pPr>
      <w:r w:rsidRPr="00C47A5A">
        <w:rPr>
          <w:lang w:bidi="he-IL"/>
        </w:rPr>
        <w:t xml:space="preserve">Again the sentences follow a dramatic order </w:t>
      </w:r>
      <w:r w:rsidR="005674C9">
        <w:rPr>
          <w:lang w:bidi="he-IL"/>
        </w:rPr>
        <w:t xml:space="preserve">(v. 65): </w:t>
      </w:r>
      <w:r>
        <w:rPr>
          <w:lang w:bidi="he-IL"/>
        </w:rPr>
        <w:t>p</w:t>
      </w:r>
      <w:r w:rsidR="001066EA">
        <w:rPr>
          <w:lang w:bidi="he-IL"/>
        </w:rPr>
        <w:t>resumably s</w:t>
      </w:r>
      <w:r>
        <w:rPr>
          <w:lang w:bidi="he-IL"/>
        </w:rPr>
        <w:t>he asked her question</w:t>
      </w:r>
      <w:r w:rsidR="0072448C">
        <w:rPr>
          <w:lang w:bidi="he-IL"/>
        </w:rPr>
        <w:t>, got her answer, and put on her veil, before making her jump. The servant describes Isaac as “my lord,” and the close of the story makes no reference to Abraham who was the servant’s lord at the beginning</w:t>
      </w:r>
      <w:r w:rsidR="004224AF">
        <w:rPr>
          <w:lang w:bidi="he-IL"/>
        </w:rPr>
        <w:t xml:space="preserve"> and has been the servant’s lord all the way through the story, but it would be over-dramatic </w:t>
      </w:r>
      <w:r w:rsidR="00AC5BF1">
        <w:rPr>
          <w:lang w:bidi="he-IL"/>
        </w:rPr>
        <w:t xml:space="preserve">(or under-dramatic) </w:t>
      </w:r>
      <w:r w:rsidR="004224AF">
        <w:rPr>
          <w:lang w:bidi="he-IL"/>
        </w:rPr>
        <w:t>to infer that Abraham has</w:t>
      </w:r>
      <w:r w:rsidR="002247E2">
        <w:rPr>
          <w:lang w:bidi="he-IL"/>
        </w:rPr>
        <w:t xml:space="preserve"> died by now</w:t>
      </w:r>
      <w:r w:rsidR="00AC5BF1">
        <w:rPr>
          <w:lang w:bidi="he-IL"/>
        </w:rPr>
        <w:t xml:space="preserve"> without our being </w:t>
      </w:r>
      <w:r>
        <w:rPr>
          <w:lang w:bidi="he-IL"/>
        </w:rPr>
        <w:t>told</w:t>
      </w:r>
      <w:r w:rsidR="002247E2">
        <w:rPr>
          <w:lang w:bidi="he-IL"/>
        </w:rPr>
        <w:t xml:space="preserve">. Apart from the consideration that the next chapter implies that he has many more years to live, </w:t>
      </w:r>
      <w:r w:rsidR="004224AF">
        <w:rPr>
          <w:lang w:bidi="he-IL"/>
        </w:rPr>
        <w:t>the statement in v. 67 would be odd if Abraham is also dead. If Abraham is the servant’s lord, then so is his son</w:t>
      </w:r>
      <w:r w:rsidR="00AC5BF1">
        <w:rPr>
          <w:lang w:bidi="he-IL"/>
        </w:rPr>
        <w:t xml:space="preserve">; either </w:t>
      </w:r>
      <w:r>
        <w:rPr>
          <w:lang w:bidi="he-IL"/>
        </w:rPr>
        <w:t>Abraham is at Hebron</w:t>
      </w:r>
      <w:r w:rsidR="004224AF">
        <w:rPr>
          <w:lang w:bidi="he-IL"/>
        </w:rPr>
        <w:t xml:space="preserve"> but Isaac is further south</w:t>
      </w:r>
      <w:r w:rsidR="005674C9">
        <w:rPr>
          <w:lang w:bidi="he-IL"/>
        </w:rPr>
        <w:t>,</w:t>
      </w:r>
      <w:r w:rsidR="00AC5BF1">
        <w:rPr>
          <w:lang w:bidi="he-IL"/>
        </w:rPr>
        <w:t xml:space="preserve"> or </w:t>
      </w:r>
      <w:r>
        <w:rPr>
          <w:lang w:bidi="he-IL"/>
        </w:rPr>
        <w:t xml:space="preserve">Abraham is at Beer Sheba and Isaac is elsewhere in the </w:t>
      </w:r>
      <w:r w:rsidR="009542B9">
        <w:rPr>
          <w:lang w:bidi="he-IL"/>
        </w:rPr>
        <w:t>Negev</w:t>
      </w:r>
      <w:r w:rsidR="004224AF">
        <w:rPr>
          <w:lang w:bidi="he-IL"/>
        </w:rPr>
        <w:t>.</w:t>
      </w:r>
      <w:r>
        <w:rPr>
          <w:lang w:bidi="he-IL"/>
        </w:rPr>
        <w:t xml:space="preserve"> D</w:t>
      </w:r>
      <w:r w:rsidR="004F2A44">
        <w:rPr>
          <w:lang w:bidi="he-IL"/>
        </w:rPr>
        <w:t>ramatically, the point is that Abraham sets the story going, both because it is his promise and because he is the father with responsibility for his son’s m</w:t>
      </w:r>
      <w:r>
        <w:rPr>
          <w:lang w:bidi="he-IL"/>
        </w:rPr>
        <w:t xml:space="preserve">arriage, but Isaac </w:t>
      </w:r>
      <w:r w:rsidR="004F2A44">
        <w:rPr>
          <w:lang w:bidi="he-IL"/>
        </w:rPr>
        <w:t>closes the story, because the broader narrative is in the midst of transferring its focus to him. Abraham and Sarah are the past, Isaac and Rebekah are the future, and the servant (whose role is more important than his name) mediates the move from one generation to the next.</w:t>
      </w:r>
      <w:r w:rsidR="004F2A44">
        <w:rPr>
          <w:rStyle w:val="FootnoteReference"/>
          <w:lang w:bidi="he-IL"/>
        </w:rPr>
        <w:footnoteReference w:id="842"/>
      </w:r>
      <w:r w:rsidR="00FB41A8">
        <w:rPr>
          <w:lang w:bidi="he-IL"/>
        </w:rPr>
        <w:t xml:space="preserve"> </w:t>
      </w:r>
      <w:r w:rsidR="004A3437">
        <w:rPr>
          <w:lang w:bidi="he-IL"/>
        </w:rPr>
        <w:t>T</w:t>
      </w:r>
      <w:r w:rsidR="004A3437" w:rsidRPr="004A3437">
        <w:rPr>
          <w:lang w:bidi="he-IL"/>
        </w:rPr>
        <w:t>here is no indication that Israe</w:t>
      </w:r>
      <w:r w:rsidR="004A3437">
        <w:rPr>
          <w:lang w:bidi="he-IL"/>
        </w:rPr>
        <w:t>lite women generally wore veils.</w:t>
      </w:r>
      <w:r w:rsidR="004A3437" w:rsidRPr="004A3437">
        <w:rPr>
          <w:lang w:bidi="he-IL"/>
        </w:rPr>
        <w:t xml:space="preserve"> </w:t>
      </w:r>
      <w:r w:rsidR="004A3437">
        <w:rPr>
          <w:lang w:bidi="he-IL"/>
        </w:rPr>
        <w:t xml:space="preserve">In the First </w:t>
      </w:r>
      <w:r w:rsidR="00D849E8">
        <w:rPr>
          <w:lang w:bidi="he-IL"/>
        </w:rPr>
        <w:t xml:space="preserve">Testament’s only other </w:t>
      </w:r>
      <w:r w:rsidR="004A3437">
        <w:rPr>
          <w:lang w:bidi="he-IL"/>
        </w:rPr>
        <w:t xml:space="preserve">reference to a veil </w:t>
      </w:r>
      <w:r w:rsidR="004A3437" w:rsidRPr="004A3437">
        <w:rPr>
          <w:lang w:bidi="he-IL"/>
        </w:rPr>
        <w:t>(38:12-19</w:t>
      </w:r>
      <w:r w:rsidR="004A3437">
        <w:rPr>
          <w:lang w:bidi="he-IL"/>
        </w:rPr>
        <w:t>)</w:t>
      </w:r>
      <w:r w:rsidR="006E5564">
        <w:rPr>
          <w:lang w:bidi="he-IL"/>
        </w:rPr>
        <w:t>,</w:t>
      </w:r>
      <w:r w:rsidR="004A3437" w:rsidRPr="004A3437">
        <w:rPr>
          <w:lang w:bidi="he-IL"/>
        </w:rPr>
        <w:t xml:space="preserve"> </w:t>
      </w:r>
      <w:r w:rsidR="004A3437">
        <w:rPr>
          <w:lang w:bidi="he-IL"/>
        </w:rPr>
        <w:t xml:space="preserve">it functions </w:t>
      </w:r>
      <w:r w:rsidR="006E5564">
        <w:rPr>
          <w:lang w:bidi="he-IL"/>
        </w:rPr>
        <w:t>to disguise the wearer. But t</w:t>
      </w:r>
      <w:r w:rsidR="004A3437">
        <w:rPr>
          <w:lang w:bidi="he-IL"/>
        </w:rPr>
        <w:t>he wearing of a veil at a marriage is implied in the also puckish story a</w:t>
      </w:r>
      <w:r>
        <w:rPr>
          <w:lang w:bidi="he-IL"/>
        </w:rPr>
        <w:t>bout Jacob</w:t>
      </w:r>
      <w:r w:rsidR="006E5564">
        <w:rPr>
          <w:lang w:bidi="he-IL"/>
        </w:rPr>
        <w:t>’s marriage (30:21-25)</w:t>
      </w:r>
      <w:r w:rsidR="004A3437">
        <w:rPr>
          <w:lang w:bidi="he-IL"/>
        </w:rPr>
        <w:t xml:space="preserve">: </w:t>
      </w:r>
      <w:r w:rsidR="00D849E8">
        <w:rPr>
          <w:lang w:bidi="he-IL"/>
        </w:rPr>
        <w:t>s</w:t>
      </w:r>
      <w:r w:rsidR="00FB41A8">
        <w:rPr>
          <w:lang w:bidi="he-IL"/>
        </w:rPr>
        <w:t>o Rebekah acts like the prospective bride she is.</w:t>
      </w:r>
      <w:r w:rsidR="00FB41A8">
        <w:rPr>
          <w:rStyle w:val="FootnoteReference"/>
          <w:lang w:bidi="he-IL"/>
        </w:rPr>
        <w:footnoteReference w:id="843"/>
      </w:r>
    </w:p>
    <w:p w14:paraId="5CFE1C0F" w14:textId="6E8DA340" w:rsidR="00612782" w:rsidRDefault="00C47A5A" w:rsidP="00263AA7">
      <w:pPr>
        <w:rPr>
          <w:lang w:bidi="he-IL"/>
        </w:rPr>
      </w:pPr>
      <w:r>
        <w:rPr>
          <w:lang w:bidi="he-IL"/>
        </w:rPr>
        <w:t>The focus moves to</w:t>
      </w:r>
      <w:r w:rsidR="004224AF">
        <w:rPr>
          <w:lang w:bidi="he-IL"/>
        </w:rPr>
        <w:t xml:space="preserve"> the interaction between the servant and Isaac (v. 66). </w:t>
      </w:r>
      <w:r w:rsidR="00612782">
        <w:rPr>
          <w:lang w:bidi="he-IL"/>
        </w:rPr>
        <w:t>F</w:t>
      </w:r>
      <w:r w:rsidR="004224AF">
        <w:rPr>
          <w:lang w:bidi="he-IL"/>
        </w:rPr>
        <w:t xml:space="preserve">or some reason the story does not provide us with a third detailed </w:t>
      </w:r>
      <w:r w:rsidR="00612782">
        <w:rPr>
          <w:lang w:bidi="he-IL"/>
        </w:rPr>
        <w:t xml:space="preserve">but varying </w:t>
      </w:r>
      <w:r w:rsidR="004224AF">
        <w:rPr>
          <w:lang w:bidi="he-IL"/>
        </w:rPr>
        <w:t xml:space="preserve">account of everything that happened as the servant fulfilled his mission. </w:t>
      </w:r>
      <w:r w:rsidR="00612782">
        <w:rPr>
          <w:lang w:bidi="he-IL"/>
        </w:rPr>
        <w:t>Nor is there is any</w:t>
      </w:r>
      <w:r w:rsidR="00612782" w:rsidRPr="00612782">
        <w:rPr>
          <w:lang w:bidi="he-IL"/>
        </w:rPr>
        <w:t xml:space="preserve"> conversation or even meeting between Isaac and Rebekah.</w:t>
      </w:r>
      <w:r w:rsidR="00F10C70">
        <w:rPr>
          <w:lang w:bidi="he-IL"/>
        </w:rPr>
        <w:t xml:space="preserve"> </w:t>
      </w:r>
      <w:r w:rsidR="00DA53A8" w:rsidRPr="00DA53A8">
        <w:rPr>
          <w:lang w:bidi="he-IL"/>
        </w:rPr>
        <w:t>Western readers might think that Question Seven</w:t>
      </w:r>
      <w:r w:rsidR="00DA53A8">
        <w:rPr>
          <w:lang w:bidi="he-IL"/>
        </w:rPr>
        <w:t xml:space="preserve"> now</w:t>
      </w:r>
      <w:r w:rsidR="00DA53A8" w:rsidRPr="00DA53A8">
        <w:rPr>
          <w:lang w:bidi="he-IL"/>
        </w:rPr>
        <w:t xml:space="preserve"> would be whether they will like each other when they meet, and will the marriage therefore happen. That question barely surfaces.</w:t>
      </w:r>
      <w:r w:rsidR="00727890">
        <w:rPr>
          <w:lang w:bidi="he-IL"/>
        </w:rPr>
        <w:t xml:space="preserve"> </w:t>
      </w:r>
    </w:p>
    <w:p w14:paraId="1B87484A" w14:textId="78B1E4EE" w:rsidR="00DA53A8" w:rsidRDefault="00612782" w:rsidP="00263AA7">
      <w:pPr>
        <w:rPr>
          <w:lang w:bidi="he-IL"/>
        </w:rPr>
      </w:pPr>
      <w:r>
        <w:rPr>
          <w:lang w:bidi="he-IL"/>
        </w:rPr>
        <w:t>Instead (v. 67) the story jumps forward to its happy ending</w:t>
      </w:r>
      <w:r w:rsidR="00381C51">
        <w:rPr>
          <w:lang w:bidi="he-IL"/>
        </w:rPr>
        <w:t xml:space="preserve">, related from Isaac’s angle. </w:t>
      </w:r>
      <w:r w:rsidR="00D849E8">
        <w:rPr>
          <w:lang w:bidi="he-IL"/>
        </w:rPr>
        <w:t xml:space="preserve">In effect, </w:t>
      </w:r>
      <w:r w:rsidR="00381C51" w:rsidRPr="00381C51">
        <w:rPr>
          <w:lang w:bidi="he-IL"/>
        </w:rPr>
        <w:t xml:space="preserve">Rebekah and her family have </w:t>
      </w:r>
      <w:r w:rsidR="00381C51">
        <w:rPr>
          <w:lang w:bidi="he-IL"/>
        </w:rPr>
        <w:t>alre</w:t>
      </w:r>
      <w:r w:rsidR="00D849E8">
        <w:rPr>
          <w:lang w:bidi="he-IL"/>
        </w:rPr>
        <w:t>ady provided their answer to that</w:t>
      </w:r>
      <w:r w:rsidR="00381C51" w:rsidRPr="00381C51">
        <w:rPr>
          <w:lang w:bidi="he-IL"/>
        </w:rPr>
        <w:t xml:space="preserve"> questio</w:t>
      </w:r>
      <w:r w:rsidR="00381C51">
        <w:rPr>
          <w:lang w:bidi="he-IL"/>
        </w:rPr>
        <w:t>n</w:t>
      </w:r>
      <w:r w:rsidR="00D849E8">
        <w:rPr>
          <w:lang w:bidi="he-IL"/>
        </w:rPr>
        <w:t>,</w:t>
      </w:r>
      <w:r w:rsidR="00381C51" w:rsidRPr="00381C51">
        <w:rPr>
          <w:lang w:bidi="he-IL"/>
        </w:rPr>
        <w:t xml:space="preserve"> sight unseen. Insofar as Isaac has any wiggle room in light of the action his father took and the action his servant took, </w:t>
      </w:r>
      <w:r w:rsidR="00BC6AB7">
        <w:rPr>
          <w:lang w:bidi="he-IL"/>
        </w:rPr>
        <w:t>this final</w:t>
      </w:r>
      <w:r w:rsidR="00381C51">
        <w:rPr>
          <w:lang w:bidi="he-IL"/>
        </w:rPr>
        <w:t xml:space="preserve"> verse </w:t>
      </w:r>
      <w:r w:rsidR="00D849E8">
        <w:rPr>
          <w:lang w:bidi="he-IL"/>
        </w:rPr>
        <w:t>provides his</w:t>
      </w:r>
      <w:r w:rsidR="00381C51" w:rsidRPr="00381C51">
        <w:rPr>
          <w:lang w:bidi="he-IL"/>
        </w:rPr>
        <w:t xml:space="preserve"> upbeat, positive answer to the question.</w:t>
      </w:r>
      <w:r w:rsidR="00BC6AB7">
        <w:rPr>
          <w:lang w:bidi="he-IL"/>
        </w:rPr>
        <w:t xml:space="preserve"> T</w:t>
      </w:r>
      <w:r w:rsidR="00381C51">
        <w:rPr>
          <w:lang w:bidi="he-IL"/>
        </w:rPr>
        <w:t xml:space="preserve">he close of the story </w:t>
      </w:r>
      <w:r w:rsidR="00E40AF7">
        <w:rPr>
          <w:lang w:bidi="he-IL"/>
        </w:rPr>
        <w:t xml:space="preserve">again </w:t>
      </w:r>
      <w:r w:rsidR="00BC6AB7">
        <w:rPr>
          <w:lang w:bidi="he-IL"/>
        </w:rPr>
        <w:t>work</w:t>
      </w:r>
      <w:r w:rsidR="00E40AF7">
        <w:rPr>
          <w:lang w:bidi="he-IL"/>
        </w:rPr>
        <w:t>s</w:t>
      </w:r>
      <w:r w:rsidR="00381C51">
        <w:rPr>
          <w:lang w:bidi="he-IL"/>
        </w:rPr>
        <w:t xml:space="preserve"> </w:t>
      </w:r>
      <w:r w:rsidR="005674C9">
        <w:rPr>
          <w:lang w:bidi="he-IL"/>
        </w:rPr>
        <w:t xml:space="preserve">dramatically not </w:t>
      </w:r>
      <w:r w:rsidR="00381C51">
        <w:rPr>
          <w:lang w:bidi="he-IL"/>
        </w:rPr>
        <w:t>chronologically</w:t>
      </w:r>
      <w:r w:rsidR="009141F3">
        <w:rPr>
          <w:lang w:bidi="he-IL"/>
        </w:rPr>
        <w:t xml:space="preserve">. Eventually Isaac </w:t>
      </w:r>
      <w:r w:rsidR="00381C51">
        <w:rPr>
          <w:lang w:bidi="he-IL"/>
        </w:rPr>
        <w:t>get</w:t>
      </w:r>
      <w:r w:rsidR="009141F3">
        <w:rPr>
          <w:lang w:bidi="he-IL"/>
        </w:rPr>
        <w:t>s</w:t>
      </w:r>
      <w:r w:rsidR="001B4147">
        <w:rPr>
          <w:lang w:bidi="he-IL"/>
        </w:rPr>
        <w:t xml:space="preserve"> </w:t>
      </w:r>
      <w:r w:rsidR="00B94B9D">
        <w:rPr>
          <w:lang w:bidi="he-IL"/>
        </w:rPr>
        <w:t xml:space="preserve">Rebekah </w:t>
      </w:r>
      <w:r w:rsidR="009141F3">
        <w:rPr>
          <w:lang w:bidi="he-IL"/>
        </w:rPr>
        <w:t>to take over</w:t>
      </w:r>
      <w:r w:rsidR="001B4147">
        <w:rPr>
          <w:lang w:bidi="he-IL"/>
        </w:rPr>
        <w:t xml:space="preserve"> Sarah’s tent</w:t>
      </w:r>
      <w:r w:rsidR="00381C51">
        <w:rPr>
          <w:lang w:bidi="he-IL"/>
        </w:rPr>
        <w:t>, which</w:t>
      </w:r>
      <w:r w:rsidR="00381C51" w:rsidRPr="00381C51">
        <w:rPr>
          <w:lang w:bidi="he-IL"/>
        </w:rPr>
        <w:t xml:space="preserve"> establishes </w:t>
      </w:r>
      <w:r w:rsidR="00BC6AB7">
        <w:rPr>
          <w:lang w:bidi="he-IL"/>
        </w:rPr>
        <w:t xml:space="preserve">her as matriarch </w:t>
      </w:r>
      <w:r w:rsidR="00381C51">
        <w:rPr>
          <w:lang w:bidi="he-IL"/>
        </w:rPr>
        <w:t>of the family in Sarah’s place</w:t>
      </w:r>
      <w:r w:rsidR="001B4147">
        <w:rPr>
          <w:lang w:bidi="he-IL"/>
        </w:rPr>
        <w:t xml:space="preserve">. </w:t>
      </w:r>
      <w:r w:rsidR="009141F3">
        <w:rPr>
          <w:lang w:bidi="he-IL"/>
        </w:rPr>
        <w:t xml:space="preserve">On the way to that end, </w:t>
      </w:r>
      <w:r w:rsidR="00BC6AB7">
        <w:rPr>
          <w:lang w:bidi="he-IL"/>
        </w:rPr>
        <w:t>Isaac</w:t>
      </w:r>
      <w:r w:rsidR="00B94B9D">
        <w:rPr>
          <w:lang w:bidi="he-IL"/>
        </w:rPr>
        <w:t xml:space="preserve"> </w:t>
      </w:r>
      <w:r w:rsidR="005674C9">
        <w:rPr>
          <w:lang w:bidi="he-IL"/>
        </w:rPr>
        <w:t>gets</w:t>
      </w:r>
      <w:r>
        <w:rPr>
          <w:lang w:bidi="he-IL"/>
        </w:rPr>
        <w:t xml:space="preserve"> </w:t>
      </w:r>
      <w:r w:rsidR="00B94B9D">
        <w:rPr>
          <w:lang w:bidi="he-IL"/>
        </w:rPr>
        <w:t>her and</w:t>
      </w:r>
      <w:r w:rsidR="00136C6E">
        <w:rPr>
          <w:lang w:bidi="he-IL"/>
        </w:rPr>
        <w:t xml:space="preserve"> she becomes his wife</w:t>
      </w:r>
      <w:r w:rsidR="00DA53A8">
        <w:rPr>
          <w:lang w:bidi="he-IL"/>
        </w:rPr>
        <w:t>: in other words, they get married, presumably with a great wedding celebration</w:t>
      </w:r>
      <w:r w:rsidR="001F51CA">
        <w:rPr>
          <w:lang w:bidi="he-IL"/>
        </w:rPr>
        <w:t xml:space="preserve">. </w:t>
      </w:r>
      <w:r w:rsidR="001F51CA">
        <w:rPr>
          <w:lang w:bidi="he-IL"/>
        </w:rPr>
        <w:lastRenderedPageBreak/>
        <w:t>And he</w:t>
      </w:r>
      <w:r w:rsidR="00136C6E">
        <w:rPr>
          <w:lang w:bidi="he-IL"/>
        </w:rPr>
        <w:t xml:space="preserve"> loves her</w:t>
      </w:r>
      <w:r w:rsidR="00BC6AB7">
        <w:rPr>
          <w:lang w:bidi="he-IL"/>
        </w:rPr>
        <w:t>.</w:t>
      </w:r>
      <w:r w:rsidR="00DA53A8">
        <w:rPr>
          <w:lang w:bidi="he-IL"/>
        </w:rPr>
        <w:t xml:space="preserve"> </w:t>
      </w:r>
      <w:r w:rsidR="00BC6AB7">
        <w:rPr>
          <w:lang w:bidi="he-IL"/>
        </w:rPr>
        <w:t>L</w:t>
      </w:r>
      <w:r w:rsidR="00B94B9D">
        <w:rPr>
          <w:lang w:bidi="he-IL"/>
        </w:rPr>
        <w:t>ove naturally follow</w:t>
      </w:r>
      <w:r w:rsidR="001F51CA">
        <w:rPr>
          <w:lang w:bidi="he-IL"/>
        </w:rPr>
        <w:t>s rather than precedes marriage</w:t>
      </w:r>
      <w:r w:rsidR="00B94B9D">
        <w:rPr>
          <w:lang w:bidi="he-IL"/>
        </w:rPr>
        <w:t xml:space="preserve"> when the marriage is an arranged one</w:t>
      </w:r>
      <w:r w:rsidR="001F51CA">
        <w:rPr>
          <w:lang w:bidi="he-IL"/>
        </w:rPr>
        <w:t xml:space="preserve">. </w:t>
      </w:r>
      <w:r w:rsidR="00DA53A8" w:rsidRPr="00DA53A8">
        <w:rPr>
          <w:lang w:bidi="he-IL"/>
        </w:rPr>
        <w:t xml:space="preserve">It is the </w:t>
      </w:r>
      <w:r w:rsidR="00381C51">
        <w:rPr>
          <w:lang w:bidi="he-IL"/>
        </w:rPr>
        <w:t>first man-woman love in Genesis.</w:t>
      </w:r>
      <w:r w:rsidR="005674C9">
        <w:rPr>
          <w:lang w:bidi="he-IL"/>
        </w:rPr>
        <w:t xml:space="preserve"> Isaac becomes someone</w:t>
      </w:r>
      <w:r w:rsidR="00DA53A8" w:rsidRPr="00DA53A8">
        <w:rPr>
          <w:lang w:bidi="he-IL"/>
        </w:rPr>
        <w:t xml:space="preserve"> who loves as well as </w:t>
      </w:r>
      <w:r w:rsidR="005674C9">
        <w:rPr>
          <w:lang w:bidi="he-IL"/>
        </w:rPr>
        <w:t>some</w:t>
      </w:r>
      <w:r w:rsidR="00DA53A8" w:rsidRPr="00DA53A8">
        <w:rPr>
          <w:lang w:bidi="he-IL"/>
        </w:rPr>
        <w:t>one who is loved (22:2).</w:t>
      </w:r>
      <w:r w:rsidR="00DA53A8" w:rsidRPr="00DA53A8">
        <w:rPr>
          <w:vertAlign w:val="superscript"/>
          <w:lang w:bidi="he-IL"/>
        </w:rPr>
        <w:footnoteReference w:id="844"/>
      </w:r>
      <w:r w:rsidR="00381C51">
        <w:rPr>
          <w:lang w:bidi="he-IL"/>
        </w:rPr>
        <w:t xml:space="preserve"> </w:t>
      </w:r>
      <w:r w:rsidR="001F51CA">
        <w:rPr>
          <w:lang w:bidi="he-IL"/>
        </w:rPr>
        <w:t>A</w:t>
      </w:r>
      <w:r>
        <w:rPr>
          <w:lang w:bidi="he-IL"/>
        </w:rPr>
        <w:t xml:space="preserve">nd </w:t>
      </w:r>
      <w:r w:rsidR="00BC6AB7">
        <w:rPr>
          <w:lang w:bidi="he-IL"/>
        </w:rPr>
        <w:t xml:space="preserve">finally, with Rebekah in his mother’s tent, </w:t>
      </w:r>
      <w:r w:rsidR="00032494">
        <w:rPr>
          <w:lang w:bidi="he-IL"/>
        </w:rPr>
        <w:t>he finds</w:t>
      </w:r>
      <w:r>
        <w:rPr>
          <w:lang w:bidi="he-IL"/>
        </w:rPr>
        <w:t xml:space="preserve"> consolation</w:t>
      </w:r>
      <w:r w:rsidR="00A9632E">
        <w:rPr>
          <w:lang w:bidi="he-IL"/>
        </w:rPr>
        <w:t xml:space="preserve"> (had he been especially close to Sarah because he had lived with her while Abraham was away shepherding elsewhere?)</w:t>
      </w:r>
      <w:r w:rsidR="005674C9">
        <w:rPr>
          <w:lang w:bidi="he-IL"/>
        </w:rPr>
        <w:t>. It’s not the same as</w:t>
      </w:r>
      <w:r w:rsidR="00136C6E">
        <w:rPr>
          <w:lang w:bidi="he-IL"/>
        </w:rPr>
        <w:t xml:space="preserve"> </w:t>
      </w:r>
      <w:r w:rsidR="00032494">
        <w:rPr>
          <w:lang w:bidi="he-IL"/>
        </w:rPr>
        <w:t>the abandoning of</w:t>
      </w:r>
      <w:r w:rsidR="001F51CA">
        <w:rPr>
          <w:lang w:bidi="he-IL"/>
        </w:rPr>
        <w:t xml:space="preserve"> mother and father in 2:24</w:t>
      </w:r>
      <w:r w:rsidR="005674C9">
        <w:rPr>
          <w:lang w:bidi="he-IL"/>
        </w:rPr>
        <w:t>, though it recalls it</w:t>
      </w:r>
      <w:r>
        <w:rPr>
          <w:lang w:bidi="he-IL"/>
        </w:rPr>
        <w:t xml:space="preserve">. </w:t>
      </w:r>
    </w:p>
    <w:p w14:paraId="2FECF462" w14:textId="77777777" w:rsidR="00C0799A" w:rsidRDefault="00C0799A" w:rsidP="00C0799A">
      <w:pPr>
        <w:pStyle w:val="Heading2"/>
        <w:rPr>
          <w:lang w:bidi="he-IL"/>
        </w:rPr>
      </w:pPr>
      <w:r>
        <w:rPr>
          <w:lang w:bidi="he-IL"/>
        </w:rPr>
        <w:t>Seeking the Fulfilment of God’s Purpose</w:t>
      </w:r>
    </w:p>
    <w:p w14:paraId="3068219A" w14:textId="77777777" w:rsidR="00AE2C14" w:rsidRDefault="00544D06" w:rsidP="00AE2C14">
      <w:pPr>
        <w:rPr>
          <w:lang w:bidi="he-IL"/>
        </w:rPr>
      </w:pPr>
      <w:r>
        <w:rPr>
          <w:lang w:bidi="he-IL"/>
        </w:rPr>
        <w:t>As it’</w:t>
      </w:r>
      <w:r w:rsidR="00AE2C14">
        <w:rPr>
          <w:lang w:bidi="he-IL"/>
        </w:rPr>
        <w:t>s tricky to move fro</w:t>
      </w:r>
      <w:r>
        <w:rPr>
          <w:lang w:bidi="he-IL"/>
        </w:rPr>
        <w:t>m an “is” to an “ought,” so it’</w:t>
      </w:r>
      <w:r w:rsidR="00AE2C14">
        <w:rPr>
          <w:lang w:bidi="he-IL"/>
        </w:rPr>
        <w:t xml:space="preserve">s tricky to move from </w:t>
      </w:r>
      <w:r>
        <w:rPr>
          <w:lang w:bidi="he-IL"/>
        </w:rPr>
        <w:t xml:space="preserve">a narrative to a generalization, from </w:t>
      </w:r>
      <w:r w:rsidR="00AE2C14">
        <w:rPr>
          <w:lang w:bidi="he-IL"/>
        </w:rPr>
        <w:t xml:space="preserve">“Abraham/his servant acted thus” to “one should act thus,” or </w:t>
      </w:r>
      <w:r w:rsidR="00AE2C14" w:rsidRPr="00AE2C14">
        <w:rPr>
          <w:lang w:bidi="he-IL"/>
        </w:rPr>
        <w:t>from “God acted thus” to “God acts</w:t>
      </w:r>
      <w:r w:rsidR="00AE2C14">
        <w:rPr>
          <w:lang w:bidi="he-IL"/>
        </w:rPr>
        <w:t xml:space="preserve"> thus.” In considering some implications of Gen 24, for th</w:t>
      </w:r>
      <w:r w:rsidR="00CA69C7">
        <w:rPr>
          <w:lang w:bidi="he-IL"/>
        </w:rPr>
        <w:t>e most part I therefore ret</w:t>
      </w:r>
      <w:r w:rsidR="00907063">
        <w:rPr>
          <w:lang w:bidi="he-IL"/>
        </w:rPr>
        <w:t xml:space="preserve">ain its </w:t>
      </w:r>
      <w:r>
        <w:rPr>
          <w:lang w:bidi="he-IL"/>
        </w:rPr>
        <w:t>narrative form. It’</w:t>
      </w:r>
      <w:r w:rsidR="00CA69C7">
        <w:rPr>
          <w:lang w:bidi="he-IL"/>
        </w:rPr>
        <w:t xml:space="preserve">s impossible to know whether we may expect God to act as he did in this story, but a story may open up possibilities. </w:t>
      </w:r>
    </w:p>
    <w:p w14:paraId="25DDEE28" w14:textId="4801E407" w:rsidR="0046121A" w:rsidRDefault="00CA69C7" w:rsidP="00AE2C14">
      <w:pPr>
        <w:rPr>
          <w:lang w:bidi="he-IL"/>
        </w:rPr>
      </w:pPr>
      <w:r>
        <w:rPr>
          <w:lang w:bidi="he-IL"/>
        </w:rPr>
        <w:t>Abraham could not bring about the fulfillment of the purpose that God had initiated or the promises that God had made. But there was a step he could take to open up the possibility of that fulfillment</w:t>
      </w:r>
      <w:r w:rsidR="005674C9">
        <w:rPr>
          <w:lang w:bidi="he-IL"/>
        </w:rPr>
        <w:t xml:space="preserve"> (vv. 1-4)</w:t>
      </w:r>
      <w:r>
        <w:rPr>
          <w:lang w:bidi="he-IL"/>
        </w:rPr>
        <w:t>.</w:t>
      </w:r>
      <w:r w:rsidR="00EA1B7F">
        <w:rPr>
          <w:lang w:bidi="he-IL"/>
        </w:rPr>
        <w:t xml:space="preserve"> While sometimes God instructs</w:t>
      </w:r>
      <w:r w:rsidR="00544D06">
        <w:rPr>
          <w:lang w:bidi="he-IL"/>
        </w:rPr>
        <w:t xml:space="preserve"> his people about action they should take (Gen 12:1), som</w:t>
      </w:r>
      <w:r w:rsidR="00EA1B7F">
        <w:rPr>
          <w:lang w:bidi="he-IL"/>
        </w:rPr>
        <w:t xml:space="preserve">etimes they </w:t>
      </w:r>
      <w:r w:rsidR="00907063">
        <w:rPr>
          <w:lang w:bidi="he-IL"/>
        </w:rPr>
        <w:t xml:space="preserve">properly </w:t>
      </w:r>
      <w:r w:rsidR="00EA1B7F">
        <w:rPr>
          <w:lang w:bidi="he-IL"/>
        </w:rPr>
        <w:t>take initiatives in light of past instructions which establish the framework</w:t>
      </w:r>
      <w:r w:rsidR="0046121A">
        <w:rPr>
          <w:lang w:bidi="he-IL"/>
        </w:rPr>
        <w:t xml:space="preserve"> within which they are to act. </w:t>
      </w:r>
      <w:r w:rsidR="00EA1B7F">
        <w:rPr>
          <w:lang w:bidi="he-IL"/>
        </w:rPr>
        <w:t>There have been occasions when Abraham took an initiative that arguably did not meet that criterion a</w:t>
      </w:r>
      <w:r w:rsidR="00907063">
        <w:rPr>
          <w:lang w:bidi="he-IL"/>
        </w:rPr>
        <w:t xml:space="preserve">nd things have gone wrong. There have been </w:t>
      </w:r>
      <w:r w:rsidR="00EA1B7F">
        <w:rPr>
          <w:lang w:bidi="he-IL"/>
        </w:rPr>
        <w:t>occasions wh</w:t>
      </w:r>
      <w:r w:rsidR="0046121A">
        <w:rPr>
          <w:lang w:bidi="he-IL"/>
        </w:rPr>
        <w:t xml:space="preserve">en Abraham took action that </w:t>
      </w:r>
      <w:r w:rsidR="0046121A" w:rsidRPr="0046121A">
        <w:rPr>
          <w:lang w:bidi="he-IL"/>
        </w:rPr>
        <w:t xml:space="preserve">had an ambiguous relationship with </w:t>
      </w:r>
      <w:r w:rsidR="0046121A">
        <w:rPr>
          <w:lang w:bidi="he-IL"/>
        </w:rPr>
        <w:t>God</w:t>
      </w:r>
      <w:r w:rsidR="0046121A" w:rsidRPr="0046121A">
        <w:rPr>
          <w:lang w:bidi="he-IL"/>
        </w:rPr>
        <w:t>’s past instructions</w:t>
      </w:r>
      <w:r w:rsidR="00EA1B7F">
        <w:rPr>
          <w:lang w:bidi="he-IL"/>
        </w:rPr>
        <w:t xml:space="preserve"> and things have gone right. And there have been occasions when Abraham took an initiative that had an ambiguous relationship with </w:t>
      </w:r>
      <w:r w:rsidR="0046121A">
        <w:rPr>
          <w:lang w:bidi="he-IL"/>
        </w:rPr>
        <w:t>God</w:t>
      </w:r>
      <w:r w:rsidR="00EA1B7F">
        <w:rPr>
          <w:lang w:bidi="he-IL"/>
        </w:rPr>
        <w:t xml:space="preserve">’s past instructions and things have gone wrong. </w:t>
      </w:r>
      <w:r w:rsidR="0046121A">
        <w:rPr>
          <w:lang w:bidi="he-IL"/>
        </w:rPr>
        <w:t xml:space="preserve">The stories offer no sure-fire formula for action that fit into God’s purpose and will lead to blessing rather than trouble. </w:t>
      </w:r>
    </w:p>
    <w:p w14:paraId="4E064CDF" w14:textId="5E10EDA1" w:rsidR="00CA69C7" w:rsidRDefault="0046121A" w:rsidP="00AE2C14">
      <w:pPr>
        <w:rPr>
          <w:lang w:bidi="he-IL"/>
        </w:rPr>
      </w:pPr>
      <w:r>
        <w:rPr>
          <w:lang w:bidi="he-IL"/>
        </w:rPr>
        <w:t xml:space="preserve">Abraham’s response to his servant’s initial worry recognizes this aspect of the dynamic of relationships with God. On one hand, he promises that God’s envoy will guide his servant. The story gives us no basis for this reassurance except a general trust in God to facilitate Abraham’s action </w:t>
      </w:r>
      <w:r w:rsidR="00907063">
        <w:rPr>
          <w:lang w:bidi="he-IL"/>
        </w:rPr>
        <w:t xml:space="preserve">that is </w:t>
      </w:r>
      <w:r>
        <w:rPr>
          <w:lang w:bidi="he-IL"/>
        </w:rPr>
        <w:t>designed to ensure that he does live in the context of God’s instructions. Abraham does not say that God has promised that the envoy will accompany</w:t>
      </w:r>
      <w:r w:rsidR="00391415">
        <w:rPr>
          <w:lang w:bidi="he-IL"/>
        </w:rPr>
        <w:t xml:space="preserve"> his servant, a</w:t>
      </w:r>
      <w:r>
        <w:rPr>
          <w:lang w:bidi="he-IL"/>
        </w:rPr>
        <w:t xml:space="preserve">nd the story does not suggest that the envoy does so in the </w:t>
      </w:r>
      <w:r w:rsidR="00391415">
        <w:rPr>
          <w:lang w:bidi="he-IL"/>
        </w:rPr>
        <w:t>interventionist and unmistakable way that</w:t>
      </w:r>
      <w:r>
        <w:rPr>
          <w:lang w:bidi="he-IL"/>
        </w:rPr>
        <w:t xml:space="preserve"> envoys </w:t>
      </w:r>
      <w:r w:rsidR="00391415">
        <w:rPr>
          <w:lang w:bidi="he-IL"/>
        </w:rPr>
        <w:t xml:space="preserve">have previously </w:t>
      </w:r>
      <w:r>
        <w:rPr>
          <w:lang w:bidi="he-IL"/>
        </w:rPr>
        <w:t>operate</w:t>
      </w:r>
      <w:r w:rsidR="00391415">
        <w:rPr>
          <w:lang w:bidi="he-IL"/>
        </w:rPr>
        <w:t>d in the Abraham story. This envoy will be behind the scenes, acting via coincidences and via the process of human decision</w:t>
      </w:r>
      <w:r w:rsidR="00907063">
        <w:rPr>
          <w:lang w:bidi="he-IL"/>
        </w:rPr>
        <w:t xml:space="preserve">-making. </w:t>
      </w:r>
      <w:r w:rsidR="00391415">
        <w:rPr>
          <w:lang w:bidi="he-IL"/>
        </w:rPr>
        <w:t>Abraham thus recognizes the tension and the ambiguity involved in God’s acting in this way. God may be able to manipulate coincidences, but he doesn’t manipulate human decision-making in the sense of forcing people to do things against their will. So he may guide the servant to the ideal girl, but she may say “No.”</w:t>
      </w:r>
      <w:r w:rsidR="000752DC">
        <w:rPr>
          <w:lang w:bidi="he-IL"/>
        </w:rPr>
        <w:t xml:space="preserve"> </w:t>
      </w:r>
    </w:p>
    <w:p w14:paraId="62BFE6C5" w14:textId="7C9D8913" w:rsidR="00391415" w:rsidRDefault="00FB7C35" w:rsidP="00AE2C14">
      <w:pPr>
        <w:rPr>
          <w:lang w:bidi="he-IL"/>
        </w:rPr>
      </w:pPr>
      <w:r>
        <w:rPr>
          <w:lang w:bidi="he-IL"/>
        </w:rPr>
        <w:t xml:space="preserve">The </w:t>
      </w:r>
      <w:proofErr w:type="gramStart"/>
      <w:r>
        <w:rPr>
          <w:lang w:bidi="he-IL"/>
        </w:rPr>
        <w:t>servant ,</w:t>
      </w:r>
      <w:proofErr w:type="gramEnd"/>
      <w:r>
        <w:rPr>
          <w:lang w:bidi="he-IL"/>
        </w:rPr>
        <w:t xml:space="preserve"> too, takes initiatives, and then as</w:t>
      </w:r>
      <w:r w:rsidR="005674C9">
        <w:rPr>
          <w:lang w:bidi="he-IL"/>
        </w:rPr>
        <w:t>ks God to work with th</w:t>
      </w:r>
      <w:r w:rsidR="00A15A68">
        <w:rPr>
          <w:lang w:bidi="he-IL"/>
        </w:rPr>
        <w:t>em</w:t>
      </w:r>
      <w:r>
        <w:rPr>
          <w:lang w:bidi="he-IL"/>
        </w:rPr>
        <w:t xml:space="preserve">, as opposed </w:t>
      </w:r>
      <w:r w:rsidR="00AA2766">
        <w:rPr>
          <w:lang w:bidi="he-IL"/>
        </w:rPr>
        <w:t>to asking God for guidance regarding</w:t>
      </w:r>
      <w:r>
        <w:rPr>
          <w:lang w:bidi="he-IL"/>
        </w:rPr>
        <w:t xml:space="preserve"> what he is to do and then himself working with that guidance. His p</w:t>
      </w:r>
      <w:r w:rsidR="00AA2766">
        <w:rPr>
          <w:lang w:bidi="he-IL"/>
        </w:rPr>
        <w:t xml:space="preserve">rayer presupposes </w:t>
      </w:r>
      <w:r>
        <w:rPr>
          <w:lang w:bidi="he-IL"/>
        </w:rPr>
        <w:t>God’s capacity to “make things happe</w:t>
      </w:r>
      <w:r w:rsidR="00AA2766">
        <w:rPr>
          <w:lang w:bidi="he-IL"/>
        </w:rPr>
        <w:t>n,</w:t>
      </w:r>
      <w:r>
        <w:rPr>
          <w:lang w:bidi="he-IL"/>
        </w:rPr>
        <w:t xml:space="preserve">” </w:t>
      </w:r>
      <w:r w:rsidR="00AA2766">
        <w:rPr>
          <w:lang w:bidi="he-IL"/>
        </w:rPr>
        <w:t xml:space="preserve">even though it is practically an incoherent idea. </w:t>
      </w:r>
      <w:r w:rsidR="00D72B07" w:rsidRPr="00D72B07">
        <w:rPr>
          <w:lang w:bidi="he-IL"/>
        </w:rPr>
        <w:t>“Time and chance happen to all,” whether or not they are quick, strong, smart, discerning, or knowledgeable (Eccles 9:</w:t>
      </w:r>
      <w:r w:rsidR="00AA2766">
        <w:rPr>
          <w:lang w:bidi="he-IL"/>
        </w:rPr>
        <w:t>11). “Making something happen”</w:t>
      </w:r>
      <w:r w:rsidR="00A15A68" w:rsidRPr="00A15A68">
        <w:t xml:space="preserve"> </w:t>
      </w:r>
      <w:r w:rsidR="00A15A68" w:rsidRPr="00AA2766">
        <w:t>(</w:t>
      </w:r>
      <w:r w:rsidR="00A15A68" w:rsidRPr="00AA2766">
        <w:rPr>
          <w:i/>
        </w:rPr>
        <w:t>qārāh</w:t>
      </w:r>
      <w:r w:rsidR="00A15A68" w:rsidRPr="00AA2766">
        <w:t xml:space="preserve"> hiphil</w:t>
      </w:r>
      <w:r w:rsidR="00A15A68">
        <w:t>)</w:t>
      </w:r>
      <w:r w:rsidR="00AA2766">
        <w:rPr>
          <w:lang w:bidi="he-IL"/>
        </w:rPr>
        <w:t xml:space="preserve"> </w:t>
      </w:r>
      <w:r w:rsidR="00D72B07" w:rsidRPr="00D72B07">
        <w:rPr>
          <w:lang w:bidi="he-IL"/>
        </w:rPr>
        <w:t>is thus close</w:t>
      </w:r>
      <w:r w:rsidR="00AA2766">
        <w:rPr>
          <w:lang w:bidi="he-IL"/>
        </w:rPr>
        <w:t xml:space="preserve"> to being an oxymoron, and </w:t>
      </w:r>
      <w:r w:rsidR="00D72B07" w:rsidRPr="00D72B07">
        <w:rPr>
          <w:lang w:bidi="he-IL"/>
        </w:rPr>
        <w:t xml:space="preserve">on </w:t>
      </w:r>
      <w:r w:rsidR="00AA2766">
        <w:rPr>
          <w:lang w:bidi="he-IL"/>
        </w:rPr>
        <w:t>the other two occasions when</w:t>
      </w:r>
      <w:r w:rsidR="00D72B07" w:rsidRPr="00D72B07">
        <w:rPr>
          <w:lang w:bidi="he-IL"/>
        </w:rPr>
        <w:t xml:space="preserve"> </w:t>
      </w:r>
      <w:r w:rsidR="00907063">
        <w:rPr>
          <w:lang w:bidi="he-IL"/>
        </w:rPr>
        <w:t>the First Testament uses the</w:t>
      </w:r>
      <w:r w:rsidR="00AA2766">
        <w:rPr>
          <w:lang w:bidi="he-IL"/>
        </w:rPr>
        <w:t xml:space="preserve"> expression, once it is</w:t>
      </w:r>
      <w:r w:rsidR="00D72B07" w:rsidRPr="00D72B07">
        <w:rPr>
          <w:lang w:bidi="he-IL"/>
        </w:rPr>
        <w:t xml:space="preserve"> something that does not require human cooperation (Num 35:11) and once </w:t>
      </w:r>
      <w:r w:rsidR="00A15A68">
        <w:rPr>
          <w:lang w:bidi="he-IL"/>
        </w:rPr>
        <w:t>it’</w:t>
      </w:r>
      <w:r w:rsidR="00AA2766">
        <w:rPr>
          <w:lang w:bidi="he-IL"/>
        </w:rPr>
        <w:t xml:space="preserve">s </w:t>
      </w:r>
      <w:r w:rsidR="00D72B07" w:rsidRPr="00D72B07">
        <w:rPr>
          <w:lang w:bidi="he-IL"/>
        </w:rPr>
        <w:t>when Isaac’s son is lying to him (Gen 27:20).</w:t>
      </w:r>
      <w:r w:rsidR="00F425F7">
        <w:rPr>
          <w:lang w:bidi="he-IL"/>
        </w:rPr>
        <w:t xml:space="preserve"> But the servant backs up his implausible prayer with an appeal to God’s commitment (</w:t>
      </w:r>
      <w:r w:rsidR="00F425F7">
        <w:rPr>
          <w:i/>
          <w:lang w:bidi="he-IL"/>
        </w:rPr>
        <w:t>ḥesed</w:t>
      </w:r>
      <w:r w:rsidR="00F425F7">
        <w:rPr>
          <w:lang w:bidi="he-IL"/>
        </w:rPr>
        <w:t xml:space="preserve">) to Abraham and thus to the fact that he addresses Abraham’s God. The servant’s prayer makes clear that he himself has a </w:t>
      </w:r>
      <w:r w:rsidR="00254ACB">
        <w:rPr>
          <w:lang w:bidi="he-IL"/>
        </w:rPr>
        <w:t xml:space="preserve">direct </w:t>
      </w:r>
      <w:r w:rsidR="00F425F7">
        <w:rPr>
          <w:lang w:bidi="he-IL"/>
        </w:rPr>
        <w:t>personal relationship with God</w:t>
      </w:r>
      <w:r w:rsidR="00E62C3D">
        <w:rPr>
          <w:lang w:bidi="he-IL"/>
        </w:rPr>
        <w:t xml:space="preserve">. But the basis for his </w:t>
      </w:r>
      <w:r w:rsidR="00254ACB">
        <w:rPr>
          <w:lang w:bidi="he-IL"/>
        </w:rPr>
        <w:t xml:space="preserve">appeal is the link between this particular prayer and the purpose God is pursuing though Abraham. The petition “make this happen for me” is framed on both sides with this fact. Only superficially is he praying for himself; he is praying for Abraham’s sake </w:t>
      </w:r>
      <w:r w:rsidR="00E62C3D">
        <w:rPr>
          <w:lang w:bidi="he-IL"/>
        </w:rPr>
        <w:t xml:space="preserve">and for Isaac’s sake </w:t>
      </w:r>
      <w:r w:rsidR="00254ACB">
        <w:rPr>
          <w:lang w:bidi="he-IL"/>
        </w:rPr>
        <w:t>and even more for God’s own sake.</w:t>
      </w:r>
      <w:r w:rsidR="00C52F6C">
        <w:rPr>
          <w:lang w:bidi="he-IL"/>
        </w:rPr>
        <w:t xml:space="preserve"> </w:t>
      </w:r>
      <w:r w:rsidR="00C52F6C">
        <w:rPr>
          <w:lang w:bidi="he-IL"/>
        </w:rPr>
        <w:lastRenderedPageBreak/>
        <w:t xml:space="preserve">Sometimes God makes things happen in a way that defies regular explanation. Sometimes God </w:t>
      </w:r>
      <w:r w:rsidR="00907063">
        <w:rPr>
          <w:lang w:bidi="he-IL"/>
        </w:rPr>
        <w:t>does work</w:t>
      </w:r>
      <w:r w:rsidR="00C52F6C">
        <w:rPr>
          <w:lang w:bidi="he-IL"/>
        </w:rPr>
        <w:t xml:space="preserve"> through coincidences and human decision-making.</w:t>
      </w:r>
    </w:p>
    <w:p w14:paraId="7704F2A6" w14:textId="238473EF" w:rsidR="00E62C3D" w:rsidRDefault="00E62C3D" w:rsidP="00AE2C14">
      <w:pPr>
        <w:rPr>
          <w:lang w:bidi="he-IL"/>
        </w:rPr>
      </w:pPr>
      <w:r>
        <w:rPr>
          <w:lang w:bidi="he-IL"/>
        </w:rPr>
        <w:t>God answers the prayer and “makes it happen,” with just a little slippage</w:t>
      </w:r>
      <w:r w:rsidR="00585A4D">
        <w:rPr>
          <w:lang w:bidi="he-IL"/>
        </w:rPr>
        <w:t>, illustrating two aspects of the significance of prayer, both of which raise systematically irresolvable questions</w:t>
      </w:r>
      <w:r w:rsidR="00BC4EDF">
        <w:rPr>
          <w:lang w:bidi="he-IL"/>
        </w:rPr>
        <w:t xml:space="preserve">. </w:t>
      </w:r>
      <w:r w:rsidR="00585A4D">
        <w:rPr>
          <w:lang w:bidi="he-IL"/>
        </w:rPr>
        <w:t>First, the Scriptures imply two</w:t>
      </w:r>
      <w:r w:rsidR="005E73AA">
        <w:rPr>
          <w:lang w:bidi="he-IL"/>
        </w:rPr>
        <w:t xml:space="preserve"> considerations </w:t>
      </w:r>
      <w:r w:rsidR="00BC4EDF">
        <w:rPr>
          <w:lang w:bidi="he-IL"/>
        </w:rPr>
        <w:t xml:space="preserve">about prayer itself </w:t>
      </w:r>
      <w:r w:rsidR="005E73AA">
        <w:rPr>
          <w:lang w:bidi="he-IL"/>
        </w:rPr>
        <w:t>that are in i</w:t>
      </w:r>
      <w:r w:rsidR="00585A4D">
        <w:rPr>
          <w:lang w:bidi="he-IL"/>
        </w:rPr>
        <w:t>rresolvable tension. God</w:t>
      </w:r>
      <w:r w:rsidR="005E73AA">
        <w:rPr>
          <w:lang w:bidi="he-IL"/>
        </w:rPr>
        <w:t xml:space="preserve"> encompasses all time</w:t>
      </w:r>
      <w:r w:rsidR="00585A4D">
        <w:rPr>
          <w:lang w:bidi="he-IL"/>
        </w:rPr>
        <w:t>,</w:t>
      </w:r>
      <w:r w:rsidR="005E73AA">
        <w:rPr>
          <w:lang w:bidi="he-IL"/>
        </w:rPr>
        <w:t xml:space="preserve"> and all time is open to God; what is the unexperienced future to human beings is accessible</w:t>
      </w:r>
      <w:r w:rsidR="0055710C">
        <w:rPr>
          <w:lang w:bidi="he-IL"/>
        </w:rPr>
        <w:t xml:space="preserve"> to God. But prayer can make God do things he would </w:t>
      </w:r>
      <w:r w:rsidR="00585A4D">
        <w:rPr>
          <w:lang w:bidi="he-IL"/>
        </w:rPr>
        <w:t>not otherwise do and a</w:t>
      </w:r>
      <w:r w:rsidR="0055710C">
        <w:rPr>
          <w:lang w:bidi="he-IL"/>
        </w:rPr>
        <w:t>bandon</w:t>
      </w:r>
      <w:r w:rsidR="00A15A68">
        <w:rPr>
          <w:lang w:bidi="he-IL"/>
        </w:rPr>
        <w:t xml:space="preserve"> things he would do—</w:t>
      </w:r>
      <w:r w:rsidR="00585A4D">
        <w:rPr>
          <w:lang w:bidi="he-IL"/>
        </w:rPr>
        <w:t>make him have a change of</w:t>
      </w:r>
      <w:r w:rsidR="00A15A68">
        <w:rPr>
          <w:lang w:bidi="he-IL"/>
        </w:rPr>
        <w:t xml:space="preserve"> mind, as the Scriptures put it</w:t>
      </w:r>
      <w:r w:rsidR="00585A4D">
        <w:rPr>
          <w:lang w:bidi="he-IL"/>
        </w:rPr>
        <w:t xml:space="preserve">. Gen 24 illustrates the genius of narrative theology in that it does not seek to explain how the two considerations fit together but it does tell a story that illustrates their interweaving. The servant prays; God answers his prayer, which thus </w:t>
      </w:r>
      <w:r w:rsidR="00907063">
        <w:rPr>
          <w:lang w:bidi="he-IL"/>
        </w:rPr>
        <w:t>has made</w:t>
      </w:r>
      <w:r w:rsidR="00585A4D">
        <w:rPr>
          <w:lang w:bidi="he-IL"/>
        </w:rPr>
        <w:t xml:space="preserve"> a difference; but the answer comes before he even finishes praying, which reflects how all time is open to God. </w:t>
      </w:r>
    </w:p>
    <w:p w14:paraId="13DDB767" w14:textId="56D1BD29" w:rsidR="00585A4D" w:rsidRDefault="00585A4D" w:rsidP="00AE2C14">
      <w:pPr>
        <w:rPr>
          <w:lang w:bidi="he-IL"/>
        </w:rPr>
      </w:pPr>
      <w:r>
        <w:rPr>
          <w:lang w:bidi="he-IL"/>
        </w:rPr>
        <w:t xml:space="preserve">Second, </w:t>
      </w:r>
      <w:r w:rsidR="00BC4EDF" w:rsidRPr="00BC4EDF">
        <w:rPr>
          <w:lang w:bidi="he-IL"/>
        </w:rPr>
        <w:t xml:space="preserve">the Scriptures imply two considerations </w:t>
      </w:r>
      <w:r w:rsidR="00BC4EDF">
        <w:rPr>
          <w:lang w:bidi="he-IL"/>
        </w:rPr>
        <w:t>about the relationship between God making things happen and human beings making things happen, which</w:t>
      </w:r>
      <w:r w:rsidR="00BC4EDF" w:rsidRPr="00BC4EDF">
        <w:rPr>
          <w:lang w:bidi="he-IL"/>
        </w:rPr>
        <w:t xml:space="preserve"> are </w:t>
      </w:r>
      <w:r w:rsidR="00BC4EDF">
        <w:rPr>
          <w:lang w:bidi="he-IL"/>
        </w:rPr>
        <w:t xml:space="preserve">also </w:t>
      </w:r>
      <w:r w:rsidR="00BC4EDF" w:rsidRPr="00BC4EDF">
        <w:rPr>
          <w:lang w:bidi="he-IL"/>
        </w:rPr>
        <w:t>in irresolvable tension</w:t>
      </w:r>
      <w:r w:rsidR="00BC4EDF">
        <w:rPr>
          <w:lang w:bidi="he-IL"/>
        </w:rPr>
        <w:t>. The servant has asked for God to bring it about that a certain girl</w:t>
      </w:r>
      <w:r w:rsidR="00A15A68">
        <w:rPr>
          <w:lang w:bidi="he-IL"/>
        </w:rPr>
        <w:t xml:space="preserve"> should come</w:t>
      </w:r>
      <w:r w:rsidR="00BC4EDF">
        <w:rPr>
          <w:lang w:bidi="he-IL"/>
        </w:rPr>
        <w:t xml:space="preserve"> to the </w:t>
      </w:r>
      <w:r w:rsidR="00A15A68">
        <w:rPr>
          <w:lang w:bidi="he-IL"/>
        </w:rPr>
        <w:t>well and by her words identify</w:t>
      </w:r>
      <w:r w:rsidR="00BC4EDF">
        <w:rPr>
          <w:lang w:bidi="he-IL"/>
        </w:rPr>
        <w:t xml:space="preserve"> herself as God’s choice for Isaac, and God does so—which shows that he can bring it about that people do as he decides without their realizing that they are fulfilling this role. Yet Rebekah had set out for the well before the servant prayed, let alone before he finished praying, </w:t>
      </w:r>
      <w:r w:rsidR="00A15A68">
        <w:rPr>
          <w:lang w:bidi="he-IL"/>
        </w:rPr>
        <w:t xml:space="preserve">and </w:t>
      </w:r>
      <w:r w:rsidR="00907063">
        <w:rPr>
          <w:lang w:bidi="he-IL"/>
        </w:rPr>
        <w:t>had done so (to infer something</w:t>
      </w:r>
      <w:r w:rsidR="00BC4EDF">
        <w:rPr>
          <w:lang w:bidi="he-IL"/>
        </w:rPr>
        <w:t xml:space="preserve"> from the story’s silence) just beca</w:t>
      </w:r>
      <w:r w:rsidR="00907063">
        <w:rPr>
          <w:lang w:bidi="he-IL"/>
        </w:rPr>
        <w:t>use she decided to,</w:t>
      </w:r>
      <w:r w:rsidR="00F976FC">
        <w:rPr>
          <w:lang w:bidi="he-IL"/>
        </w:rPr>
        <w:t xml:space="preserve"> in keeping with her daily routine</w:t>
      </w:r>
      <w:r w:rsidR="00A15A68">
        <w:rPr>
          <w:lang w:bidi="he-IL"/>
        </w:rPr>
        <w:t>,</w:t>
      </w:r>
      <w:r w:rsidR="00F976FC">
        <w:rPr>
          <w:lang w:bidi="he-IL"/>
        </w:rPr>
        <w:t xml:space="preserve"> rather than because she </w:t>
      </w:r>
      <w:r w:rsidR="00907063">
        <w:rPr>
          <w:lang w:bidi="he-IL"/>
        </w:rPr>
        <w:t>sensed a divine prompting. T</w:t>
      </w:r>
      <w:r w:rsidR="00F976FC">
        <w:rPr>
          <w:lang w:bidi="he-IL"/>
        </w:rPr>
        <w:t>he slippage f</w:t>
      </w:r>
      <w:r w:rsidR="00907063">
        <w:rPr>
          <w:lang w:bidi="he-IL"/>
        </w:rPr>
        <w:t>eatures in her not quite behaving</w:t>
      </w:r>
      <w:r w:rsidR="00F976FC">
        <w:rPr>
          <w:lang w:bidi="he-IL"/>
        </w:rPr>
        <w:t xml:space="preserve"> as the servant prescribed, though it is near enough for the servant eve</w:t>
      </w:r>
      <w:r w:rsidR="00A15A68">
        <w:rPr>
          <w:lang w:bidi="he-IL"/>
        </w:rPr>
        <w:t xml:space="preserve">ntually to be satisfied </w:t>
      </w:r>
      <w:r w:rsidR="00F976FC">
        <w:rPr>
          <w:lang w:bidi="he-IL"/>
        </w:rPr>
        <w:t>and for the readers and God to be satisfied.</w:t>
      </w:r>
    </w:p>
    <w:p w14:paraId="3BD1AFE1" w14:textId="2393E8CF" w:rsidR="00594684" w:rsidRDefault="00F976FC" w:rsidP="00AE2C14">
      <w:pPr>
        <w:rPr>
          <w:lang w:bidi="he-IL"/>
        </w:rPr>
      </w:pPr>
      <w:r>
        <w:rPr>
          <w:lang w:bidi="he-IL"/>
        </w:rPr>
        <w:t xml:space="preserve">Neither Abraham in his words to the servant nor the servant in his words to God had said anything about Isaac’s bride coming from Abraham’s </w:t>
      </w:r>
      <w:r w:rsidR="00843DA5">
        <w:rPr>
          <w:lang w:bidi="he-IL"/>
        </w:rPr>
        <w:t xml:space="preserve">immediate </w:t>
      </w:r>
      <w:r>
        <w:rPr>
          <w:lang w:bidi="he-IL"/>
        </w:rPr>
        <w:t>extended family</w:t>
      </w:r>
      <w:r w:rsidR="000752DC">
        <w:rPr>
          <w:lang w:bidi="he-IL"/>
        </w:rPr>
        <w:t>, though the servant will momentarily speak in those terms</w:t>
      </w:r>
      <w:r w:rsidR="00843DA5">
        <w:rPr>
          <w:lang w:bidi="he-IL"/>
        </w:rPr>
        <w:t>. God’s a</w:t>
      </w:r>
      <w:r w:rsidR="00907063">
        <w:rPr>
          <w:lang w:bidi="he-IL"/>
        </w:rPr>
        <w:t xml:space="preserve">nswer to the servant’s prayer </w:t>
      </w:r>
      <w:r w:rsidR="00843DA5">
        <w:rPr>
          <w:lang w:bidi="he-IL"/>
        </w:rPr>
        <w:t xml:space="preserve">goes way beyond what </w:t>
      </w:r>
      <w:r w:rsidR="00A15A68">
        <w:rPr>
          <w:lang w:bidi="he-IL"/>
        </w:rPr>
        <w:t>the narrator has said that</w:t>
      </w:r>
      <w:r w:rsidR="000752DC">
        <w:rPr>
          <w:lang w:bidi="he-IL"/>
        </w:rPr>
        <w:t xml:space="preserve"> he asked. The answer</w:t>
      </w:r>
      <w:r w:rsidR="00843DA5">
        <w:rPr>
          <w:lang w:bidi="he-IL"/>
        </w:rPr>
        <w:t xml:space="preserve"> prompts the servant to praise. Such praise is not merely a m</w:t>
      </w:r>
      <w:r w:rsidR="00A15A68">
        <w:rPr>
          <w:lang w:bidi="he-IL"/>
        </w:rPr>
        <w:t xml:space="preserve">atter of the heart. It is </w:t>
      </w:r>
      <w:r w:rsidR="00843DA5">
        <w:rPr>
          <w:lang w:bidi="he-IL"/>
        </w:rPr>
        <w:t>expressed in a bodily posture involving the intercessor</w:t>
      </w:r>
      <w:r w:rsidR="00907063">
        <w:rPr>
          <w:lang w:bidi="he-IL"/>
        </w:rPr>
        <w:t>’s</w:t>
      </w:r>
      <w:r w:rsidR="00843DA5">
        <w:rPr>
          <w:lang w:bidi="he-IL"/>
        </w:rPr>
        <w:t xml:space="preserve"> prostrating his whole body before the one who has so startlingly granted his</w:t>
      </w:r>
      <w:r w:rsidR="00A15A68">
        <w:rPr>
          <w:lang w:bidi="he-IL"/>
        </w:rPr>
        <w:t xml:space="preserve"> request. And it is </w:t>
      </w:r>
      <w:r w:rsidR="00843DA5">
        <w:rPr>
          <w:lang w:bidi="he-IL"/>
        </w:rPr>
        <w:t>expressed in words spoken out loud, as is necessary if they are to give glory to the God who has acted and thus to draw other people into their recognition of him.</w:t>
      </w:r>
      <w:r w:rsidR="00907063">
        <w:rPr>
          <w:lang w:bidi="he-IL"/>
        </w:rPr>
        <w:t xml:space="preserve"> P</w:t>
      </w:r>
      <w:r w:rsidR="000752DC">
        <w:rPr>
          <w:lang w:bidi="he-IL"/>
        </w:rPr>
        <w:t xml:space="preserve">erhaps the implication is that Rebekah, receiving the servant’s gifts and hearing his words of praise, knows the destiny that has been laid in front of her and accepts it. </w:t>
      </w:r>
    </w:p>
    <w:p w14:paraId="76550CD2" w14:textId="61B76A88" w:rsidR="00594684" w:rsidRPr="00F425F7" w:rsidRDefault="00594684" w:rsidP="00AE2C14">
      <w:pPr>
        <w:rPr>
          <w:lang w:bidi="he-IL"/>
        </w:rPr>
      </w:pPr>
      <w:r>
        <w:rPr>
          <w:lang w:bidi="he-IL"/>
        </w:rPr>
        <w:t>Even if so, the servant recognizes that the implementing of God’s will also requires the</w:t>
      </w:r>
      <w:r w:rsidR="000752DC" w:rsidRPr="000752DC">
        <w:rPr>
          <w:lang w:bidi="he-IL"/>
        </w:rPr>
        <w:t xml:space="preserve"> famil</w:t>
      </w:r>
      <w:r>
        <w:rPr>
          <w:lang w:bidi="he-IL"/>
        </w:rPr>
        <w:t>y’s agreement.</w:t>
      </w:r>
      <w:r w:rsidR="00A15A68">
        <w:rPr>
          <w:lang w:bidi="he-IL"/>
        </w:rPr>
        <w:t xml:space="preserve"> It, too, might say “No</w:t>
      </w:r>
      <w:r>
        <w:rPr>
          <w:lang w:bidi="he-IL"/>
        </w:rPr>
        <w:t>.</w:t>
      </w:r>
      <w:r w:rsidR="00A15A68">
        <w:rPr>
          <w:lang w:bidi="he-IL"/>
        </w:rPr>
        <w:t>”</w:t>
      </w:r>
      <w:r>
        <w:rPr>
          <w:lang w:bidi="he-IL"/>
        </w:rPr>
        <w:t xml:space="preserve"> Whether or not the servant’s words and actions have already convinced Rebekah, the report of the entire sequence of events convinces her family. As people look back over a story that they have been told, they can say “It was a series of coincidences” but they </w:t>
      </w:r>
      <w:r w:rsidR="00A15A68">
        <w:rPr>
          <w:lang w:bidi="he-IL"/>
        </w:rPr>
        <w:t>can say “It’s from God. We can’</w:t>
      </w:r>
      <w:r>
        <w:rPr>
          <w:lang w:bidi="he-IL"/>
        </w:rPr>
        <w:t xml:space="preserve">t resist its implications.” And when Rebekah arrives in the </w:t>
      </w:r>
      <w:r w:rsidR="009542B9">
        <w:rPr>
          <w:lang w:bidi="he-IL"/>
        </w:rPr>
        <w:t>Negev</w:t>
      </w:r>
      <w:r>
        <w:rPr>
          <w:lang w:bidi="he-IL"/>
        </w:rPr>
        <w:t>, it would only fit the assumptions and implications of the rest of the story if Isaac was out walking and m</w:t>
      </w:r>
      <w:r w:rsidR="001C743B">
        <w:rPr>
          <w:lang w:bidi="he-IL"/>
        </w:rPr>
        <w:t>editating and praying (as v. 63</w:t>
      </w:r>
      <w:r>
        <w:rPr>
          <w:lang w:bidi="he-IL"/>
        </w:rPr>
        <w:t xml:space="preserve"> may imply).</w:t>
      </w:r>
    </w:p>
    <w:p w14:paraId="37D9DC6F" w14:textId="77777777" w:rsidR="007D6494" w:rsidRDefault="007D6494">
      <w:pPr>
        <w:spacing w:after="200" w:line="276" w:lineRule="auto"/>
        <w:ind w:firstLine="0"/>
        <w:rPr>
          <w:rFonts w:asciiTheme="majorHAnsi" w:eastAsiaTheme="majorEastAsia" w:hAnsiTheme="majorHAnsi" w:cstheme="majorBidi"/>
          <w:b/>
          <w:bCs/>
          <w:sz w:val="28"/>
          <w:szCs w:val="28"/>
          <w:lang w:bidi="he-IL"/>
        </w:rPr>
      </w:pPr>
      <w:r>
        <w:rPr>
          <w:lang w:bidi="he-IL"/>
        </w:rPr>
        <w:br w:type="page"/>
      </w:r>
    </w:p>
    <w:p w14:paraId="3BEA69D0" w14:textId="77777777" w:rsidR="00BC6AB7" w:rsidRDefault="00F12E91" w:rsidP="00BC6AB7">
      <w:pPr>
        <w:pStyle w:val="Heading1"/>
        <w:rPr>
          <w:lang w:bidi="he-IL"/>
        </w:rPr>
      </w:pPr>
      <w:r>
        <w:rPr>
          <w:lang w:bidi="he-IL"/>
        </w:rPr>
        <w:lastRenderedPageBreak/>
        <w:t>Genesis 25:1-11</w:t>
      </w:r>
      <w:r w:rsidR="007D6494">
        <w:rPr>
          <w:lang w:bidi="he-IL"/>
        </w:rPr>
        <w:t>—</w:t>
      </w:r>
      <w:r w:rsidR="007D6494" w:rsidRPr="007D6494">
        <w:rPr>
          <w:lang w:bidi="he-IL"/>
        </w:rPr>
        <w:t xml:space="preserve"> </w:t>
      </w:r>
      <w:r w:rsidR="007D6494">
        <w:rPr>
          <w:lang w:bidi="he-IL"/>
        </w:rPr>
        <w:t>Conclusions to Abraham’s Story</w:t>
      </w:r>
    </w:p>
    <w:p w14:paraId="2AEA2216" w14:textId="77777777" w:rsidR="00BC6AB7" w:rsidRDefault="00BC6AB7" w:rsidP="00BC6AB7">
      <w:pPr>
        <w:rPr>
          <w:lang w:bidi="he-IL"/>
        </w:rPr>
      </w:pPr>
    </w:p>
    <w:p w14:paraId="732A7171" w14:textId="77777777" w:rsidR="00BC6AB7" w:rsidRDefault="00BC6AB7" w:rsidP="00BC6AB7">
      <w:pPr>
        <w:pStyle w:val="Heading2"/>
        <w:rPr>
          <w:lang w:bidi="he-IL"/>
        </w:rPr>
      </w:pPr>
      <w:r>
        <w:rPr>
          <w:lang w:bidi="he-IL"/>
        </w:rPr>
        <w:t>Overview</w:t>
      </w:r>
    </w:p>
    <w:p w14:paraId="3E4EF8E2" w14:textId="77777777" w:rsidR="006427CC" w:rsidRPr="006427CC" w:rsidRDefault="00A702E9" w:rsidP="006427CC">
      <w:pPr>
        <w:rPr>
          <w:lang w:bidi="he-IL"/>
        </w:rPr>
      </w:pPr>
      <w:r>
        <w:rPr>
          <w:lang w:bidi="he-IL"/>
        </w:rPr>
        <w:t xml:space="preserve">Abraham’s story </w:t>
      </w:r>
      <w:r w:rsidR="007D6494">
        <w:rPr>
          <w:lang w:bidi="he-IL"/>
        </w:rPr>
        <w:t>closes with an account of his third marriage and its offspring (vv. 1-4), of his establishing the position of Isaac as his primary heir</w:t>
      </w:r>
      <w:r w:rsidR="00806B71">
        <w:rPr>
          <w:lang w:bidi="he-IL"/>
        </w:rPr>
        <w:t xml:space="preserve"> (vv. 5-6),</w:t>
      </w:r>
      <w:r w:rsidR="007D6494">
        <w:rPr>
          <w:lang w:bidi="he-IL"/>
        </w:rPr>
        <w:t xml:space="preserve"> </w:t>
      </w:r>
      <w:r w:rsidR="00806B71">
        <w:rPr>
          <w:lang w:bidi="he-IL"/>
        </w:rPr>
        <w:t xml:space="preserve">and </w:t>
      </w:r>
      <w:r w:rsidR="001C743B">
        <w:rPr>
          <w:lang w:bidi="he-IL"/>
        </w:rPr>
        <w:t>of hi</w:t>
      </w:r>
      <w:r w:rsidR="007D6494">
        <w:rPr>
          <w:lang w:bidi="he-IL"/>
        </w:rPr>
        <w:t xml:space="preserve">s </w:t>
      </w:r>
      <w:r w:rsidR="001C743B">
        <w:rPr>
          <w:lang w:bidi="he-IL"/>
        </w:rPr>
        <w:t xml:space="preserve">own </w:t>
      </w:r>
      <w:r w:rsidR="007D6494">
        <w:rPr>
          <w:lang w:bidi="he-IL"/>
        </w:rPr>
        <w:t>death and bu</w:t>
      </w:r>
      <w:r w:rsidR="00F12E91">
        <w:rPr>
          <w:lang w:bidi="he-IL"/>
        </w:rPr>
        <w:t xml:space="preserve">rial (vv. 7-11). </w:t>
      </w:r>
    </w:p>
    <w:p w14:paraId="76AEC140" w14:textId="77777777" w:rsidR="00BC6AB7" w:rsidRPr="00C2188F" w:rsidRDefault="00BC6AB7" w:rsidP="00BC6AB7">
      <w:pPr>
        <w:pStyle w:val="Heading2"/>
      </w:pPr>
      <w:r>
        <w:t>Translation</w:t>
      </w:r>
    </w:p>
    <w:p w14:paraId="2938BB92" w14:textId="480072ED" w:rsidR="00BC6AB7" w:rsidRPr="00BC6AB7" w:rsidRDefault="00BC6AB7" w:rsidP="00BC6AB7">
      <w:pPr>
        <w:rPr>
          <w:rFonts w:ascii="Calibri" w:eastAsia="Times New Roman" w:hAnsi="Calibri" w:cs="Times New Roman"/>
          <w:lang w:val="en-GB" w:bidi="he-IL"/>
        </w:rPr>
      </w:pPr>
      <w:r>
        <w:rPr>
          <w:rFonts w:ascii="Calibri" w:eastAsia="Times New Roman" w:hAnsi="Calibri" w:cs="Times New Roman"/>
          <w:vertAlign w:val="superscript"/>
          <w:lang w:val="en-GB" w:bidi="he-IL"/>
        </w:rPr>
        <w:t>1</w:t>
      </w:r>
      <w:r>
        <w:rPr>
          <w:rFonts w:ascii="Calibri" w:eastAsia="Times New Roman" w:hAnsi="Calibri" w:cs="Times New Roman"/>
          <w:lang w:val="en-GB" w:bidi="he-IL"/>
        </w:rPr>
        <w:t>Ab</w:t>
      </w:r>
      <w:r w:rsidRPr="00BC6AB7">
        <w:rPr>
          <w:rFonts w:ascii="Calibri" w:eastAsia="Times New Roman" w:hAnsi="Calibri" w:cs="Times New Roman"/>
          <w:lang w:val="en-GB" w:bidi="he-IL"/>
        </w:rPr>
        <w:t xml:space="preserve">raham again </w:t>
      </w:r>
      <w:r w:rsidR="004002A3">
        <w:rPr>
          <w:rFonts w:ascii="Calibri" w:eastAsia="Times New Roman" w:hAnsi="Calibri" w:cs="Times New Roman"/>
          <w:lang w:val="en-GB" w:bidi="he-IL"/>
        </w:rPr>
        <w:t>got</w:t>
      </w:r>
      <w:r w:rsidRPr="00BC6AB7">
        <w:rPr>
          <w:rFonts w:ascii="Calibri" w:eastAsia="Times New Roman" w:hAnsi="Calibri" w:cs="Times New Roman"/>
          <w:lang w:val="en-GB" w:bidi="he-IL"/>
        </w:rPr>
        <w:t xml:space="preserve"> </w:t>
      </w:r>
      <w:r w:rsidR="00520FF2">
        <w:rPr>
          <w:rFonts w:ascii="Calibri" w:eastAsia="Times New Roman" w:hAnsi="Calibri" w:cs="Times New Roman"/>
          <w:lang w:val="en-GB" w:bidi="he-IL"/>
        </w:rPr>
        <w:t xml:space="preserve">a wife; her name was Qeturah. </w:t>
      </w:r>
      <w:r w:rsidR="00520FF2">
        <w:rPr>
          <w:rFonts w:ascii="Calibri" w:eastAsia="Times New Roman" w:hAnsi="Calibri" w:cs="Times New Roman"/>
          <w:vertAlign w:val="superscript"/>
          <w:lang w:val="en-GB" w:bidi="he-IL"/>
        </w:rPr>
        <w:t>2</w:t>
      </w:r>
      <w:r w:rsidRPr="00BC6AB7">
        <w:rPr>
          <w:rFonts w:ascii="Calibri" w:eastAsia="Times New Roman" w:hAnsi="Calibri" w:cs="Times New Roman"/>
          <w:lang w:val="en-GB" w:bidi="he-IL"/>
        </w:rPr>
        <w:t xml:space="preserve">She gave birth </w:t>
      </w:r>
      <w:r w:rsidR="00806B71">
        <w:rPr>
          <w:rFonts w:ascii="Calibri" w:eastAsia="Times New Roman" w:hAnsi="Calibri" w:cs="Times New Roman"/>
          <w:lang w:val="en-GB" w:bidi="he-IL"/>
        </w:rPr>
        <w:t xml:space="preserve">for him </w:t>
      </w:r>
      <w:r w:rsidR="00316C27">
        <w:rPr>
          <w:rFonts w:ascii="Calibri" w:eastAsia="Times New Roman" w:hAnsi="Calibri" w:cs="Times New Roman"/>
          <w:lang w:val="en-GB" w:bidi="he-IL"/>
        </w:rPr>
        <w:t>to Zimran, Yoqš</w:t>
      </w:r>
      <w:r w:rsidRPr="00BC6AB7">
        <w:rPr>
          <w:rFonts w:ascii="Calibri" w:eastAsia="Times New Roman" w:hAnsi="Calibri" w:cs="Times New Roman"/>
          <w:lang w:val="en-GB" w:bidi="he-IL"/>
        </w:rPr>
        <w:t>an, Medan, Midyan</w:t>
      </w:r>
      <w:r w:rsidR="00316C27">
        <w:rPr>
          <w:rFonts w:ascii="Calibri" w:eastAsia="Times New Roman" w:hAnsi="Calibri" w:cs="Times New Roman"/>
          <w:lang w:val="en-GB" w:bidi="he-IL"/>
        </w:rPr>
        <w:t>, Yišbaq, and Š</w:t>
      </w:r>
      <w:r w:rsidR="00806B71">
        <w:rPr>
          <w:rFonts w:ascii="Calibri" w:eastAsia="Times New Roman" w:hAnsi="Calibri" w:cs="Times New Roman"/>
          <w:lang w:val="en-GB" w:bidi="he-IL"/>
        </w:rPr>
        <w:t>uah</w:t>
      </w:r>
      <w:r w:rsidR="00520FF2">
        <w:rPr>
          <w:rFonts w:ascii="Calibri" w:eastAsia="Times New Roman" w:hAnsi="Calibri" w:cs="Times New Roman"/>
          <w:lang w:val="en-GB" w:bidi="he-IL"/>
        </w:rPr>
        <w:t xml:space="preserve">. </w:t>
      </w:r>
      <w:r w:rsidR="00520FF2">
        <w:rPr>
          <w:rFonts w:ascii="Calibri" w:eastAsia="Times New Roman" w:hAnsi="Calibri" w:cs="Times New Roman"/>
          <w:vertAlign w:val="superscript"/>
          <w:lang w:val="en-GB" w:bidi="he-IL"/>
        </w:rPr>
        <w:t>3</w:t>
      </w:r>
      <w:r w:rsidR="00316C27">
        <w:rPr>
          <w:rFonts w:ascii="Calibri" w:eastAsia="Times New Roman" w:hAnsi="Calibri" w:cs="Times New Roman"/>
          <w:lang w:val="en-GB" w:bidi="he-IL"/>
        </w:rPr>
        <w:t>Yoqš</w:t>
      </w:r>
      <w:r w:rsidRPr="00BC6AB7">
        <w:rPr>
          <w:rFonts w:ascii="Calibri" w:eastAsia="Times New Roman" w:hAnsi="Calibri" w:cs="Times New Roman"/>
          <w:lang w:val="en-GB" w:bidi="he-IL"/>
        </w:rPr>
        <w:t>an</w:t>
      </w:r>
      <w:r w:rsidR="0053587B">
        <w:rPr>
          <w:rFonts w:ascii="Calibri" w:eastAsia="Times New Roman" w:hAnsi="Calibri" w:cs="Times New Roman"/>
          <w:lang w:val="en-GB" w:bidi="he-IL"/>
        </w:rPr>
        <w:t xml:space="preserve"> </w:t>
      </w:r>
      <w:r w:rsidRPr="00BC6AB7">
        <w:rPr>
          <w:rFonts w:ascii="Calibri" w:eastAsia="Times New Roman" w:hAnsi="Calibri" w:cs="Times New Roman"/>
          <w:lang w:val="en-GB" w:bidi="he-IL"/>
        </w:rPr>
        <w:t>fathered</w:t>
      </w:r>
      <w:r w:rsidR="00C548B3">
        <w:rPr>
          <w:rStyle w:val="FootnoteReference"/>
          <w:rFonts w:ascii="Calibri" w:eastAsia="Times New Roman" w:hAnsi="Calibri" w:cs="Times New Roman"/>
          <w:lang w:val="en-GB" w:bidi="he-IL"/>
        </w:rPr>
        <w:footnoteReference w:id="845"/>
      </w:r>
      <w:r w:rsidR="00316C27">
        <w:rPr>
          <w:rFonts w:ascii="Calibri" w:eastAsia="Times New Roman" w:hAnsi="Calibri" w:cs="Times New Roman"/>
          <w:lang w:val="en-GB" w:bidi="he-IL"/>
        </w:rPr>
        <w:t xml:space="preserve"> Š</w:t>
      </w:r>
      <w:r w:rsidRPr="00BC6AB7">
        <w:rPr>
          <w:rFonts w:ascii="Calibri" w:eastAsia="Times New Roman" w:hAnsi="Calibri" w:cs="Times New Roman"/>
          <w:lang w:val="en-GB" w:bidi="he-IL"/>
        </w:rPr>
        <w:t>eba and Dedan, while De</w:t>
      </w:r>
      <w:r w:rsidR="00316C27">
        <w:rPr>
          <w:rFonts w:ascii="Calibri" w:eastAsia="Times New Roman" w:hAnsi="Calibri" w:cs="Times New Roman"/>
          <w:lang w:val="en-GB" w:bidi="he-IL"/>
        </w:rPr>
        <w:t>dan’s descendants were the Ašš</w:t>
      </w:r>
      <w:r w:rsidRPr="00BC6AB7">
        <w:rPr>
          <w:rFonts w:ascii="Calibri" w:eastAsia="Times New Roman" w:hAnsi="Calibri" w:cs="Times New Roman"/>
          <w:lang w:val="en-GB" w:bidi="he-IL"/>
        </w:rPr>
        <w:t>urites, the Le</w:t>
      </w:r>
      <w:r w:rsidR="00316C27">
        <w:rPr>
          <w:rFonts w:ascii="Calibri" w:eastAsia="Times New Roman" w:hAnsi="Calibri" w:cs="Times New Roman"/>
          <w:lang w:val="en-GB" w:bidi="he-IL"/>
        </w:rPr>
        <w:t>tuš</w:t>
      </w:r>
      <w:r w:rsidR="00520FF2">
        <w:rPr>
          <w:rFonts w:ascii="Calibri" w:eastAsia="Times New Roman" w:hAnsi="Calibri" w:cs="Times New Roman"/>
          <w:lang w:val="en-GB" w:bidi="he-IL"/>
        </w:rPr>
        <w:t xml:space="preserve">ites, and the Le’ummites, </w:t>
      </w:r>
      <w:r w:rsidR="00520FF2">
        <w:rPr>
          <w:rFonts w:ascii="Calibri" w:eastAsia="Times New Roman" w:hAnsi="Calibri" w:cs="Times New Roman"/>
          <w:vertAlign w:val="superscript"/>
          <w:lang w:val="en-GB" w:bidi="he-IL"/>
        </w:rPr>
        <w:t>4</w:t>
      </w:r>
      <w:r w:rsidRPr="00BC6AB7">
        <w:rPr>
          <w:rFonts w:ascii="Calibri" w:eastAsia="Times New Roman" w:hAnsi="Calibri" w:cs="Times New Roman"/>
          <w:lang w:val="en-GB" w:bidi="he-IL"/>
        </w:rPr>
        <w:t xml:space="preserve">and </w:t>
      </w:r>
      <w:r w:rsidR="00316C27">
        <w:rPr>
          <w:rFonts w:ascii="Calibri" w:eastAsia="Times New Roman" w:hAnsi="Calibri" w:cs="Times New Roman"/>
          <w:lang w:val="en-GB" w:bidi="he-IL"/>
        </w:rPr>
        <w:t>Midyan’s descendants were Epah, Ep</w:t>
      </w:r>
      <w:r w:rsidRPr="00BC6AB7">
        <w:rPr>
          <w:rFonts w:ascii="Calibri" w:eastAsia="Times New Roman" w:hAnsi="Calibri" w:cs="Times New Roman"/>
          <w:lang w:val="en-GB" w:bidi="he-IL"/>
        </w:rPr>
        <w:t xml:space="preserve">er, Hanok, Abida, and Elda’ah. All these were Qeturah’s descendants. </w:t>
      </w:r>
    </w:p>
    <w:p w14:paraId="0080ABAE" w14:textId="2DA09B6D" w:rsidR="00BC6AB7" w:rsidRPr="00BC6AB7" w:rsidRDefault="00520FF2" w:rsidP="00BC6AB7">
      <w:pPr>
        <w:rPr>
          <w:rFonts w:ascii="Calibri" w:eastAsia="Times New Roman" w:hAnsi="Calibri" w:cs="Times New Roman"/>
          <w:lang w:val="en-GB" w:bidi="he-IL"/>
        </w:rPr>
      </w:pPr>
      <w:r>
        <w:rPr>
          <w:rFonts w:ascii="Calibri" w:eastAsia="Times New Roman" w:hAnsi="Calibri" w:cs="Times New Roman"/>
          <w:vertAlign w:val="superscript"/>
          <w:lang w:val="en-GB" w:bidi="he-IL"/>
        </w:rPr>
        <w:t>5</w:t>
      </w:r>
      <w:r w:rsidR="00BC6AB7" w:rsidRPr="00BC6AB7">
        <w:rPr>
          <w:rFonts w:ascii="Calibri" w:eastAsia="Times New Roman" w:hAnsi="Calibri" w:cs="Times New Roman"/>
          <w:lang w:val="en-GB" w:bidi="he-IL"/>
        </w:rPr>
        <w:t>Abraham g</w:t>
      </w:r>
      <w:r w:rsidR="00806B71">
        <w:rPr>
          <w:rFonts w:ascii="Calibri" w:eastAsia="Times New Roman" w:hAnsi="Calibri" w:cs="Times New Roman"/>
          <w:lang w:val="en-GB" w:bidi="he-IL"/>
        </w:rPr>
        <w:t xml:space="preserve">ave all that he had to </w:t>
      </w:r>
      <w:r w:rsidR="00806B71" w:rsidRPr="00806B71">
        <w:rPr>
          <w:rFonts w:ascii="Calibri" w:eastAsia="Times New Roman" w:hAnsi="Calibri" w:cs="Times New Roman"/>
          <w:lang w:val="en-GB" w:bidi="he-IL"/>
        </w:rPr>
        <w:t>Yiṣḥaq</w:t>
      </w:r>
      <w:r>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6</w:t>
      </w:r>
      <w:r w:rsidR="00BC6AB7" w:rsidRPr="00BC6AB7">
        <w:rPr>
          <w:rFonts w:ascii="Calibri" w:eastAsia="Times New Roman" w:hAnsi="Calibri" w:cs="Times New Roman"/>
          <w:lang w:val="en-GB" w:bidi="he-IL"/>
        </w:rPr>
        <w:t>but to the sons of Abraham’s secondary wives Abraham gave gifts while he was still alive</w:t>
      </w:r>
      <w:r w:rsidR="00806B71">
        <w:rPr>
          <w:rFonts w:ascii="Calibri" w:eastAsia="Times New Roman" w:hAnsi="Calibri" w:cs="Times New Roman"/>
          <w:lang w:val="en-GB" w:bidi="he-IL"/>
        </w:rPr>
        <w:t>,</w:t>
      </w:r>
      <w:r w:rsidR="00BC6AB7" w:rsidRPr="00BC6AB7">
        <w:rPr>
          <w:rFonts w:ascii="Calibri" w:eastAsia="Times New Roman" w:hAnsi="Calibri" w:cs="Times New Roman"/>
          <w:lang w:val="en-GB" w:bidi="he-IL"/>
        </w:rPr>
        <w:t xml:space="preserve"> and </w:t>
      </w:r>
      <w:r w:rsidR="00806B71">
        <w:rPr>
          <w:rFonts w:ascii="Calibri" w:eastAsia="Times New Roman" w:hAnsi="Calibri" w:cs="Times New Roman"/>
          <w:lang w:val="en-GB" w:bidi="he-IL"/>
        </w:rPr>
        <w:t xml:space="preserve">sent them off away from </w:t>
      </w:r>
      <w:r w:rsidR="00806B71" w:rsidRPr="00806B71">
        <w:rPr>
          <w:rFonts w:ascii="Calibri" w:eastAsia="Times New Roman" w:hAnsi="Calibri" w:cs="Times New Roman"/>
          <w:lang w:val="en-GB" w:bidi="he-IL"/>
        </w:rPr>
        <w:t>Yiṣḥaq</w:t>
      </w:r>
      <w:r w:rsidR="00BC6AB7" w:rsidRPr="00BC6AB7">
        <w:rPr>
          <w:rFonts w:ascii="Calibri" w:eastAsia="Times New Roman" w:hAnsi="Calibri" w:cs="Times New Roman"/>
          <w:lang w:val="en-GB" w:bidi="he-IL"/>
        </w:rPr>
        <w:t xml:space="preserve"> his son eastward, to the east country. </w:t>
      </w:r>
    </w:p>
    <w:p w14:paraId="6346EB4E" w14:textId="4C9BD988" w:rsidR="00BC6AB7" w:rsidRPr="00BC6AB7" w:rsidRDefault="00520FF2" w:rsidP="00BC6AB7">
      <w:pPr>
        <w:rPr>
          <w:rFonts w:ascii="Calibri" w:eastAsia="Times New Roman" w:hAnsi="Calibri" w:cs="Times New Roman"/>
          <w:lang w:val="en-GB" w:bidi="he-IL"/>
        </w:rPr>
      </w:pPr>
      <w:r>
        <w:rPr>
          <w:rFonts w:ascii="Calibri" w:eastAsia="Times New Roman" w:hAnsi="Calibri" w:cs="Times New Roman"/>
          <w:vertAlign w:val="superscript"/>
          <w:lang w:val="en-GB" w:bidi="he-IL"/>
        </w:rPr>
        <w:t>7</w:t>
      </w:r>
      <w:r w:rsidR="00BC6AB7" w:rsidRPr="00BC6AB7">
        <w:rPr>
          <w:rFonts w:ascii="Calibri" w:eastAsia="Times New Roman" w:hAnsi="Calibri" w:cs="Times New Roman"/>
          <w:lang w:val="en-GB" w:bidi="he-IL"/>
        </w:rPr>
        <w:t>This is the span</w:t>
      </w:r>
      <w:r w:rsidR="00097B89">
        <w:rPr>
          <w:rStyle w:val="FootnoteReference"/>
          <w:rFonts w:ascii="Calibri" w:eastAsia="Times New Roman" w:hAnsi="Calibri" w:cs="Times New Roman"/>
          <w:lang w:val="en-GB" w:bidi="he-IL"/>
        </w:rPr>
        <w:footnoteReference w:id="846"/>
      </w:r>
      <w:r w:rsidR="00BC6AB7" w:rsidRPr="00BC6AB7">
        <w:rPr>
          <w:rFonts w:ascii="Calibri" w:eastAsia="Times New Roman" w:hAnsi="Calibri" w:cs="Times New Roman"/>
          <w:lang w:val="en-GB" w:bidi="he-IL"/>
        </w:rPr>
        <w:t xml:space="preserve"> of the years in the life that A</w:t>
      </w:r>
      <w:r>
        <w:rPr>
          <w:rFonts w:ascii="Calibri" w:eastAsia="Times New Roman" w:hAnsi="Calibri" w:cs="Times New Roman"/>
          <w:lang w:val="en-GB" w:bidi="he-IL"/>
        </w:rPr>
        <w:t xml:space="preserve">braham lived: 175 years. </w:t>
      </w:r>
      <w:r>
        <w:rPr>
          <w:rFonts w:ascii="Calibri" w:eastAsia="Times New Roman" w:hAnsi="Calibri" w:cs="Times New Roman"/>
          <w:vertAlign w:val="superscript"/>
          <w:lang w:val="en-GB" w:bidi="he-IL"/>
        </w:rPr>
        <w:t>8</w:t>
      </w:r>
      <w:r w:rsidR="00016C22">
        <w:rPr>
          <w:rFonts w:ascii="Calibri" w:eastAsia="Times New Roman" w:hAnsi="Calibri" w:cs="Times New Roman"/>
          <w:lang w:val="en-GB" w:bidi="he-IL"/>
        </w:rPr>
        <w:t>So Abraham</w:t>
      </w:r>
      <w:r w:rsidR="00812EE0">
        <w:rPr>
          <w:rFonts w:ascii="Calibri" w:eastAsia="Times New Roman" w:hAnsi="Calibri" w:cs="Times New Roman"/>
          <w:lang w:val="en-GB" w:bidi="he-IL"/>
        </w:rPr>
        <w:t xml:space="preserve"> breathed out</w:t>
      </w:r>
      <w:r w:rsidR="00016C22">
        <w:rPr>
          <w:rFonts w:ascii="Calibri" w:eastAsia="Times New Roman" w:hAnsi="Calibri" w:cs="Times New Roman"/>
          <w:lang w:val="en-GB" w:bidi="he-IL"/>
        </w:rPr>
        <w:t xml:space="preserve"> and</w:t>
      </w:r>
      <w:r w:rsidR="00BC6AB7" w:rsidRPr="00BC6AB7">
        <w:rPr>
          <w:rFonts w:ascii="Calibri" w:eastAsia="Times New Roman" w:hAnsi="Calibri" w:cs="Times New Roman"/>
          <w:lang w:val="en-GB" w:bidi="he-IL"/>
        </w:rPr>
        <w:t xml:space="preserve"> died</w:t>
      </w:r>
      <w:r w:rsidR="00016C22">
        <w:rPr>
          <w:rFonts w:ascii="Calibri" w:eastAsia="Times New Roman" w:hAnsi="Calibri" w:cs="Times New Roman"/>
          <w:lang w:val="en-GB" w:bidi="he-IL"/>
        </w:rPr>
        <w:t>,</w:t>
      </w:r>
      <w:r w:rsidR="00016C22">
        <w:rPr>
          <w:rStyle w:val="FootnoteReference"/>
          <w:rFonts w:ascii="Calibri" w:eastAsia="Times New Roman" w:hAnsi="Calibri" w:cs="Times New Roman"/>
          <w:lang w:val="en-GB" w:bidi="he-IL"/>
        </w:rPr>
        <w:footnoteReference w:id="847"/>
      </w:r>
      <w:r w:rsidR="00BC6AB7" w:rsidRPr="00BC6AB7">
        <w:rPr>
          <w:rFonts w:ascii="Calibri" w:eastAsia="Times New Roman" w:hAnsi="Calibri" w:cs="Times New Roman"/>
          <w:lang w:val="en-GB" w:bidi="he-IL"/>
        </w:rPr>
        <w:t xml:space="preserve"> at a good age, old and full,</w:t>
      </w:r>
      <w:r w:rsidR="002F713F">
        <w:rPr>
          <w:rStyle w:val="FootnoteReference"/>
          <w:rFonts w:ascii="Calibri" w:eastAsia="Times New Roman" w:hAnsi="Calibri" w:cs="Times New Roman"/>
          <w:lang w:val="en-GB" w:bidi="he-IL"/>
        </w:rPr>
        <w:footnoteReference w:id="848"/>
      </w:r>
      <w:r w:rsidR="008B2A8E">
        <w:rPr>
          <w:rFonts w:ascii="Calibri" w:eastAsia="Times New Roman" w:hAnsi="Calibri" w:cs="Times New Roman"/>
          <w:lang w:val="en-GB" w:bidi="he-IL"/>
        </w:rPr>
        <w:t xml:space="preserve"> and joined his kin</w:t>
      </w:r>
      <w:r>
        <w:rPr>
          <w:rFonts w:ascii="Calibri" w:eastAsia="Times New Roman" w:hAnsi="Calibri" w:cs="Times New Roman"/>
          <w:lang w:val="en-GB" w:bidi="he-IL"/>
        </w:rPr>
        <w:t xml:space="preserve">. </w:t>
      </w:r>
      <w:r>
        <w:rPr>
          <w:rFonts w:ascii="Calibri" w:eastAsia="Times New Roman" w:hAnsi="Calibri" w:cs="Times New Roman"/>
          <w:vertAlign w:val="superscript"/>
          <w:lang w:val="en-GB" w:bidi="he-IL"/>
        </w:rPr>
        <w:t>9</w:t>
      </w:r>
      <w:r w:rsidR="001F65E9" w:rsidRPr="001F65E9">
        <w:rPr>
          <w:rFonts w:ascii="Calibri" w:eastAsia="Times New Roman" w:hAnsi="Calibri" w:cs="Times New Roman"/>
          <w:lang w:val="en-GB" w:bidi="he-IL"/>
        </w:rPr>
        <w:t xml:space="preserve">Yiṣḥaq </w:t>
      </w:r>
      <w:r w:rsidR="00D75E04">
        <w:rPr>
          <w:rFonts w:ascii="Calibri" w:eastAsia="Times New Roman" w:hAnsi="Calibri" w:cs="Times New Roman"/>
          <w:lang w:val="en-GB" w:bidi="he-IL"/>
        </w:rPr>
        <w:t xml:space="preserve">and </w:t>
      </w:r>
      <w:r w:rsidR="00D75E04" w:rsidRPr="00D75E04">
        <w:rPr>
          <w:rFonts w:ascii="Calibri" w:eastAsia="Times New Roman" w:hAnsi="Calibri" w:cs="Times New Roman"/>
          <w:lang w:val="en-GB" w:bidi="he-IL"/>
        </w:rPr>
        <w:t>Yišma‘e’l</w:t>
      </w:r>
      <w:r w:rsidR="007114FC">
        <w:rPr>
          <w:rFonts w:ascii="Calibri" w:eastAsia="Times New Roman" w:hAnsi="Calibri" w:cs="Times New Roman"/>
          <w:lang w:val="en-GB" w:bidi="he-IL"/>
        </w:rPr>
        <w:t xml:space="preserve"> his sons buried him in the Double Cave</w:t>
      </w:r>
      <w:r w:rsidR="00316C27">
        <w:rPr>
          <w:rFonts w:ascii="Calibri" w:eastAsia="Times New Roman" w:hAnsi="Calibri" w:cs="Times New Roman"/>
          <w:lang w:val="en-GB" w:bidi="he-IL"/>
        </w:rPr>
        <w:t xml:space="preserve"> in the field of Epron ben Ṣ</w:t>
      </w:r>
      <w:r w:rsidR="007E1F90">
        <w:rPr>
          <w:rFonts w:ascii="Calibri" w:eastAsia="Times New Roman" w:hAnsi="Calibri" w:cs="Times New Roman"/>
          <w:lang w:val="en-GB" w:bidi="he-IL"/>
        </w:rPr>
        <w:t>ohar the Ḥētite</w:t>
      </w:r>
      <w:r w:rsidR="00BC6AB7" w:rsidRPr="00BC6AB7">
        <w:rPr>
          <w:rFonts w:ascii="Calibri" w:eastAsia="Times New Roman" w:hAnsi="Calibri" w:cs="Times New Roman"/>
          <w:lang w:val="en-GB" w:bidi="he-IL"/>
        </w:rPr>
        <w:t>, which is close to M</w:t>
      </w:r>
      <w:r>
        <w:rPr>
          <w:rFonts w:ascii="Calibri" w:eastAsia="Times New Roman" w:hAnsi="Calibri" w:cs="Times New Roman"/>
          <w:lang w:val="en-GB" w:bidi="he-IL"/>
        </w:rPr>
        <w:t xml:space="preserve">amre, </w:t>
      </w:r>
      <w:r>
        <w:rPr>
          <w:rFonts w:ascii="Calibri" w:eastAsia="Times New Roman" w:hAnsi="Calibri" w:cs="Times New Roman"/>
          <w:vertAlign w:val="superscript"/>
          <w:lang w:val="en-GB" w:bidi="he-IL"/>
        </w:rPr>
        <w:t>10</w:t>
      </w:r>
      <w:r w:rsidR="00BC6AB7" w:rsidRPr="00BC6AB7">
        <w:rPr>
          <w:rFonts w:ascii="Calibri" w:eastAsia="Times New Roman" w:hAnsi="Calibri" w:cs="Times New Roman"/>
          <w:lang w:val="en-GB" w:bidi="he-IL"/>
        </w:rPr>
        <w:t xml:space="preserve">the field that Abraham acquired from the </w:t>
      </w:r>
      <w:r w:rsidR="007E1F90" w:rsidRPr="00A87026">
        <w:rPr>
          <w:rFonts w:ascii="Calibri" w:eastAsia="Times New Roman" w:hAnsi="Calibri" w:cs="Times New Roman"/>
          <w:lang w:val="en-GB" w:bidi="he-IL"/>
        </w:rPr>
        <w:t>Ḥētites</w:t>
      </w:r>
      <w:r w:rsidR="00316C27">
        <w:rPr>
          <w:rFonts w:ascii="Calibri" w:eastAsia="Times New Roman" w:hAnsi="Calibri" w:cs="Times New Roman"/>
          <w:lang w:val="en-GB" w:bidi="he-IL"/>
        </w:rPr>
        <w:t xml:space="preserve">. There Abraham and his wife </w:t>
      </w:r>
      <w:proofErr w:type="gramStart"/>
      <w:r w:rsidR="00316C27">
        <w:rPr>
          <w:rFonts w:ascii="Calibri" w:eastAsia="Times New Roman" w:hAnsi="Calibri" w:cs="Times New Roman"/>
          <w:lang w:val="en-GB" w:bidi="he-IL"/>
        </w:rPr>
        <w:t>Ś</w:t>
      </w:r>
      <w:r w:rsidR="00BC6AB7" w:rsidRPr="00BC6AB7">
        <w:rPr>
          <w:rFonts w:ascii="Calibri" w:eastAsia="Times New Roman" w:hAnsi="Calibri" w:cs="Times New Roman"/>
          <w:lang w:val="en-GB" w:bidi="he-IL"/>
        </w:rPr>
        <w:t>arah</w:t>
      </w:r>
      <w:proofErr w:type="gramEnd"/>
      <w:r w:rsidR="00BC6AB7" w:rsidRPr="00BC6AB7">
        <w:rPr>
          <w:rFonts w:ascii="Calibri" w:eastAsia="Times New Roman" w:hAnsi="Calibri" w:cs="Times New Roman"/>
          <w:lang w:val="en-GB" w:bidi="he-IL"/>
        </w:rPr>
        <w:t xml:space="preserve"> were buried. </w:t>
      </w:r>
      <w:r>
        <w:rPr>
          <w:rFonts w:ascii="Calibri" w:eastAsia="Times New Roman" w:hAnsi="Calibri" w:cs="Times New Roman"/>
          <w:vertAlign w:val="superscript"/>
          <w:lang w:val="en-GB" w:bidi="he-IL"/>
        </w:rPr>
        <w:t>11</w:t>
      </w:r>
      <w:r w:rsidR="00BC6AB7" w:rsidRPr="00BC6AB7">
        <w:rPr>
          <w:rFonts w:ascii="Calibri" w:eastAsia="Times New Roman" w:hAnsi="Calibri" w:cs="Times New Roman"/>
          <w:lang w:val="en-GB" w:bidi="he-IL"/>
        </w:rPr>
        <w:t>After Ab</w:t>
      </w:r>
      <w:r w:rsidR="007E1F90">
        <w:rPr>
          <w:rFonts w:ascii="Calibri" w:eastAsia="Times New Roman" w:hAnsi="Calibri" w:cs="Times New Roman"/>
          <w:lang w:val="en-GB" w:bidi="he-IL"/>
        </w:rPr>
        <w:t xml:space="preserve">raham’s death, God blessed </w:t>
      </w:r>
      <w:r w:rsidR="001F65E9" w:rsidRPr="001F65E9">
        <w:rPr>
          <w:rFonts w:ascii="Calibri" w:eastAsia="Times New Roman" w:hAnsi="Calibri" w:cs="Times New Roman"/>
          <w:lang w:val="en-GB" w:bidi="he-IL"/>
        </w:rPr>
        <w:t>Yiṣḥaq</w:t>
      </w:r>
      <w:r w:rsidR="001F65E9">
        <w:rPr>
          <w:rFonts w:ascii="Calibri" w:eastAsia="Times New Roman" w:hAnsi="Calibri" w:cs="Times New Roman"/>
          <w:lang w:val="en-GB" w:bidi="he-IL"/>
        </w:rPr>
        <w:t xml:space="preserve"> his son. </w:t>
      </w:r>
      <w:r w:rsidR="001F65E9" w:rsidRPr="001F65E9">
        <w:rPr>
          <w:rFonts w:ascii="Calibri" w:eastAsia="Times New Roman" w:hAnsi="Calibri" w:cs="Times New Roman"/>
          <w:lang w:val="en-GB" w:bidi="he-IL"/>
        </w:rPr>
        <w:t>Yiṣḥaq</w:t>
      </w:r>
      <w:r w:rsidR="001C743B">
        <w:rPr>
          <w:rFonts w:ascii="Calibri" w:eastAsia="Times New Roman" w:hAnsi="Calibri" w:cs="Times New Roman"/>
          <w:lang w:val="en-GB" w:bidi="he-IL"/>
        </w:rPr>
        <w:t xml:space="preserve"> lived near the </w:t>
      </w:r>
      <w:r w:rsidR="001C743B" w:rsidRPr="001C743B">
        <w:rPr>
          <w:rFonts w:ascii="Calibri" w:eastAsia="Times New Roman" w:hAnsi="Calibri" w:cs="Times New Roman"/>
          <w:lang w:val="en-GB" w:bidi="he-IL"/>
        </w:rPr>
        <w:t>Ḥay Ro’i Well</w:t>
      </w:r>
      <w:r w:rsidR="00BC6AB7" w:rsidRPr="00BC6AB7">
        <w:rPr>
          <w:rFonts w:ascii="Calibri" w:eastAsia="Times New Roman" w:hAnsi="Calibri" w:cs="Times New Roman"/>
          <w:lang w:val="en-GB" w:bidi="he-IL"/>
        </w:rPr>
        <w:t>.</w:t>
      </w:r>
    </w:p>
    <w:p w14:paraId="32BDF8EA" w14:textId="77777777" w:rsidR="00BC6AB7" w:rsidRDefault="00BC6AB7" w:rsidP="00BC6AB7">
      <w:pPr>
        <w:pStyle w:val="Heading2"/>
      </w:pPr>
      <w:r>
        <w:t>Interpretation</w:t>
      </w:r>
    </w:p>
    <w:p w14:paraId="3D02E553" w14:textId="697B35CA" w:rsidR="00E56A1E" w:rsidRPr="00E56A1E" w:rsidRDefault="00163D29" w:rsidP="00997C79">
      <w:r>
        <w:t>T</w:t>
      </w:r>
      <w:r w:rsidR="00A702E9" w:rsidRPr="00A702E9">
        <w:t xml:space="preserve">he </w:t>
      </w:r>
      <w:r w:rsidR="00DE786C">
        <w:t xml:space="preserve">offering of Isaac, the death of Sarah, and the </w:t>
      </w:r>
      <w:r w:rsidR="00A702E9" w:rsidRPr="00A702E9">
        <w:t>finding of a wife for Isa</w:t>
      </w:r>
      <w:r>
        <w:t>ac have been</w:t>
      </w:r>
      <w:r w:rsidR="00DE786C">
        <w:t xml:space="preserve"> taking </w:t>
      </w:r>
      <w:r w:rsidR="00A702E9" w:rsidRPr="00A702E9">
        <w:t xml:space="preserve">Abraham’s story </w:t>
      </w:r>
      <w:r>
        <w:t>towards to its close</w:t>
      </w:r>
      <w:r w:rsidR="00A702E9" w:rsidRPr="00A702E9">
        <w:t xml:space="preserve">, </w:t>
      </w:r>
      <w:r>
        <w:t>which now comes with the account of his making his will, his death and his burial</w:t>
      </w:r>
      <w:r w:rsidR="00870627">
        <w:t>, and God’s blessing of Isaac (vv. 5-11</w:t>
      </w:r>
      <w:r w:rsidR="007E1F90">
        <w:t>). T</w:t>
      </w:r>
      <w:r>
        <w:t>h</w:t>
      </w:r>
      <w:r w:rsidR="007E1F90">
        <w:t>e closure of hi</w:t>
      </w:r>
      <w:r w:rsidR="00870627">
        <w:t>s</w:t>
      </w:r>
      <w:r>
        <w:t xml:space="preserve"> story is first</w:t>
      </w:r>
      <w:r w:rsidR="00DE786C">
        <w:t xml:space="preserve"> </w:t>
      </w:r>
      <w:r w:rsidR="00A702E9">
        <w:t>delayed by th</w:t>
      </w:r>
      <w:r w:rsidR="00DE786C">
        <w:t>e surprising account of hi</w:t>
      </w:r>
      <w:r w:rsidR="00A702E9">
        <w:t>s undertaking another marriage</w:t>
      </w:r>
      <w:r>
        <w:t xml:space="preserve"> (vv. 1-4)</w:t>
      </w:r>
      <w:r w:rsidR="00DE786C">
        <w:t xml:space="preserve">, </w:t>
      </w:r>
      <w:r w:rsidR="007E1F90">
        <w:t>which</w:t>
      </w:r>
      <w:r>
        <w:t xml:space="preserve"> p</w:t>
      </w:r>
      <w:r w:rsidR="00870627">
        <w:t>rovide</w:t>
      </w:r>
      <w:r w:rsidR="007E1F90">
        <w:t>s</w:t>
      </w:r>
      <w:r w:rsidR="00870627">
        <w:t xml:space="preserve"> background to the report</w:t>
      </w:r>
      <w:r w:rsidR="001C743B">
        <w:t xml:space="preserve"> </w:t>
      </w:r>
      <w:r>
        <w:t xml:space="preserve">of his disbursement of his assets (vv. 5-6). It also </w:t>
      </w:r>
      <w:r w:rsidR="007E1F90">
        <w:t xml:space="preserve">gives the audience </w:t>
      </w:r>
      <w:r w:rsidR="00DE786C">
        <w:t>more information on the ancestors of peoples Israel knew and was related to—whether</w:t>
      </w:r>
      <w:r w:rsidR="00870627">
        <w:t xml:space="preserve"> or not it realized it was so related</w:t>
      </w:r>
      <w:r w:rsidR="00DE786C">
        <w:t>. The ind</w:t>
      </w:r>
      <w:r w:rsidR="007C425A">
        <w:t>ivid</w:t>
      </w:r>
      <w:r w:rsidR="008602D6">
        <w:t>ual parts of the unit</w:t>
      </w:r>
      <w:r w:rsidR="00870627">
        <w:t xml:space="preserve"> </w:t>
      </w:r>
      <w:r w:rsidR="00F12E91">
        <w:t>(vv. 1-4, 5-6, 7-11</w:t>
      </w:r>
      <w:r w:rsidR="00DE786C">
        <w:t>—possibly with further subdivisions) look independent of one another</w:t>
      </w:r>
      <w:r w:rsidR="00870627">
        <w:t xml:space="preserve">. </w:t>
      </w:r>
      <w:r>
        <w:t xml:space="preserve">MT </w:t>
      </w:r>
      <w:r w:rsidR="00F12E91">
        <w:t>sees the unit as one paragraph</w:t>
      </w:r>
      <w:r w:rsidR="00DE786C">
        <w:t xml:space="preserve">. </w:t>
      </w:r>
      <w:r w:rsidR="00F8022B">
        <w:t xml:space="preserve">There is no scholarly consensus on the possible background of the </w:t>
      </w:r>
      <w:r w:rsidR="004505D7">
        <w:t xml:space="preserve">material (e.g., in J or P or </w:t>
      </w:r>
      <w:r w:rsidR="00F8022B">
        <w:t>the work of later editors).</w:t>
      </w:r>
    </w:p>
    <w:p w14:paraId="33248376" w14:textId="6910363E" w:rsidR="002649D7" w:rsidRDefault="00F2694E" w:rsidP="00997C79">
      <w:r>
        <w:rPr>
          <w:b/>
        </w:rPr>
        <w:t>25:1-6</w:t>
      </w:r>
      <w:r w:rsidR="004E2E8F">
        <w:rPr>
          <w:b/>
        </w:rPr>
        <w:t xml:space="preserve">. </w:t>
      </w:r>
      <w:proofErr w:type="gramStart"/>
      <w:r w:rsidR="00997C79">
        <w:t>The</w:t>
      </w:r>
      <w:proofErr w:type="gramEnd"/>
      <w:r w:rsidR="00997C79">
        <w:t xml:space="preserve"> note about Abraham’s taking another wife might raise two questions, when and why. </w:t>
      </w:r>
      <w:r w:rsidR="004E2E8F">
        <w:t>While he might have married Qeturah after Sarah died,</w:t>
      </w:r>
      <w:r w:rsidR="00870627">
        <w:t xml:space="preserve"> his fathering six more sons (let alone daughters?)</w:t>
      </w:r>
      <w:r w:rsidR="004E2E8F">
        <w:t xml:space="preserve"> in his great old age</w:t>
      </w:r>
      <w:r w:rsidR="00870627">
        <w:t>, having managed only two in the previous 137 years,</w:t>
      </w:r>
      <w:r w:rsidR="004E2E8F">
        <w:t xml:space="preserve"> might seem l</w:t>
      </w:r>
      <w:r w:rsidR="00870627">
        <w:t xml:space="preserve">ess likely than his </w:t>
      </w:r>
      <w:r w:rsidR="004505D7">
        <w:t>having married</w:t>
      </w:r>
      <w:r w:rsidR="00870627">
        <w:t xml:space="preserve"> Qeturah</w:t>
      </w:r>
      <w:r w:rsidR="004E2E8F">
        <w:t xml:space="preserve"> sometim</w:t>
      </w:r>
      <w:r w:rsidR="004505D7">
        <w:t xml:space="preserve">e </w:t>
      </w:r>
      <w:r w:rsidR="00590000">
        <w:t xml:space="preserve">earlier. </w:t>
      </w:r>
      <w:r w:rsidR="0041231A" w:rsidRPr="0041231A">
        <w:t xml:space="preserve">The account of the marriage </w:t>
      </w:r>
      <w:r w:rsidR="0041231A">
        <w:t xml:space="preserve">then </w:t>
      </w:r>
      <w:r w:rsidR="0041231A" w:rsidRPr="0041231A">
        <w:t>comes here because this section is finishing of</w:t>
      </w:r>
      <w:r w:rsidR="007E1F90">
        <w:t xml:space="preserve">f Genesis’s account of </w:t>
      </w:r>
      <w:r w:rsidR="00870627">
        <w:t>Abraham</w:t>
      </w:r>
      <w:r w:rsidR="007E1F90">
        <w:t>’s</w:t>
      </w:r>
      <w:r w:rsidR="00870627">
        <w:t xml:space="preserve"> story</w:t>
      </w:r>
      <w:r w:rsidR="0041231A" w:rsidRPr="0041231A">
        <w:t>.</w:t>
      </w:r>
      <w:r w:rsidR="0041231A">
        <w:t xml:space="preserve"> If he had married Qeturah long ago,</w:t>
      </w:r>
      <w:r w:rsidR="00590000">
        <w:t xml:space="preserve"> t</w:t>
      </w:r>
      <w:r w:rsidR="004E2E8F">
        <w:t xml:space="preserve">he answer </w:t>
      </w:r>
      <w:r w:rsidR="0041231A">
        <w:t>to the “why” question might be that an important person like</w:t>
      </w:r>
      <w:r w:rsidR="004E2E8F">
        <w:t xml:space="preserve"> Abraham </w:t>
      </w:r>
      <w:r w:rsidR="0041231A">
        <w:t>would naturally</w:t>
      </w:r>
      <w:r w:rsidR="004E2E8F">
        <w:t xml:space="preserve"> mark his status by having more than one wife</w:t>
      </w:r>
      <w:r w:rsidR="00870627">
        <w:t>, especially given Sarah’s infertility and his divorce of Hagar</w:t>
      </w:r>
      <w:r w:rsidR="004E2E8F">
        <w:t xml:space="preserve">. </w:t>
      </w:r>
      <w:r w:rsidR="004505D7">
        <w:t>O</w:t>
      </w:r>
      <w:r w:rsidR="00845FF6">
        <w:t xml:space="preserve">ne would </w:t>
      </w:r>
      <w:r w:rsidR="00870627">
        <w:t xml:space="preserve">indeed </w:t>
      </w:r>
      <w:r w:rsidR="00590000">
        <w:t xml:space="preserve">then </w:t>
      </w:r>
      <w:r w:rsidR="00845FF6">
        <w:t>expect him to have more than the two sons he otherwise had, on</w:t>
      </w:r>
      <w:r w:rsidR="0041231A">
        <w:t>e</w:t>
      </w:r>
      <w:r w:rsidR="00845FF6">
        <w:t xml:space="preserve"> by Hagar, </w:t>
      </w:r>
      <w:proofErr w:type="gramStart"/>
      <w:r w:rsidR="00845FF6">
        <w:t>one</w:t>
      </w:r>
      <w:proofErr w:type="gramEnd"/>
      <w:r w:rsidR="00845FF6">
        <w:t xml:space="preserve"> by Sarah.</w:t>
      </w:r>
      <w:r w:rsidR="002C0952">
        <w:t xml:space="preserve"> </w:t>
      </w:r>
      <w:r w:rsidR="0041231A">
        <w:t>If he married Qeturah after Sarah’s death,</w:t>
      </w:r>
      <w:r w:rsidR="00590000">
        <w:t xml:space="preserve"> the </w:t>
      </w:r>
      <w:r w:rsidR="0041231A">
        <w:t xml:space="preserve">answer to the “why” </w:t>
      </w:r>
      <w:r w:rsidR="00870627">
        <w:t xml:space="preserve">would </w:t>
      </w:r>
      <w:r w:rsidR="00870627">
        <w:lastRenderedPageBreak/>
        <w:t>more likely be that he needed a wife</w:t>
      </w:r>
      <w:r w:rsidR="0041231A">
        <w:t xml:space="preserve"> to run the household</w:t>
      </w:r>
      <w:r w:rsidR="00870627">
        <w:t xml:space="preserve">, </w:t>
      </w:r>
      <w:r w:rsidR="00870627" w:rsidRPr="00870627">
        <w:t>preferably some</w:t>
      </w:r>
      <w:r w:rsidR="004505D7">
        <w:t>one</w:t>
      </w:r>
      <w:r w:rsidR="00870627" w:rsidRPr="00870627">
        <w:t xml:space="preserve"> young and energetic</w:t>
      </w:r>
      <w:r w:rsidR="00870627">
        <w:t xml:space="preserve"> </w:t>
      </w:r>
      <w:r w:rsidR="0041231A">
        <w:t>(see Prov 31:10-31), rather than that the “decrepit” old man was also “lascivious</w:t>
      </w:r>
      <w:r w:rsidR="005933E2">
        <w:t>,</w:t>
      </w:r>
      <w:r w:rsidR="00542097">
        <w:t>”</w:t>
      </w:r>
      <w:r w:rsidR="00542097">
        <w:rPr>
          <w:rStyle w:val="FootnoteReference"/>
        </w:rPr>
        <w:footnoteReference w:id="849"/>
      </w:r>
      <w:r w:rsidR="0041231A">
        <w:t xml:space="preserve"> </w:t>
      </w:r>
      <w:r w:rsidR="005933E2">
        <w:t xml:space="preserve">though one doesn’t then like to think about the dynamics of Qeturah’s relationship with Rebekah. </w:t>
      </w:r>
    </w:p>
    <w:p w14:paraId="52DD61F3" w14:textId="0E898DBE" w:rsidR="004E2E8F" w:rsidRPr="00997C79" w:rsidRDefault="00870627" w:rsidP="00997C79">
      <w:r>
        <w:t>Either way, Abraham’s</w:t>
      </w:r>
      <w:r w:rsidR="005E2231">
        <w:t xml:space="preserve"> children, grandchildren, and great grandchildren (vv. 2-4) </w:t>
      </w:r>
      <w:r w:rsidR="002C0952">
        <w:t>are the fulfill</w:t>
      </w:r>
      <w:r>
        <w:t>ment of the promise that he</w:t>
      </w:r>
      <w:r w:rsidR="002C0952">
        <w:t xml:space="preserve"> would become the ancestor of many nations (17:4-6). </w:t>
      </w:r>
      <w:r w:rsidR="002649D7">
        <w:t>T</w:t>
      </w:r>
      <w:r w:rsidR="002649D7" w:rsidRPr="002649D7">
        <w:t>he lists</w:t>
      </w:r>
      <w:r w:rsidR="002649D7">
        <w:t xml:space="preserve"> also</w:t>
      </w:r>
      <w:r w:rsidR="002649D7" w:rsidRPr="002649D7">
        <w:t xml:space="preserve"> functi</w:t>
      </w:r>
      <w:r w:rsidR="004505D7">
        <w:t>on in a way parallel to the ones in Gen 10: they indicate</w:t>
      </w:r>
      <w:r w:rsidR="002649D7" w:rsidRPr="002649D7">
        <w:t xml:space="preserve"> that the family of Abraham as Israel’s ancestor belongs by a bond of relationship to the greater whole comprising the peoples that live in Israel’s world. These peoples “form a penumbra around the social spheres headed by Ishmael and Isaac.”</w:t>
      </w:r>
      <w:r w:rsidR="002649D7" w:rsidRPr="002649D7">
        <w:rPr>
          <w:vertAlign w:val="superscript"/>
        </w:rPr>
        <w:footnoteReference w:id="850"/>
      </w:r>
      <w:r w:rsidR="002649D7" w:rsidRPr="002649D7">
        <w:t xml:space="preserve"> Israel’s world is not to be defined merely by the relationships of enmity with some people such as Midian. “Human and family bonds have deeper roots than political divisions.” </w:t>
      </w:r>
      <w:r w:rsidR="002649D7">
        <w:t>O</w:t>
      </w:r>
      <w:r w:rsidR="002649D7" w:rsidRPr="002649D7">
        <w:t>ur later context reminds us that in Abraham this statement also applies to the relationships of Jews, Christians, and Muslims.</w:t>
      </w:r>
      <w:r w:rsidR="002649D7" w:rsidRPr="002649D7">
        <w:rPr>
          <w:vertAlign w:val="superscript"/>
        </w:rPr>
        <w:footnoteReference w:id="851"/>
      </w:r>
      <w:r w:rsidR="002649D7" w:rsidRPr="002649D7">
        <w:t xml:space="preserve"> </w:t>
      </w:r>
      <w:r w:rsidR="005E0DFF">
        <w:t xml:space="preserve">Some of the names are elsewhere the names of </w:t>
      </w:r>
      <w:r w:rsidR="002A18F8">
        <w:t xml:space="preserve">individual </w:t>
      </w:r>
      <w:r w:rsidR="005E0DFF">
        <w:t xml:space="preserve">peoples or places (e.g., Sheba and Dedan), others are </w:t>
      </w:r>
      <w:r w:rsidR="002A18F8">
        <w:t xml:space="preserve">plural and </w:t>
      </w:r>
      <w:r w:rsidR="002649D7">
        <w:t xml:space="preserve">are </w:t>
      </w:r>
      <w:r w:rsidR="004505D7">
        <w:t xml:space="preserve">thus </w:t>
      </w:r>
      <w:r w:rsidR="002A18F8">
        <w:t xml:space="preserve">the names of </w:t>
      </w:r>
      <w:r w:rsidR="005E0DFF">
        <w:t xml:space="preserve">groups (e.g., </w:t>
      </w:r>
      <w:r w:rsidR="005E0DFF">
        <w:rPr>
          <w:lang w:val="en-GB"/>
        </w:rPr>
        <w:t>Ashshurites,</w:t>
      </w:r>
      <w:r w:rsidR="005E0DFF" w:rsidRPr="005E0DFF">
        <w:rPr>
          <w:lang w:val="en-GB"/>
        </w:rPr>
        <w:t xml:space="preserve"> Letushites</w:t>
      </w:r>
      <w:r w:rsidR="005E0DFF">
        <w:rPr>
          <w:lang w:val="en-GB"/>
        </w:rPr>
        <w:t>),</w:t>
      </w:r>
      <w:r w:rsidR="002649D7">
        <w:rPr>
          <w:lang w:val="en-GB"/>
        </w:rPr>
        <w:t xml:space="preserve"> </w:t>
      </w:r>
      <w:r w:rsidR="002A18F8">
        <w:rPr>
          <w:lang w:val="en-GB"/>
        </w:rPr>
        <w:t xml:space="preserve">while yet </w:t>
      </w:r>
      <w:r w:rsidR="004505D7">
        <w:rPr>
          <w:lang w:val="en-GB"/>
        </w:rPr>
        <w:t>others might be individuals</w:t>
      </w:r>
      <w:r w:rsidR="004505D7">
        <w:t xml:space="preserve"> or places or </w:t>
      </w:r>
      <w:r w:rsidR="005E0DFF">
        <w:t xml:space="preserve">peoples. </w:t>
      </w:r>
      <w:r w:rsidR="002C0952">
        <w:t xml:space="preserve">The descendants </w:t>
      </w:r>
      <w:r w:rsidR="004E2E8F">
        <w:t xml:space="preserve">include the ancestors of peoples </w:t>
      </w:r>
      <w:r w:rsidR="004103C3" w:rsidRPr="004103C3">
        <w:t>who are</w:t>
      </w:r>
      <w:r w:rsidR="004103C3">
        <w:t xml:space="preserve"> thereby</w:t>
      </w:r>
      <w:r w:rsidR="004103C3" w:rsidRPr="004103C3">
        <w:t xml:space="preserve"> indicated to be </w:t>
      </w:r>
      <w:r w:rsidR="004E2E8F">
        <w:t>the Israelites</w:t>
      </w:r>
      <w:r w:rsidR="004103C3">
        <w:t>’ relatives</w:t>
      </w:r>
      <w:r w:rsidR="00727890">
        <w:t xml:space="preserve"> </w:t>
      </w:r>
      <w:r w:rsidR="004103C3">
        <w:t>but</w:t>
      </w:r>
      <w:r w:rsidR="002A18F8">
        <w:t xml:space="preserve"> with whom Israel was</w:t>
      </w:r>
      <w:r w:rsidR="00452F81">
        <w:t xml:space="preserve"> involved in trading relationships</w:t>
      </w:r>
      <w:r w:rsidR="004E2E8F">
        <w:t xml:space="preserve">, </w:t>
      </w:r>
      <w:r w:rsidR="001F7480">
        <w:t>not least in spices, which fits the fact th</w:t>
      </w:r>
      <w:r w:rsidR="004103C3">
        <w:t>at their mother’s name suggests</w:t>
      </w:r>
      <w:r w:rsidR="001F7480">
        <w:t xml:space="preserve"> she was a spice girl</w:t>
      </w:r>
      <w:r w:rsidR="00FD7EBB">
        <w:t xml:space="preserve"> (etymologica</w:t>
      </w:r>
      <w:r w:rsidR="004103C3">
        <w:t xml:space="preserve">lly, </w:t>
      </w:r>
      <w:r w:rsidR="00FD7EBB">
        <w:t xml:space="preserve">“Qeturah” would mean </w:t>
      </w:r>
      <w:r w:rsidR="004103C3">
        <w:t>“Spiced”)</w:t>
      </w:r>
      <w:r w:rsidR="004E2E8F">
        <w:t xml:space="preserve">. </w:t>
      </w:r>
      <w:r w:rsidR="00064DD8">
        <w:t xml:space="preserve">We know nothing else about most of the people who might be descended from these figures, but such links as </w:t>
      </w:r>
      <w:r w:rsidR="00E158FD">
        <w:t xml:space="preserve">we </w:t>
      </w:r>
      <w:r w:rsidR="00064DD8">
        <w:t>have suggest peoples to the east and south</w:t>
      </w:r>
      <w:r w:rsidR="002A18F8">
        <w:t>east</w:t>
      </w:r>
      <w:r w:rsidR="00064DD8">
        <w:t xml:space="preserve"> of Canaan, in northern and southern Arabia</w:t>
      </w:r>
      <w:r w:rsidR="002A18F8">
        <w:t>, which fits with the reference in v. 6 to Abraham sending them off east</w:t>
      </w:r>
      <w:r w:rsidR="00064DD8">
        <w:t>.</w:t>
      </w:r>
      <w:r w:rsidR="002F0E36">
        <w:rPr>
          <w:rStyle w:val="FootnoteReference"/>
        </w:rPr>
        <w:footnoteReference w:id="852"/>
      </w:r>
      <w:r w:rsidR="00064DD8">
        <w:t xml:space="preserve"> </w:t>
      </w:r>
      <w:r w:rsidR="004E2E8F">
        <w:t>The Medanites feature in 37:36.</w:t>
      </w:r>
      <w:r w:rsidR="005E2231">
        <w:t xml:space="preserve"> The Mid</w:t>
      </w:r>
      <w:r w:rsidR="00F8022B">
        <w:t>ianit</w:t>
      </w:r>
      <w:r w:rsidR="002A18F8">
        <w:t>es appear more frequently. I</w:t>
      </w:r>
      <w:r w:rsidR="002A18F8" w:rsidRPr="002A18F8">
        <w:t>t is they who pr</w:t>
      </w:r>
      <w:r w:rsidR="002A18F8">
        <w:t>oduce a wife for Moses (Exod 2—3), who thus marries</w:t>
      </w:r>
      <w:r w:rsidR="002A18F8" w:rsidRPr="002A18F8">
        <w:t xml:space="preserve"> within the family of Abraham.</w:t>
      </w:r>
      <w:r w:rsidR="002A18F8" w:rsidRPr="002A18F8">
        <w:rPr>
          <w:vertAlign w:val="superscript"/>
        </w:rPr>
        <w:footnoteReference w:id="853"/>
      </w:r>
      <w:r w:rsidR="002A18F8">
        <w:t xml:space="preserve"> Later they appear </w:t>
      </w:r>
      <w:r w:rsidR="004505D7">
        <w:t>in an unfriendly connection</w:t>
      </w:r>
      <w:r w:rsidR="00F8022B">
        <w:t xml:space="preserve"> (e.g., Num 31; Judg 6)</w:t>
      </w:r>
      <w:r w:rsidR="002A18F8">
        <w:t xml:space="preserve">. In the meantime, they appear in a neutral one: </w:t>
      </w:r>
      <w:r w:rsidR="00590000">
        <w:t xml:space="preserve">“within one generation the Midianites grow so </w:t>
      </w:r>
      <w:r w:rsidR="00542097">
        <w:t xml:space="preserve">that </w:t>
      </w:r>
      <w:r w:rsidR="00590000">
        <w:t>they fill a caravan</w:t>
      </w:r>
      <w:r w:rsidR="00542097">
        <w:t xml:space="preserve"> of merchants”</w:t>
      </w:r>
      <w:r w:rsidR="00542097">
        <w:rPr>
          <w:rStyle w:val="FootnoteReference"/>
        </w:rPr>
        <w:footnoteReference w:id="854"/>
      </w:r>
      <w:r w:rsidR="00542097">
        <w:t>—as for that matter do the Ishmaelites and Medanites (Gen 37:25, 28, 36).</w:t>
      </w:r>
      <w:r w:rsidR="0064661A">
        <w:t xml:space="preserve"> </w:t>
      </w:r>
      <w:r w:rsidR="002649D7">
        <w:t>Among the</w:t>
      </w:r>
      <w:r w:rsidR="005E2231">
        <w:t xml:space="preserve"> grandchildren, the order of lists in 1 Chron 1 suggests that the Dedanites lived in Syria. Sheba has f</w:t>
      </w:r>
      <w:r w:rsidR="00F2694E">
        <w:t>eatured with different genealogies</w:t>
      </w:r>
      <w:r w:rsidR="005E2231">
        <w:t xml:space="preserve"> in </w:t>
      </w:r>
      <w:r w:rsidR="00F2694E">
        <w:t>Gen 10:7, 28; the link with Dedan suggests that this Sheba stands for a northern branch of that group. The Ashshurites are</w:t>
      </w:r>
      <w:r w:rsidR="00F8022B">
        <w:t xml:space="preserve"> apparently a </w:t>
      </w:r>
      <w:r w:rsidR="00171E9A">
        <w:t xml:space="preserve">group </w:t>
      </w:r>
      <w:r w:rsidR="00F8022B">
        <w:t xml:space="preserve">in Arabia </w:t>
      </w:r>
      <w:r w:rsidR="00171E9A">
        <w:t>(cf. BDB),</w:t>
      </w:r>
      <w:r w:rsidR="00F2694E">
        <w:t xml:space="preserve"> a different group from </w:t>
      </w:r>
      <w:r w:rsidR="006E4F70">
        <w:t>people belonging to</w:t>
      </w:r>
      <w:r w:rsidR="00CC4DF0">
        <w:t xml:space="preserve"> </w:t>
      </w:r>
      <w:r w:rsidR="00F2694E">
        <w:t xml:space="preserve">the well-known </w:t>
      </w:r>
      <w:r w:rsidR="00CC4DF0">
        <w:t>Ashshur</w:t>
      </w:r>
      <w:r w:rsidR="002649D7">
        <w:t>, the</w:t>
      </w:r>
      <w:r w:rsidR="002649D7" w:rsidRPr="002649D7">
        <w:t xml:space="preserve"> </w:t>
      </w:r>
      <w:r w:rsidR="00F2694E">
        <w:t>Assyrians</w:t>
      </w:r>
      <w:r w:rsidR="002649D7">
        <w:t xml:space="preserve"> (10:32)</w:t>
      </w:r>
      <w:r w:rsidR="00CC4DF0">
        <w:t xml:space="preserve"> for whom the First Testament uses the gentilic </w:t>
      </w:r>
      <w:r w:rsidR="006E4F70">
        <w:t xml:space="preserve">noun </w:t>
      </w:r>
      <w:r w:rsidR="00CC4DF0">
        <w:t>Ashshur or t</w:t>
      </w:r>
      <w:r w:rsidR="006E4F70">
        <w:t xml:space="preserve">he expression “sons of Ashshur” and not the term </w:t>
      </w:r>
      <w:r w:rsidR="006E4F70" w:rsidRPr="006E4F70">
        <w:t>Ashshurites</w:t>
      </w:r>
      <w:r w:rsidR="006E4F70">
        <w:t>.</w:t>
      </w:r>
    </w:p>
    <w:p w14:paraId="1203797A" w14:textId="4C3991DD" w:rsidR="00726AEB" w:rsidRDefault="008A51DD" w:rsidP="00140874">
      <w:pPr>
        <w:rPr>
          <w:lang w:bidi="he-IL"/>
        </w:rPr>
      </w:pPr>
      <w:r>
        <w:rPr>
          <w:lang w:bidi="he-IL"/>
        </w:rPr>
        <w:t xml:space="preserve">But </w:t>
      </w:r>
      <w:r w:rsidR="00F2694E">
        <w:rPr>
          <w:lang w:bidi="he-IL"/>
        </w:rPr>
        <w:t>Isaac is the son of Abraham who really counts</w:t>
      </w:r>
      <w:r>
        <w:rPr>
          <w:lang w:bidi="he-IL"/>
        </w:rPr>
        <w:t xml:space="preserve"> (v. 5)</w:t>
      </w:r>
      <w:r w:rsidR="00F2694E">
        <w:rPr>
          <w:lang w:bidi="he-IL"/>
        </w:rPr>
        <w:t xml:space="preserve">. </w:t>
      </w:r>
      <w:r w:rsidR="00726AEB">
        <w:rPr>
          <w:lang w:bidi="he-IL"/>
        </w:rPr>
        <w:t>Deut 21:15-17 will establish that your average Israelite cannot oper</w:t>
      </w:r>
      <w:r w:rsidR="006E4F70">
        <w:rPr>
          <w:lang w:bidi="he-IL"/>
        </w:rPr>
        <w:t xml:space="preserve">ate in Abraham’s way; it is </w:t>
      </w:r>
      <w:r w:rsidR="00726AEB">
        <w:rPr>
          <w:lang w:bidi="he-IL"/>
        </w:rPr>
        <w:t>ano</w:t>
      </w:r>
      <w:r w:rsidR="00FD7EBB">
        <w:rPr>
          <w:lang w:bidi="he-IL"/>
        </w:rPr>
        <w:t>ther example of how hi</w:t>
      </w:r>
      <w:r w:rsidR="006E4F70">
        <w:rPr>
          <w:lang w:bidi="he-IL"/>
        </w:rPr>
        <w:t xml:space="preserve">s special position </w:t>
      </w:r>
      <w:r w:rsidR="00726AEB">
        <w:rPr>
          <w:lang w:bidi="he-IL"/>
        </w:rPr>
        <w:t xml:space="preserve">in the working out of God’s purpose </w:t>
      </w:r>
      <w:r>
        <w:rPr>
          <w:lang w:bidi="he-IL"/>
        </w:rPr>
        <w:t xml:space="preserve">(and his antedating the instructions associated with Sinai) </w:t>
      </w:r>
      <w:r w:rsidR="00726AEB">
        <w:rPr>
          <w:lang w:bidi="he-IL"/>
        </w:rPr>
        <w:t xml:space="preserve">means that his actions </w:t>
      </w:r>
      <w:r w:rsidR="006E4F70">
        <w:rPr>
          <w:lang w:bidi="he-IL"/>
        </w:rPr>
        <w:t xml:space="preserve">are exceptional </w:t>
      </w:r>
      <w:r>
        <w:rPr>
          <w:lang w:bidi="he-IL"/>
        </w:rPr>
        <w:t xml:space="preserve">and </w:t>
      </w:r>
      <w:r w:rsidR="00726AEB">
        <w:rPr>
          <w:lang w:bidi="he-IL"/>
        </w:rPr>
        <w:t xml:space="preserve">may not provide example or warrant for </w:t>
      </w:r>
      <w:r w:rsidR="00FD7EBB">
        <w:rPr>
          <w:lang w:bidi="he-IL"/>
        </w:rPr>
        <w:t>everyone (see Gen 22 and Gen 24</w:t>
      </w:r>
      <w:r w:rsidR="00726AEB">
        <w:rPr>
          <w:lang w:bidi="he-IL"/>
        </w:rPr>
        <w:t>).</w:t>
      </w:r>
    </w:p>
    <w:p w14:paraId="2A57FAC3" w14:textId="77777777" w:rsidR="0020723E" w:rsidRDefault="007D777F" w:rsidP="00140874">
      <w:pPr>
        <w:rPr>
          <w:lang w:bidi="he-IL"/>
        </w:rPr>
      </w:pPr>
      <w:r>
        <w:rPr>
          <w:lang w:bidi="he-IL"/>
        </w:rPr>
        <w:t xml:space="preserve">It now emerges that </w:t>
      </w:r>
      <w:r w:rsidR="00726AEB">
        <w:rPr>
          <w:lang w:bidi="he-IL"/>
        </w:rPr>
        <w:t>Qeturah is</w:t>
      </w:r>
      <w:r w:rsidR="00064DD8">
        <w:rPr>
          <w:lang w:bidi="he-IL"/>
        </w:rPr>
        <w:t xml:space="preserve"> </w:t>
      </w:r>
      <w:r w:rsidR="00726AEB">
        <w:rPr>
          <w:lang w:bidi="he-IL"/>
        </w:rPr>
        <w:t>implicitly one of Abraham’s</w:t>
      </w:r>
      <w:r w:rsidR="008574F9">
        <w:rPr>
          <w:lang w:bidi="he-IL"/>
        </w:rPr>
        <w:t xml:space="preserve"> secondary wives</w:t>
      </w:r>
      <w:r w:rsidR="00726AEB">
        <w:rPr>
          <w:lang w:bidi="he-IL"/>
        </w:rPr>
        <w:t xml:space="preserve"> (v. 6)</w:t>
      </w:r>
      <w:r w:rsidR="008574F9">
        <w:rPr>
          <w:lang w:bidi="he-IL"/>
        </w:rPr>
        <w:t xml:space="preserve">, like Hagar, </w:t>
      </w:r>
      <w:r w:rsidR="00726AEB">
        <w:rPr>
          <w:lang w:bidi="he-IL"/>
        </w:rPr>
        <w:t>w</w:t>
      </w:r>
      <w:r w:rsidR="00726AEB" w:rsidRPr="00726AEB">
        <w:rPr>
          <w:lang w:bidi="he-IL"/>
        </w:rPr>
        <w:t>hereas</w:t>
      </w:r>
      <w:r w:rsidR="00726AEB">
        <w:rPr>
          <w:lang w:bidi="he-IL"/>
        </w:rPr>
        <w:t xml:space="preserve"> </w:t>
      </w:r>
      <w:r>
        <w:rPr>
          <w:lang w:bidi="he-IL"/>
        </w:rPr>
        <w:t>in v. 1</w:t>
      </w:r>
      <w:r w:rsidR="00726AEB" w:rsidRPr="00726AEB">
        <w:rPr>
          <w:lang w:bidi="he-IL"/>
        </w:rPr>
        <w:t xml:space="preserve"> </w:t>
      </w:r>
      <w:r w:rsidR="00726AEB">
        <w:rPr>
          <w:lang w:bidi="he-IL"/>
        </w:rPr>
        <w:t>she was simply called a wife</w:t>
      </w:r>
      <w:r>
        <w:rPr>
          <w:lang w:bidi="he-IL"/>
        </w:rPr>
        <w:t>; the point</w:t>
      </w:r>
      <w:r w:rsidRPr="007D777F">
        <w:rPr>
          <w:lang w:bidi="he-IL"/>
        </w:rPr>
        <w:t xml:space="preserve"> is explicit in 1 Chron 1:32</w:t>
      </w:r>
      <w:r w:rsidR="00726AEB">
        <w:rPr>
          <w:lang w:bidi="he-IL"/>
        </w:rPr>
        <w:t>. I</w:t>
      </w:r>
      <w:r w:rsidR="00845739">
        <w:rPr>
          <w:lang w:bidi="he-IL"/>
        </w:rPr>
        <w:t>t seems to follow</w:t>
      </w:r>
      <w:r w:rsidR="008A51DD">
        <w:rPr>
          <w:lang w:bidi="he-IL"/>
        </w:rPr>
        <w:t xml:space="preserve"> from being secondary wives </w:t>
      </w:r>
      <w:r w:rsidR="00845739">
        <w:rPr>
          <w:lang w:bidi="he-IL"/>
        </w:rPr>
        <w:t>that your</w:t>
      </w:r>
      <w:r w:rsidR="008574F9">
        <w:rPr>
          <w:lang w:bidi="he-IL"/>
        </w:rPr>
        <w:t xml:space="preserve"> offs</w:t>
      </w:r>
      <w:r w:rsidR="001B061D">
        <w:rPr>
          <w:lang w:bidi="he-IL"/>
        </w:rPr>
        <w:t>pr</w:t>
      </w:r>
      <w:r w:rsidR="00845739">
        <w:rPr>
          <w:lang w:bidi="he-IL"/>
        </w:rPr>
        <w:t xml:space="preserve">ing do not have </w:t>
      </w:r>
      <w:r w:rsidR="008574F9">
        <w:rPr>
          <w:lang w:bidi="he-IL"/>
        </w:rPr>
        <w:t>inheritance rights (see on Gen 22:24)</w:t>
      </w:r>
      <w:r w:rsidR="001B061D">
        <w:rPr>
          <w:lang w:bidi="he-IL"/>
        </w:rPr>
        <w:t>.</w:t>
      </w:r>
      <w:r w:rsidR="00845739">
        <w:rPr>
          <w:lang w:bidi="he-IL"/>
        </w:rPr>
        <w:t xml:space="preserve"> What they receive i</w:t>
      </w:r>
      <w:r w:rsidR="00064DD8">
        <w:rPr>
          <w:lang w:bidi="he-IL"/>
        </w:rPr>
        <w:t>s up to t</w:t>
      </w:r>
      <w:r w:rsidR="006758C1">
        <w:rPr>
          <w:lang w:bidi="he-IL"/>
        </w:rPr>
        <w:t>heir father’s discretion. Like someone in the West</w:t>
      </w:r>
      <w:r w:rsidR="00064DD8">
        <w:rPr>
          <w:lang w:bidi="he-IL"/>
        </w:rPr>
        <w:t>, Abraham is expected to decide on what happens</w:t>
      </w:r>
      <w:r w:rsidR="00452F81">
        <w:rPr>
          <w:lang w:bidi="he-IL"/>
        </w:rPr>
        <w:t xml:space="preserve"> to his estate before he dies, </w:t>
      </w:r>
      <w:r w:rsidR="00845739">
        <w:rPr>
          <w:lang w:bidi="he-IL"/>
        </w:rPr>
        <w:t>though</w:t>
      </w:r>
      <w:r w:rsidR="00E958A2">
        <w:rPr>
          <w:lang w:bidi="he-IL"/>
        </w:rPr>
        <w:t xml:space="preserve"> presumably he did not a</w:t>
      </w:r>
      <w:r w:rsidR="00845739">
        <w:rPr>
          <w:lang w:bidi="he-IL"/>
        </w:rPr>
        <w:t>ctually transfer everything to</w:t>
      </w:r>
      <w:r w:rsidR="00E958A2">
        <w:rPr>
          <w:lang w:bidi="he-IL"/>
        </w:rPr>
        <w:t xml:space="preserve"> </w:t>
      </w:r>
      <w:r w:rsidR="00E958A2">
        <w:rPr>
          <w:lang w:bidi="he-IL"/>
        </w:rPr>
        <w:lastRenderedPageBreak/>
        <w:t>Isaac before he died.</w:t>
      </w:r>
      <w:r w:rsidR="00E958A2">
        <w:rPr>
          <w:rStyle w:val="FootnoteReference"/>
          <w:lang w:bidi="he-IL"/>
        </w:rPr>
        <w:footnoteReference w:id="855"/>
      </w:r>
      <w:r w:rsidR="00E958A2">
        <w:rPr>
          <w:lang w:bidi="he-IL"/>
        </w:rPr>
        <w:t xml:space="preserve"> B</w:t>
      </w:r>
      <w:r w:rsidR="00845739">
        <w:rPr>
          <w:lang w:bidi="he-IL"/>
        </w:rPr>
        <w:t xml:space="preserve">ut perhaps a man might </w:t>
      </w:r>
      <w:r w:rsidR="00C26527">
        <w:rPr>
          <w:lang w:bidi="he-IL"/>
        </w:rPr>
        <w:t>commonly</w:t>
      </w:r>
      <w:r w:rsidR="00452F81">
        <w:rPr>
          <w:lang w:bidi="he-IL"/>
        </w:rPr>
        <w:t xml:space="preserve"> im</w:t>
      </w:r>
      <w:r w:rsidR="00C26527">
        <w:rPr>
          <w:lang w:bidi="he-IL"/>
        </w:rPr>
        <w:t xml:space="preserve">plement </w:t>
      </w:r>
      <w:r w:rsidR="00845739">
        <w:rPr>
          <w:lang w:bidi="he-IL"/>
        </w:rPr>
        <w:t xml:space="preserve">some </w:t>
      </w:r>
      <w:r w:rsidR="00C26527">
        <w:rPr>
          <w:lang w:bidi="he-IL"/>
        </w:rPr>
        <w:t>bequests before he die</w:t>
      </w:r>
      <w:r w:rsidR="00845739">
        <w:rPr>
          <w:lang w:bidi="he-IL"/>
        </w:rPr>
        <w:t>s, which could</w:t>
      </w:r>
      <w:r w:rsidR="00E958A2">
        <w:rPr>
          <w:lang w:bidi="he-IL"/>
        </w:rPr>
        <w:t xml:space="preserve"> reduce family con</w:t>
      </w:r>
      <w:r w:rsidR="00C26527">
        <w:rPr>
          <w:lang w:bidi="he-IL"/>
        </w:rPr>
        <w:t>flict after his death.</w:t>
      </w:r>
      <w:r w:rsidR="00C26527">
        <w:rPr>
          <w:rStyle w:val="FootnoteReference"/>
          <w:lang w:bidi="he-IL"/>
        </w:rPr>
        <w:footnoteReference w:id="856"/>
      </w:r>
      <w:r w:rsidR="008A51DD">
        <w:rPr>
          <w:lang w:bidi="he-IL"/>
        </w:rPr>
        <w:t xml:space="preserve"> Sending off </w:t>
      </w:r>
      <w:r w:rsidR="00845739">
        <w:rPr>
          <w:lang w:bidi="he-IL"/>
        </w:rPr>
        <w:t xml:space="preserve">Hagar and Qeturah’s sons continues the process of peoples spreading through the world that was described in Gen 10. It does not mean </w:t>
      </w:r>
      <w:r w:rsidR="008A51DD">
        <w:rPr>
          <w:lang w:bidi="he-IL"/>
        </w:rPr>
        <w:t xml:space="preserve">that </w:t>
      </w:r>
      <w:r w:rsidR="00845739">
        <w:rPr>
          <w:lang w:bidi="he-IL"/>
        </w:rPr>
        <w:t>they “like Ishmael, are ultimately rejected b</w:t>
      </w:r>
      <w:r w:rsidR="00C10D13">
        <w:rPr>
          <w:lang w:bidi="he-IL"/>
        </w:rPr>
        <w:t>y God” or are “shipped eastward</w:t>
      </w:r>
      <w:r w:rsidR="00845739">
        <w:rPr>
          <w:lang w:bidi="he-IL"/>
        </w:rPr>
        <w:t>, away from God’s promise.”</w:t>
      </w:r>
      <w:r w:rsidR="00845739">
        <w:rPr>
          <w:rStyle w:val="FootnoteReference"/>
          <w:lang w:bidi="he-IL"/>
        </w:rPr>
        <w:footnoteReference w:id="857"/>
      </w:r>
      <w:r w:rsidR="00C10D13">
        <w:rPr>
          <w:lang w:bidi="he-IL"/>
        </w:rPr>
        <w:t xml:space="preserve"> Ishmael certainly lives in the context of God’s promise,</w:t>
      </w:r>
      <w:r w:rsidR="00DC03D3">
        <w:rPr>
          <w:rStyle w:val="FootnoteReference"/>
          <w:lang w:bidi="he-IL"/>
        </w:rPr>
        <w:footnoteReference w:id="858"/>
      </w:r>
      <w:r w:rsidR="008A51DD">
        <w:rPr>
          <w:lang w:bidi="he-IL"/>
        </w:rPr>
        <w:t xml:space="preserve"> and it would not be an adventurous</w:t>
      </w:r>
      <w:r w:rsidR="00C10D13">
        <w:rPr>
          <w:lang w:bidi="he-IL"/>
        </w:rPr>
        <w:t xml:space="preserve"> inference to think that they do, too—or at least live there in the same sense as all other peoples. And Midian, </w:t>
      </w:r>
      <w:r w:rsidR="00F17C42">
        <w:rPr>
          <w:lang w:bidi="he-IL"/>
        </w:rPr>
        <w:t>Ephah, and Sheba, along with Ishm</w:t>
      </w:r>
      <w:r w:rsidR="00C10D13">
        <w:rPr>
          <w:lang w:bidi="he-IL"/>
        </w:rPr>
        <w:t xml:space="preserve">ael’s two oldest sons </w:t>
      </w:r>
      <w:r w:rsidR="00AC3BD6">
        <w:rPr>
          <w:lang w:bidi="he-IL"/>
        </w:rPr>
        <w:t>Nebayot and Qedar</w:t>
      </w:r>
      <w:r w:rsidR="00F17C42">
        <w:rPr>
          <w:lang w:bidi="he-IL"/>
        </w:rPr>
        <w:t xml:space="preserve"> (v. 13), reappear in Isa 60:6-7 proclaiming Yahweh’s praise and bringing the fruit of the spice trade to the worship of Jerusalem.</w:t>
      </w:r>
      <w:r w:rsidR="00F658CB">
        <w:rPr>
          <w:lang w:bidi="he-IL"/>
        </w:rPr>
        <w:t xml:space="preserve"> </w:t>
      </w:r>
      <w:r w:rsidR="00F658CB">
        <w:rPr>
          <w:i/>
          <w:lang w:bidi="he-IL"/>
        </w:rPr>
        <w:t xml:space="preserve">Jub </w:t>
      </w:r>
      <w:r w:rsidR="00F658CB">
        <w:rPr>
          <w:lang w:bidi="he-IL"/>
        </w:rPr>
        <w:t>20 has Abraham pr</w:t>
      </w:r>
      <w:r w:rsidR="00D97618">
        <w:rPr>
          <w:lang w:bidi="he-IL"/>
        </w:rPr>
        <w:t xml:space="preserve">eaching a substantial farewell </w:t>
      </w:r>
      <w:r w:rsidR="00F658CB">
        <w:rPr>
          <w:lang w:bidi="he-IL"/>
        </w:rPr>
        <w:t>sermon to them with encouragements and exhortations</w:t>
      </w:r>
      <w:r w:rsidR="00D97618">
        <w:rPr>
          <w:lang w:bidi="he-IL"/>
        </w:rPr>
        <w:t xml:space="preserve"> (he goes on to preach an even more substantial one to Isaac)</w:t>
      </w:r>
      <w:r w:rsidR="00F658CB">
        <w:rPr>
          <w:lang w:bidi="he-IL"/>
        </w:rPr>
        <w:t>.</w:t>
      </w:r>
      <w:r w:rsidR="00F17C42">
        <w:rPr>
          <w:lang w:bidi="he-IL"/>
        </w:rPr>
        <w:t xml:space="preserve"> </w:t>
      </w:r>
      <w:r w:rsidR="008A51DD">
        <w:rPr>
          <w:lang w:bidi="he-IL"/>
        </w:rPr>
        <w:t>“T</w:t>
      </w:r>
      <w:r w:rsidR="0020723E">
        <w:rPr>
          <w:lang w:bidi="he-IL"/>
        </w:rPr>
        <w:t>hese sons were sent away that there might be a true home, in the end</w:t>
      </w:r>
      <w:r w:rsidR="00F17C42">
        <w:rPr>
          <w:lang w:bidi="he-IL"/>
        </w:rPr>
        <w:t>, to return to</w:t>
      </w:r>
      <w:r w:rsidR="0020723E">
        <w:rPr>
          <w:lang w:bidi="he-IL"/>
        </w:rPr>
        <w:t>.</w:t>
      </w:r>
      <w:r w:rsidR="00F17C42">
        <w:rPr>
          <w:lang w:bidi="he-IL"/>
        </w:rPr>
        <w:t>”</w:t>
      </w:r>
      <w:r w:rsidR="0020723E">
        <w:rPr>
          <w:rStyle w:val="FootnoteReference"/>
          <w:lang w:bidi="he-IL"/>
        </w:rPr>
        <w:footnoteReference w:id="859"/>
      </w:r>
    </w:p>
    <w:p w14:paraId="0C3BE296" w14:textId="3E7F2681" w:rsidR="00FD1E30" w:rsidRDefault="001B061D" w:rsidP="00140874">
      <w:pPr>
        <w:rPr>
          <w:lang w:bidi="he-IL"/>
        </w:rPr>
      </w:pPr>
      <w:r>
        <w:rPr>
          <w:b/>
          <w:lang w:bidi="he-IL"/>
        </w:rPr>
        <w:t>25:7-11</w:t>
      </w:r>
      <w:r w:rsidR="00F17C42">
        <w:rPr>
          <w:lang w:bidi="he-IL"/>
        </w:rPr>
        <w:t xml:space="preserve">. </w:t>
      </w:r>
      <w:r>
        <w:rPr>
          <w:lang w:bidi="he-IL"/>
        </w:rPr>
        <w:t>Genesis gives a full description</w:t>
      </w:r>
      <w:r w:rsidR="00F17C42">
        <w:rPr>
          <w:lang w:bidi="he-IL"/>
        </w:rPr>
        <w:t xml:space="preserve"> of Abraham’s dying</w:t>
      </w:r>
      <w:r>
        <w:rPr>
          <w:lang w:bidi="he-IL"/>
        </w:rPr>
        <w:t xml:space="preserve">. Observably, death means </w:t>
      </w:r>
      <w:r w:rsidR="00F17C42">
        <w:rPr>
          <w:lang w:bidi="he-IL"/>
        </w:rPr>
        <w:t>stopping</w:t>
      </w:r>
      <w:r>
        <w:rPr>
          <w:lang w:bidi="he-IL"/>
        </w:rPr>
        <w:t xml:space="preserve"> breathing</w:t>
      </w:r>
      <w:r w:rsidR="00F17C42">
        <w:rPr>
          <w:lang w:bidi="he-IL"/>
        </w:rPr>
        <w:t xml:space="preserve">, expiring, breathing out for the last time and not breathing in again. </w:t>
      </w:r>
      <w:r w:rsidR="00686917" w:rsidRPr="00686917">
        <w:rPr>
          <w:lang w:bidi="he-IL"/>
        </w:rPr>
        <w:t>Whenever the Torah uses this verb, it refers to “an easy, painless kind of death not preceded by lengthy illness.”</w:t>
      </w:r>
      <w:r w:rsidR="00686917" w:rsidRPr="00686917">
        <w:rPr>
          <w:vertAlign w:val="superscript"/>
          <w:lang w:bidi="he-IL"/>
        </w:rPr>
        <w:footnoteReference w:id="860"/>
      </w:r>
      <w:r w:rsidR="00686917">
        <w:rPr>
          <w:lang w:bidi="he-IL"/>
        </w:rPr>
        <w:t xml:space="preserve"> </w:t>
      </w:r>
      <w:r w:rsidR="00F17C42">
        <w:rPr>
          <w:lang w:bidi="he-IL"/>
        </w:rPr>
        <w:t>In Abraham’s</w:t>
      </w:r>
      <w:r>
        <w:rPr>
          <w:lang w:bidi="he-IL"/>
        </w:rPr>
        <w:t xml:space="preserve"> case, after these 175 years (let us think in our terms of</w:t>
      </w:r>
      <w:r w:rsidR="00F17C42">
        <w:rPr>
          <w:lang w:bidi="he-IL"/>
        </w:rPr>
        <w:t xml:space="preserve"> 95), he died</w:t>
      </w:r>
      <w:r>
        <w:rPr>
          <w:lang w:bidi="he-IL"/>
        </w:rPr>
        <w:t xml:space="preserve"> at a good age. He was old and full. He had lived as long</w:t>
      </w:r>
      <w:r w:rsidR="00F17C42">
        <w:rPr>
          <w:lang w:bidi="he-IL"/>
        </w:rPr>
        <w:t xml:space="preserve"> as one could imagine or hope. And i</w:t>
      </w:r>
      <w:r>
        <w:rPr>
          <w:lang w:bidi="he-IL"/>
        </w:rPr>
        <w:t xml:space="preserve">t was enough. It was time to join </w:t>
      </w:r>
      <w:r w:rsidR="00D85BCC">
        <w:rPr>
          <w:lang w:bidi="he-IL"/>
        </w:rPr>
        <w:t xml:space="preserve">his people or his kin, </w:t>
      </w:r>
      <w:r>
        <w:rPr>
          <w:lang w:bidi="he-IL"/>
        </w:rPr>
        <w:t>the members of the family who had passed</w:t>
      </w:r>
      <w:r w:rsidR="001F7480">
        <w:rPr>
          <w:lang w:bidi="he-IL"/>
        </w:rPr>
        <w:t xml:space="preserve">. </w:t>
      </w:r>
      <w:r w:rsidR="00C26527">
        <w:rPr>
          <w:lang w:bidi="he-IL"/>
        </w:rPr>
        <w:t>He was not “in bondage to the desire of life.”</w:t>
      </w:r>
      <w:r w:rsidR="00C26527">
        <w:rPr>
          <w:rStyle w:val="FootnoteReference"/>
          <w:lang w:bidi="he-IL"/>
        </w:rPr>
        <w:footnoteReference w:id="861"/>
      </w:r>
      <w:r w:rsidR="00C26527">
        <w:rPr>
          <w:lang w:bidi="he-IL"/>
        </w:rPr>
        <w:t xml:space="preserve"> </w:t>
      </w:r>
      <w:r w:rsidR="008A51DD">
        <w:rPr>
          <w:lang w:bidi="he-IL"/>
        </w:rPr>
        <w:t>Literally and p</w:t>
      </w:r>
      <w:r w:rsidR="00D85BCC">
        <w:rPr>
          <w:lang w:bidi="he-IL"/>
        </w:rPr>
        <w:t>hysically Abraham joined</w:t>
      </w:r>
      <w:r w:rsidR="00D64820">
        <w:rPr>
          <w:lang w:bidi="he-IL"/>
        </w:rPr>
        <w:t xml:space="preserve"> Sarah; while he would indeed be</w:t>
      </w:r>
      <w:r w:rsidR="001F7480">
        <w:rPr>
          <w:lang w:bidi="he-IL"/>
        </w:rPr>
        <w:t xml:space="preserve"> join</w:t>
      </w:r>
      <w:r w:rsidR="00F17C42">
        <w:rPr>
          <w:lang w:bidi="he-IL"/>
        </w:rPr>
        <w:t xml:space="preserve">ing his </w:t>
      </w:r>
      <w:r w:rsidR="008A51DD">
        <w:rPr>
          <w:lang w:bidi="he-IL"/>
        </w:rPr>
        <w:t xml:space="preserve">other </w:t>
      </w:r>
      <w:r w:rsidR="00F17C42">
        <w:rPr>
          <w:lang w:bidi="he-IL"/>
        </w:rPr>
        <w:t>relatives</w:t>
      </w:r>
      <w:r w:rsidR="001F7480">
        <w:rPr>
          <w:lang w:bidi="he-IL"/>
        </w:rPr>
        <w:t xml:space="preserve"> </w:t>
      </w:r>
      <w:r w:rsidR="00064DD8">
        <w:rPr>
          <w:lang w:bidi="he-IL"/>
        </w:rPr>
        <w:t>in Sheol</w:t>
      </w:r>
      <w:r w:rsidR="00D64820">
        <w:rPr>
          <w:lang w:bidi="he-IL"/>
        </w:rPr>
        <w:t>, they had been buried elsewhere not in the family tomb, and Genesis is</w:t>
      </w:r>
      <w:r w:rsidR="001F7480">
        <w:rPr>
          <w:lang w:bidi="he-IL"/>
        </w:rPr>
        <w:t xml:space="preserve"> using the </w:t>
      </w:r>
      <w:r w:rsidR="00F17C42">
        <w:rPr>
          <w:lang w:bidi="he-IL"/>
        </w:rPr>
        <w:t xml:space="preserve">regular </w:t>
      </w:r>
      <w:r w:rsidR="001F7480">
        <w:rPr>
          <w:lang w:bidi="he-IL"/>
        </w:rPr>
        <w:t>term</w:t>
      </w:r>
      <w:r w:rsidR="00F17C42">
        <w:rPr>
          <w:lang w:bidi="he-IL"/>
        </w:rPr>
        <w:t xml:space="preserve">inology in a loose, metaphorical </w:t>
      </w:r>
      <w:r w:rsidR="001F7480">
        <w:rPr>
          <w:lang w:bidi="he-IL"/>
        </w:rPr>
        <w:t>sense</w:t>
      </w:r>
      <w:r w:rsidR="00F17C42">
        <w:rPr>
          <w:lang w:bidi="he-IL"/>
        </w:rPr>
        <w:t>,</w:t>
      </w:r>
      <w:r w:rsidR="001F7480">
        <w:rPr>
          <w:rStyle w:val="FootnoteReference"/>
          <w:lang w:bidi="he-IL"/>
        </w:rPr>
        <w:footnoteReference w:id="862"/>
      </w:r>
      <w:r w:rsidR="001A6084">
        <w:rPr>
          <w:lang w:bidi="he-IL"/>
        </w:rPr>
        <w:t xml:space="preserve"> </w:t>
      </w:r>
      <w:r w:rsidR="00F17C42">
        <w:rPr>
          <w:lang w:bidi="he-IL"/>
        </w:rPr>
        <w:t xml:space="preserve">as if he were in the position of </w:t>
      </w:r>
      <w:r w:rsidR="001F7480">
        <w:rPr>
          <w:lang w:bidi="he-IL"/>
        </w:rPr>
        <w:t xml:space="preserve">people </w:t>
      </w:r>
      <w:r w:rsidR="00F17C42">
        <w:rPr>
          <w:lang w:bidi="he-IL"/>
        </w:rPr>
        <w:t>who do</w:t>
      </w:r>
      <w:r w:rsidR="000A4496">
        <w:rPr>
          <w:lang w:bidi="he-IL"/>
        </w:rPr>
        <w:t xml:space="preserve"> </w:t>
      </w:r>
      <w:r w:rsidR="001F7480">
        <w:rPr>
          <w:lang w:bidi="he-IL"/>
        </w:rPr>
        <w:t xml:space="preserve">join their family </w:t>
      </w:r>
      <w:r w:rsidR="00F17C42">
        <w:rPr>
          <w:lang w:bidi="he-IL"/>
        </w:rPr>
        <w:t>in the family tomb</w:t>
      </w:r>
      <w:r>
        <w:rPr>
          <w:lang w:bidi="he-IL"/>
        </w:rPr>
        <w:t xml:space="preserve">. </w:t>
      </w:r>
      <w:r w:rsidR="001A6084">
        <w:rPr>
          <w:lang w:bidi="he-IL"/>
        </w:rPr>
        <w:t>As far as the living are concer</w:t>
      </w:r>
      <w:r w:rsidR="00C26527">
        <w:rPr>
          <w:lang w:bidi="he-IL"/>
        </w:rPr>
        <w:t xml:space="preserve">ned, </w:t>
      </w:r>
      <w:r w:rsidR="00686917">
        <w:rPr>
          <w:lang w:bidi="he-IL"/>
        </w:rPr>
        <w:t xml:space="preserve">metaphorically and theologically speaking </w:t>
      </w:r>
      <w:r w:rsidR="00C26527">
        <w:rPr>
          <w:lang w:bidi="he-IL"/>
        </w:rPr>
        <w:t>“they belong to the ancest</w:t>
      </w:r>
      <w:r w:rsidR="001A6084">
        <w:rPr>
          <w:lang w:bidi="he-IL"/>
        </w:rPr>
        <w:t>ors who have gone before and whose memory is preserved.”</w:t>
      </w:r>
      <w:r w:rsidR="001A6084">
        <w:rPr>
          <w:rStyle w:val="FootnoteReference"/>
          <w:lang w:bidi="he-IL"/>
        </w:rPr>
        <w:footnoteReference w:id="863"/>
      </w:r>
      <w:r w:rsidR="001A6084">
        <w:rPr>
          <w:lang w:bidi="he-IL"/>
        </w:rPr>
        <w:t xml:space="preserve"> </w:t>
      </w:r>
      <w:r w:rsidR="008B2A8E">
        <w:rPr>
          <w:lang w:bidi="he-IL"/>
        </w:rPr>
        <w:t>The expression “his kin” uses the plural of the word for a people</w:t>
      </w:r>
      <w:r w:rsidR="00D85BCC">
        <w:rPr>
          <w:lang w:bidi="he-IL"/>
        </w:rPr>
        <w:t xml:space="preserve"> (‘</w:t>
      </w:r>
      <w:r w:rsidR="00D85BCC" w:rsidRPr="00D85BCC">
        <w:rPr>
          <w:i/>
          <w:lang w:bidi="he-IL"/>
        </w:rPr>
        <w:t>am</w:t>
      </w:r>
      <w:r w:rsidR="00D85BCC">
        <w:rPr>
          <w:lang w:bidi="he-IL"/>
        </w:rPr>
        <w:t>)</w:t>
      </w:r>
      <w:r w:rsidR="008B2A8E">
        <w:rPr>
          <w:lang w:bidi="he-IL"/>
        </w:rPr>
        <w:t>, which</w:t>
      </w:r>
      <w:r w:rsidR="00D85BCC">
        <w:rPr>
          <w:lang w:bidi="he-IL"/>
        </w:rPr>
        <w:t xml:space="preserve"> invites the audience to reflect on the fact that Abraham is actually joining “his peop</w:t>
      </w:r>
      <w:r w:rsidR="008B2A8E">
        <w:rPr>
          <w:lang w:bidi="he-IL"/>
        </w:rPr>
        <w:t>le” and not merely his immediate kin</w:t>
      </w:r>
      <w:r w:rsidR="00D85BCC">
        <w:rPr>
          <w:lang w:bidi="he-IL"/>
        </w:rPr>
        <w:t xml:space="preserve">; “his people” was the covenant people in 17:14. </w:t>
      </w:r>
      <w:r w:rsidR="00686917" w:rsidRPr="00D85BCC">
        <w:rPr>
          <w:lang w:bidi="he-IL"/>
        </w:rPr>
        <w:t>Typically</w:t>
      </w:r>
      <w:r w:rsidR="00686917">
        <w:rPr>
          <w:lang w:bidi="he-IL"/>
        </w:rPr>
        <w:t xml:space="preserve"> for</w:t>
      </w:r>
      <w:r>
        <w:rPr>
          <w:lang w:bidi="he-IL"/>
        </w:rPr>
        <w:t xml:space="preserve"> Genesis, </w:t>
      </w:r>
      <w:r w:rsidR="00686917" w:rsidRPr="00686917">
        <w:rPr>
          <w:lang w:bidi="he-IL"/>
        </w:rPr>
        <w:t xml:space="preserve">if you have lived a full life </w:t>
      </w:r>
      <w:r>
        <w:rPr>
          <w:lang w:bidi="he-IL"/>
        </w:rPr>
        <w:t>there</w:t>
      </w:r>
      <w:r w:rsidR="00686917">
        <w:rPr>
          <w:lang w:bidi="he-IL"/>
        </w:rPr>
        <w:t xml:space="preserve"> is no sense of there being a</w:t>
      </w:r>
      <w:r>
        <w:rPr>
          <w:lang w:bidi="he-IL"/>
        </w:rPr>
        <w:t xml:space="preserve"> problem about dying </w:t>
      </w:r>
      <w:r w:rsidR="001F7480">
        <w:rPr>
          <w:lang w:bidi="he-IL"/>
        </w:rPr>
        <w:t xml:space="preserve">and </w:t>
      </w:r>
      <w:r w:rsidR="00686917">
        <w:rPr>
          <w:lang w:bidi="he-IL"/>
        </w:rPr>
        <w:t>about this joining</w:t>
      </w:r>
      <w:r>
        <w:rPr>
          <w:lang w:bidi="he-IL"/>
        </w:rPr>
        <w:t>.</w:t>
      </w:r>
      <w:r w:rsidR="00686917">
        <w:rPr>
          <w:lang w:bidi="he-IL"/>
        </w:rPr>
        <w:t xml:space="preserve"> Living </w:t>
      </w:r>
      <w:r w:rsidR="000A4496">
        <w:rPr>
          <w:lang w:bidi="he-IL"/>
        </w:rPr>
        <w:t>means enjoying the company</w:t>
      </w:r>
      <w:r w:rsidR="00686917">
        <w:rPr>
          <w:lang w:bidi="he-IL"/>
        </w:rPr>
        <w:t xml:space="preserve"> of one set of family members; death</w:t>
      </w:r>
      <w:r w:rsidR="000A4496">
        <w:rPr>
          <w:lang w:bidi="he-IL"/>
        </w:rPr>
        <w:t xml:space="preserve"> means moving to enjoy the company of</w:t>
      </w:r>
      <w:r w:rsidR="00686917">
        <w:rPr>
          <w:lang w:bidi="he-IL"/>
        </w:rPr>
        <w:t xml:space="preserve"> an earlier set</w:t>
      </w:r>
      <w:r w:rsidR="008A51DD">
        <w:rPr>
          <w:lang w:bidi="he-IL"/>
        </w:rPr>
        <w:t xml:space="preserve"> in relaxed fashion</w:t>
      </w:r>
      <w:r w:rsidR="00686917">
        <w:rPr>
          <w:lang w:bidi="he-IL"/>
        </w:rPr>
        <w:t>. And</w:t>
      </w:r>
      <w:r w:rsidR="009F40B7">
        <w:rPr>
          <w:lang w:bidi="he-IL"/>
        </w:rPr>
        <w:t xml:space="preserve"> if Yahweh is the God of Abraham</w:t>
      </w:r>
      <w:r w:rsidR="00686917">
        <w:rPr>
          <w:lang w:bidi="he-IL"/>
        </w:rPr>
        <w:t xml:space="preserve"> (Jesus argues)</w:t>
      </w:r>
      <w:r w:rsidR="009F40B7">
        <w:rPr>
          <w:lang w:bidi="he-IL"/>
        </w:rPr>
        <w:t>, he is not God of the dead but of the living (Mark 12:26-27), so Abraham’s life is by no means over.</w:t>
      </w:r>
      <w:r w:rsidR="009F40B7">
        <w:rPr>
          <w:rStyle w:val="FootnoteReference"/>
          <w:lang w:bidi="he-IL"/>
        </w:rPr>
        <w:footnoteReference w:id="864"/>
      </w:r>
    </w:p>
    <w:p w14:paraId="70703C80" w14:textId="77777777" w:rsidR="001B061D" w:rsidRDefault="00686917" w:rsidP="00140874">
      <w:pPr>
        <w:rPr>
          <w:lang w:bidi="he-IL"/>
        </w:rPr>
      </w:pPr>
      <w:r>
        <w:rPr>
          <w:lang w:bidi="he-IL"/>
        </w:rPr>
        <w:t>Neatly,</w:t>
      </w:r>
      <w:r w:rsidR="001B061D">
        <w:rPr>
          <w:lang w:bidi="he-IL"/>
        </w:rPr>
        <w:t xml:space="preserve"> Isaac and I</w:t>
      </w:r>
      <w:r w:rsidR="004974DB">
        <w:rPr>
          <w:lang w:bidi="he-IL"/>
        </w:rPr>
        <w:t xml:space="preserve">shmael come together to bury their father (vv. 9-10). </w:t>
      </w:r>
      <w:r w:rsidR="00AC3BD6" w:rsidRPr="00AC3BD6">
        <w:rPr>
          <w:lang w:bidi="he-IL"/>
        </w:rPr>
        <w:t>“In this scene, fulfillment of the covenant promise is momentarily foreshadowed.”</w:t>
      </w:r>
      <w:r w:rsidR="00AC3BD6" w:rsidRPr="00AC3BD6">
        <w:rPr>
          <w:vertAlign w:val="superscript"/>
          <w:lang w:bidi="he-IL"/>
        </w:rPr>
        <w:footnoteReference w:id="865"/>
      </w:r>
      <w:r w:rsidR="00AC3BD6">
        <w:rPr>
          <w:lang w:bidi="he-IL"/>
        </w:rPr>
        <w:t xml:space="preserve"> </w:t>
      </w:r>
      <w:r w:rsidR="004974DB">
        <w:rPr>
          <w:lang w:bidi="he-IL"/>
        </w:rPr>
        <w:t>Although there is some sense in which Ishmael has been sent away years previously, he has evidently not been sent a</w:t>
      </w:r>
      <w:r>
        <w:rPr>
          <w:lang w:bidi="he-IL"/>
        </w:rPr>
        <w:t>way too</w:t>
      </w:r>
      <w:r w:rsidR="004974DB">
        <w:rPr>
          <w:lang w:bidi="he-IL"/>
        </w:rPr>
        <w:t xml:space="preserve"> definitively </w:t>
      </w:r>
      <w:r>
        <w:rPr>
          <w:lang w:bidi="he-IL"/>
        </w:rPr>
        <w:t>(any more than</w:t>
      </w:r>
      <w:r w:rsidR="004974DB">
        <w:rPr>
          <w:lang w:bidi="he-IL"/>
        </w:rPr>
        <w:t xml:space="preserve"> Qeturah’s sons</w:t>
      </w:r>
      <w:r>
        <w:rPr>
          <w:lang w:bidi="he-IL"/>
        </w:rPr>
        <w:t>), though in any case, a</w:t>
      </w:r>
      <w:r w:rsidR="004974DB">
        <w:rPr>
          <w:lang w:bidi="he-IL"/>
        </w:rPr>
        <w:t xml:space="preserve"> special significan</w:t>
      </w:r>
      <w:r w:rsidR="008A51DD">
        <w:rPr>
          <w:lang w:bidi="he-IL"/>
        </w:rPr>
        <w:t>ce attaches</w:t>
      </w:r>
      <w:r w:rsidR="00AC3BD6">
        <w:rPr>
          <w:lang w:bidi="he-IL"/>
        </w:rPr>
        <w:t xml:space="preserve"> to him. </w:t>
      </w:r>
      <w:r w:rsidR="00A11428">
        <w:rPr>
          <w:lang w:bidi="he-IL"/>
        </w:rPr>
        <w:t>The bareness of the comment about Isaac and Ishmael might make one wonder what kind o</w:t>
      </w:r>
      <w:r w:rsidR="008A51DD">
        <w:rPr>
          <w:lang w:bidi="he-IL"/>
        </w:rPr>
        <w:t>f collaboration this burying involved; funerals can</w:t>
      </w:r>
      <w:r w:rsidR="00A11428">
        <w:rPr>
          <w:lang w:bidi="he-IL"/>
        </w:rPr>
        <w:t xml:space="preserve"> be occasions for reopening wounds, and Genesis does not relate a reconciliation </w:t>
      </w:r>
      <w:r w:rsidR="00A11428">
        <w:rPr>
          <w:lang w:bidi="he-IL"/>
        </w:rPr>
        <w:lastRenderedPageBreak/>
        <w:t>between the brothers like the one between Jacob and Esau or Joseph and his brothers.</w:t>
      </w:r>
      <w:r w:rsidR="00A11428">
        <w:rPr>
          <w:rStyle w:val="FootnoteReference"/>
          <w:lang w:bidi="he-IL"/>
        </w:rPr>
        <w:footnoteReference w:id="866"/>
      </w:r>
      <w:r w:rsidR="00A11428">
        <w:rPr>
          <w:lang w:bidi="he-IL"/>
        </w:rPr>
        <w:t xml:space="preserve"> But then, Isaac and Ishmael had never had a fight. Their problem was their parents….</w:t>
      </w:r>
    </w:p>
    <w:p w14:paraId="1CCDFA8E" w14:textId="77777777" w:rsidR="004974DB" w:rsidRDefault="00AC3BD6" w:rsidP="00140874">
      <w:pPr>
        <w:rPr>
          <w:lang w:bidi="he-IL"/>
        </w:rPr>
      </w:pPr>
      <w:r>
        <w:rPr>
          <w:lang w:bidi="he-IL"/>
        </w:rPr>
        <w:t>F</w:t>
      </w:r>
      <w:r w:rsidR="004974DB">
        <w:rPr>
          <w:lang w:bidi="he-IL"/>
        </w:rPr>
        <w:t xml:space="preserve">or a moment Genesis </w:t>
      </w:r>
      <w:r>
        <w:rPr>
          <w:lang w:bidi="he-IL"/>
        </w:rPr>
        <w:t xml:space="preserve">then </w:t>
      </w:r>
      <w:r w:rsidR="004974DB">
        <w:rPr>
          <w:lang w:bidi="he-IL"/>
        </w:rPr>
        <w:t xml:space="preserve">returns to focus on Isaac (v. 11), in case we think that Ishmael has the same status as his brother. Yet paradoxically, Isaac is still based near the well associated with Hagar </w:t>
      </w:r>
      <w:r w:rsidR="00726AEB">
        <w:rPr>
          <w:lang w:bidi="he-IL"/>
        </w:rPr>
        <w:t xml:space="preserve">and thus with his older brother </w:t>
      </w:r>
      <w:r w:rsidR="004974DB">
        <w:rPr>
          <w:lang w:bidi="he-IL"/>
        </w:rPr>
        <w:t>(cf. 24:62).</w:t>
      </w:r>
      <w:r w:rsidR="00960250">
        <w:rPr>
          <w:lang w:bidi="he-IL"/>
        </w:rPr>
        <w:t xml:space="preserve"> The Abraham story closes with God’s blessing of Isaac, which indicates the history of the blessing is not coming to an end: “this history has future and hope.”</w:t>
      </w:r>
      <w:r w:rsidR="00960250">
        <w:rPr>
          <w:rStyle w:val="FootnoteReference"/>
          <w:lang w:bidi="he-IL"/>
        </w:rPr>
        <w:footnoteReference w:id="867"/>
      </w:r>
    </w:p>
    <w:sectPr w:rsidR="004974DB" w:rsidSect="00706F8B">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501DD" w14:textId="77777777" w:rsidR="000438B1" w:rsidRDefault="000438B1" w:rsidP="00DA695A">
      <w:r>
        <w:separator/>
      </w:r>
    </w:p>
  </w:endnote>
  <w:endnote w:type="continuationSeparator" w:id="0">
    <w:p w14:paraId="3D851287" w14:textId="77777777" w:rsidR="000438B1" w:rsidRDefault="000438B1" w:rsidP="00DA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2883" w:usb1="00000000" w:usb2="00000000" w:usb3="00000000" w:csb0="00000069" w:csb1="00000000"/>
  </w:font>
  <w:font w:name="TimesNewRomanPSMT">
    <w:altName w:val="Yu Gothic UI"/>
    <w:panose1 w:val="00000000000000000000"/>
    <w:charset w:val="80"/>
    <w:family w:val="roman"/>
    <w:notTrueType/>
    <w:pitch w:val="default"/>
    <w:sig w:usb0="00002083" w:usb1="08070000" w:usb2="00000010" w:usb3="00000000" w:csb0="00020049" w:csb1="00000000"/>
  </w:font>
  <w:font w:name="Courier">
    <w:panose1 w:val="02070409020205020404"/>
    <w:charset w:val="00"/>
    <w:family w:val="modern"/>
    <w:notTrueType/>
    <w:pitch w:val="fixed"/>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Brill-Bold">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swiss"/>
    <w:notTrueType/>
    <w:pitch w:val="default"/>
    <w:sig w:usb0="00000003" w:usb1="00000000" w:usb2="00000000" w:usb3="00000000" w:csb0="00000001" w:csb1="00000000"/>
  </w:font>
  <w:font w:name="BFIKM H+ Times Eis">
    <w:altName w:val="Times Ei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967AD" w14:textId="77777777" w:rsidR="000438B1" w:rsidRDefault="000438B1">
    <w:pPr>
      <w:pStyle w:val="Footer"/>
    </w:pPr>
  </w:p>
  <w:p w14:paraId="017B3C68" w14:textId="77777777" w:rsidR="000438B1" w:rsidRDefault="00043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C5ECF" w14:textId="77777777" w:rsidR="000438B1" w:rsidRDefault="000438B1" w:rsidP="00DA695A">
      <w:r>
        <w:separator/>
      </w:r>
    </w:p>
  </w:footnote>
  <w:footnote w:type="continuationSeparator" w:id="0">
    <w:p w14:paraId="3F5C7733" w14:textId="77777777" w:rsidR="000438B1" w:rsidRDefault="000438B1" w:rsidP="00DA695A">
      <w:r>
        <w:continuationSeparator/>
      </w:r>
    </w:p>
  </w:footnote>
  <w:footnote w:id="1">
    <w:p w14:paraId="28178C93" w14:textId="77777777" w:rsidR="000438B1" w:rsidRPr="00BA29BE" w:rsidRDefault="000438B1">
      <w:pPr>
        <w:pStyle w:val="FootnoteText"/>
      </w:pPr>
      <w:r>
        <w:rPr>
          <w:rStyle w:val="FootnoteReference"/>
        </w:rPr>
        <w:footnoteRef/>
      </w:r>
      <w:r>
        <w:t xml:space="preserve"> Brueggemann, </w:t>
      </w:r>
      <w:r>
        <w:rPr>
          <w:i/>
        </w:rPr>
        <w:t>Genesis</w:t>
      </w:r>
      <w:r>
        <w:t xml:space="preserve">, 96, 105. </w:t>
      </w:r>
    </w:p>
  </w:footnote>
  <w:footnote w:id="2">
    <w:p w14:paraId="2A78A93D" w14:textId="77777777" w:rsidR="000438B1" w:rsidRPr="00FF06D6" w:rsidRDefault="000438B1">
      <w:pPr>
        <w:pStyle w:val="FootnoteText"/>
      </w:pPr>
      <w:r>
        <w:rPr>
          <w:rStyle w:val="FootnoteReference"/>
        </w:rPr>
        <w:footnoteRef/>
      </w:r>
      <w:r>
        <w:t xml:space="preserve"> Sarna, </w:t>
      </w:r>
      <w:r>
        <w:rPr>
          <w:i/>
        </w:rPr>
        <w:t>Genesis</w:t>
      </w:r>
      <w:r>
        <w:t>, 86-87.</w:t>
      </w:r>
    </w:p>
  </w:footnote>
  <w:footnote w:id="3">
    <w:p w14:paraId="720147B9" w14:textId="77777777" w:rsidR="000438B1" w:rsidRPr="00342006" w:rsidRDefault="000438B1" w:rsidP="0037287A">
      <w:pPr>
        <w:pStyle w:val="FootnoteText"/>
        <w:rPr>
          <w:i/>
        </w:rPr>
      </w:pPr>
      <w:r>
        <w:rPr>
          <w:rStyle w:val="FootnoteReference"/>
        </w:rPr>
        <w:footnoteRef/>
      </w:r>
      <w:r>
        <w:t xml:space="preserve"> Levenson, </w:t>
      </w:r>
      <w:r>
        <w:rPr>
          <w:i/>
        </w:rPr>
        <w:t>Inheriting Abraham</w:t>
      </w:r>
      <w:r>
        <w:t>,</w:t>
      </w:r>
      <w:r>
        <w:rPr>
          <w:i/>
        </w:rPr>
        <w:t xml:space="preserve"> </w:t>
      </w:r>
      <w:r>
        <w:t>20</w:t>
      </w:r>
      <w:r>
        <w:rPr>
          <w:i/>
        </w:rPr>
        <w:t>.</w:t>
      </w:r>
    </w:p>
  </w:footnote>
  <w:footnote w:id="4">
    <w:p w14:paraId="362977BF" w14:textId="77777777" w:rsidR="000438B1" w:rsidRPr="00382B2C" w:rsidRDefault="000438B1" w:rsidP="0037287A">
      <w:pPr>
        <w:pStyle w:val="FootnoteText"/>
      </w:pPr>
      <w:r>
        <w:rPr>
          <w:rStyle w:val="FootnoteReference"/>
        </w:rPr>
        <w:footnoteRef/>
      </w:r>
      <w:r>
        <w:t xml:space="preserve"> Reno, </w:t>
      </w:r>
      <w:r>
        <w:rPr>
          <w:i/>
        </w:rPr>
        <w:t>Genesis</w:t>
      </w:r>
      <w:r>
        <w:t>, 137, 138.</w:t>
      </w:r>
    </w:p>
  </w:footnote>
  <w:footnote w:id="5">
    <w:p w14:paraId="6FE3B7D2" w14:textId="77777777" w:rsidR="000438B1" w:rsidRPr="0001624E" w:rsidRDefault="000438B1" w:rsidP="00151A03">
      <w:pPr>
        <w:pStyle w:val="FootnoteText"/>
      </w:pPr>
      <w:r>
        <w:rPr>
          <w:rStyle w:val="FootnoteReference"/>
        </w:rPr>
        <w:footnoteRef/>
      </w:r>
      <w:r>
        <w:t xml:space="preserve"> Barth, </w:t>
      </w:r>
      <w:r>
        <w:rPr>
          <w:i/>
        </w:rPr>
        <w:t xml:space="preserve">Dogmatics </w:t>
      </w:r>
      <w:r>
        <w:t xml:space="preserve">III, 1:62; and for what follows, the continuation of the chapter in Barth on “Creation, History and Creation History.” </w:t>
      </w:r>
    </w:p>
  </w:footnote>
  <w:footnote w:id="6">
    <w:p w14:paraId="0E0FE08A" w14:textId="77777777" w:rsidR="000438B1" w:rsidRDefault="000438B1">
      <w:pPr>
        <w:pStyle w:val="FootnoteText"/>
      </w:pPr>
      <w:r>
        <w:rPr>
          <w:rStyle w:val="FootnoteReference"/>
        </w:rPr>
        <w:footnoteRef/>
      </w:r>
      <w:r>
        <w:t xml:space="preserve"> Cf. Seebass, </w:t>
      </w:r>
      <w:r w:rsidRPr="00CD3E96">
        <w:rPr>
          <w:i/>
        </w:rPr>
        <w:t>Genesis</w:t>
      </w:r>
      <w:r>
        <w:t xml:space="preserve"> 2/1:1</w:t>
      </w:r>
    </w:p>
  </w:footnote>
  <w:footnote w:id="7">
    <w:p w14:paraId="16C67810" w14:textId="77777777" w:rsidR="000438B1" w:rsidRPr="005552C9" w:rsidRDefault="000438B1">
      <w:pPr>
        <w:pStyle w:val="FootnoteText"/>
      </w:pPr>
      <w:r>
        <w:rPr>
          <w:rStyle w:val="FootnoteReference"/>
        </w:rPr>
        <w:footnoteRef/>
      </w:r>
      <w:r>
        <w:t xml:space="preserve"> The </w:t>
      </w:r>
      <w:r>
        <w:rPr>
          <w:i/>
        </w:rPr>
        <w:t>w-</w:t>
      </w:r>
      <w:r>
        <w:t xml:space="preserve"> indicates that the section carries straight on from 11:10-26.</w:t>
      </w:r>
    </w:p>
  </w:footnote>
  <w:footnote w:id="8">
    <w:p w14:paraId="56F8CE5C" w14:textId="0B600A30" w:rsidR="000438B1" w:rsidRDefault="000438B1">
      <w:pPr>
        <w:pStyle w:val="FootnoteText"/>
      </w:pPr>
      <w:r>
        <w:rPr>
          <w:rStyle w:val="FootnoteReference"/>
        </w:rPr>
        <w:footnoteRef/>
      </w:r>
      <w:r>
        <w:t xml:space="preserve"> On </w:t>
      </w:r>
      <w:proofErr w:type="gramStart"/>
      <w:r>
        <w:t>Abra[</w:t>
      </w:r>
      <w:proofErr w:type="gramEnd"/>
      <w:r>
        <w:t>ha]m and Saray/Sarah’s names, see the comment on 17:5, 15.</w:t>
      </w:r>
    </w:p>
  </w:footnote>
  <w:footnote w:id="9">
    <w:p w14:paraId="22118361" w14:textId="018C4D7D" w:rsidR="000438B1" w:rsidRPr="00BA0DC0" w:rsidRDefault="000438B1" w:rsidP="00DA695A">
      <w:pPr>
        <w:pStyle w:val="FootnoteText"/>
      </w:pPr>
      <w:r>
        <w:rPr>
          <w:rStyle w:val="FootnoteReference"/>
        </w:rPr>
        <w:footnoteRef/>
      </w:r>
      <w:r>
        <w:t xml:space="preserve"> </w:t>
      </w:r>
      <w:r>
        <w:rPr>
          <w:i/>
        </w:rPr>
        <w:t>‘A</w:t>
      </w:r>
      <w:r w:rsidRPr="00096964">
        <w:rPr>
          <w:i/>
        </w:rPr>
        <w:t>l-pᵉnê</w:t>
      </w:r>
      <w:r w:rsidRPr="00096964">
        <w:t xml:space="preserve"> hardly </w:t>
      </w:r>
      <w:r>
        <w:t>means simply “</w:t>
      </w:r>
      <w:r w:rsidRPr="00096964">
        <w:t>before</w:t>
      </w:r>
      <w:r>
        <w:t>”</w:t>
      </w:r>
      <w:r w:rsidRPr="00096964">
        <w:t xml:space="preserve"> (Vg);</w:t>
      </w:r>
      <w:r>
        <w:t xml:space="preserve"> c</w:t>
      </w:r>
      <w:r w:rsidRPr="005552C9">
        <w:t xml:space="preserve">f. Dillmann, </w:t>
      </w:r>
      <w:r w:rsidRPr="005552C9">
        <w:rPr>
          <w:i/>
        </w:rPr>
        <w:t>Genesis</w:t>
      </w:r>
      <w:r>
        <w:t xml:space="preserve"> 1:406.</w:t>
      </w:r>
      <w:r w:rsidRPr="005552C9">
        <w:rPr>
          <w:i/>
        </w:rPr>
        <w:t xml:space="preserve"> </w:t>
      </w:r>
      <w:r>
        <w:t>C. W. Retief argues for “in the face of (in confrontation with)” (“</w:t>
      </w:r>
      <w:r w:rsidRPr="00BA0DC0">
        <w:rPr>
          <w:rFonts w:asciiTheme="minorHAnsi" w:eastAsiaTheme="minorHAnsi" w:hAnsiTheme="minorHAnsi" w:cs="Times-Bold"/>
          <w:bCs/>
          <w:lang w:bidi="ar-SA"/>
        </w:rPr>
        <w:t>When I</w:t>
      </w:r>
      <w:r>
        <w:rPr>
          <w:rFonts w:asciiTheme="minorHAnsi" w:eastAsiaTheme="minorHAnsi" w:hAnsiTheme="minorHAnsi" w:cs="Times-Bold"/>
          <w:bCs/>
          <w:lang w:bidi="ar-SA"/>
        </w:rPr>
        <w:t>nterpretation Traditions Speak T</w:t>
      </w:r>
      <w:r w:rsidRPr="00BA0DC0">
        <w:rPr>
          <w:rFonts w:asciiTheme="minorHAnsi" w:eastAsiaTheme="minorHAnsi" w:hAnsiTheme="minorHAnsi" w:cs="Times-Bold"/>
          <w:bCs/>
          <w:lang w:bidi="ar-SA"/>
        </w:rPr>
        <w:t>oo Loud</w:t>
      </w:r>
      <w:r>
        <w:rPr>
          <w:rFonts w:asciiTheme="minorHAnsi" w:eastAsiaTheme="minorHAnsi" w:hAnsiTheme="minorHAnsi" w:cs="Times-Bold"/>
          <w:bCs/>
          <w:lang w:bidi="ar-SA"/>
        </w:rPr>
        <w:t xml:space="preserve"> for Ethical Dilemmas to B</w:t>
      </w:r>
      <w:r w:rsidRPr="00BA0DC0">
        <w:rPr>
          <w:rFonts w:asciiTheme="minorHAnsi" w:eastAsiaTheme="minorHAnsi" w:hAnsiTheme="minorHAnsi" w:cs="Times-Bold"/>
          <w:bCs/>
          <w:lang w:bidi="ar-SA"/>
        </w:rPr>
        <w:t>e Heard</w:t>
      </w:r>
      <w:r>
        <w:rPr>
          <w:rFonts w:asciiTheme="minorHAnsi" w:eastAsiaTheme="minorHAnsi" w:hAnsiTheme="minorHAnsi" w:cs="Times-Bold"/>
          <w:bCs/>
          <w:lang w:bidi="ar-SA"/>
        </w:rPr>
        <w:t xml:space="preserve">,” </w:t>
      </w:r>
      <w:r>
        <w:rPr>
          <w:rFonts w:asciiTheme="minorHAnsi" w:eastAsiaTheme="minorHAnsi" w:hAnsiTheme="minorHAnsi" w:cs="Times-Bold"/>
          <w:bCs/>
          <w:i/>
          <w:lang w:bidi="ar-SA"/>
        </w:rPr>
        <w:t xml:space="preserve">OTE </w:t>
      </w:r>
      <w:r>
        <w:rPr>
          <w:rFonts w:asciiTheme="minorHAnsi" w:eastAsiaTheme="minorHAnsi" w:hAnsiTheme="minorHAnsi" w:cs="Times-Bold"/>
          <w:bCs/>
          <w:lang w:bidi="ar-SA"/>
        </w:rPr>
        <w:t>23 [2010]: 788-803).</w:t>
      </w:r>
    </w:p>
  </w:footnote>
  <w:footnote w:id="10">
    <w:p w14:paraId="14E9DF8E" w14:textId="4DCA974F" w:rsidR="000438B1" w:rsidRDefault="000438B1">
      <w:pPr>
        <w:pStyle w:val="FootnoteText"/>
      </w:pPr>
      <w:r>
        <w:rPr>
          <w:rStyle w:val="FootnoteReference"/>
        </w:rPr>
        <w:footnoteRef/>
      </w:r>
      <w:r>
        <w:t xml:space="preserve"> A homonym means flame or fire, not least an idol-maker’s fire or a persecutor’s fire (</w:t>
      </w:r>
      <w:r w:rsidRPr="000F052E">
        <w:t>e.g.,</w:t>
      </w:r>
      <w:r>
        <w:t xml:space="preserve"> Isa 31:9; 44:16; 47:14; 50:11), which encourages </w:t>
      </w:r>
      <w:r w:rsidRPr="000F052E">
        <w:t>t</w:t>
      </w:r>
      <w:r>
        <w:t>he development of a</w:t>
      </w:r>
      <w:r w:rsidRPr="000F052E">
        <w:t xml:space="preserve"> midrash </w:t>
      </w:r>
      <w:r>
        <w:t xml:space="preserve">about </w:t>
      </w:r>
      <w:r w:rsidRPr="000F052E">
        <w:t xml:space="preserve">Abraham </w:t>
      </w:r>
      <w:r>
        <w:t xml:space="preserve">being threatened by fire </w:t>
      </w:r>
      <w:r w:rsidRPr="000F052E">
        <w:t xml:space="preserve">at the hand of the Chaldeans </w:t>
      </w:r>
      <w:r>
        <w:t>and about Haran the idol-maker ending</w:t>
      </w:r>
      <w:r w:rsidRPr="000F052E">
        <w:t xml:space="preserve"> up in a fiery furnace</w:t>
      </w:r>
      <w:r w:rsidRPr="004E4865">
        <w:t xml:space="preserve"> (</w:t>
      </w:r>
      <w:r>
        <w:t xml:space="preserve">see e.g., </w:t>
      </w:r>
      <w:r>
        <w:rPr>
          <w:i/>
        </w:rPr>
        <w:t xml:space="preserve">Jub </w:t>
      </w:r>
      <w:r>
        <w:t xml:space="preserve">12; </w:t>
      </w:r>
      <w:r w:rsidRPr="004E4865">
        <w:t>Tg</w:t>
      </w:r>
      <w:r>
        <w:t>PsJ</w:t>
      </w:r>
      <w:r w:rsidRPr="004E4865">
        <w:t xml:space="preserve">; Rashi, </w:t>
      </w:r>
      <w:r w:rsidRPr="004E4865">
        <w:rPr>
          <w:i/>
        </w:rPr>
        <w:t>Br’šyt</w:t>
      </w:r>
      <w:r w:rsidRPr="004E4865">
        <w:t>,</w:t>
      </w:r>
      <w:r>
        <w:t xml:space="preserve"> 112).</w:t>
      </w:r>
    </w:p>
  </w:footnote>
  <w:footnote w:id="11">
    <w:p w14:paraId="6B3210B7" w14:textId="77777777" w:rsidR="000438B1" w:rsidRPr="00342AF5" w:rsidRDefault="000438B1" w:rsidP="00DA695A">
      <w:pPr>
        <w:pStyle w:val="FootnoteText"/>
      </w:pPr>
      <w:r>
        <w:rPr>
          <w:rStyle w:val="FootnoteReference"/>
        </w:rPr>
        <w:footnoteRef/>
      </w:r>
      <w:r>
        <w:t xml:space="preserve"> For </w:t>
      </w:r>
      <w:r>
        <w:rPr>
          <w:i/>
        </w:rPr>
        <w:t>kaśdîm</w:t>
      </w:r>
      <w:r>
        <w:t xml:space="preserve"> LXX has </w:t>
      </w:r>
      <w:r>
        <w:rPr>
          <w:i/>
        </w:rPr>
        <w:t>chaldaiōn</w:t>
      </w:r>
      <w:r>
        <w:t xml:space="preserve">, Vg </w:t>
      </w:r>
      <w:r>
        <w:rPr>
          <w:i/>
        </w:rPr>
        <w:t>chaldaeorum</w:t>
      </w:r>
      <w:r>
        <w:t xml:space="preserve">—hence English “Chaldeans.” The (older) Babylonian form has š, the Assyrian form </w:t>
      </w:r>
      <w:r>
        <w:rPr>
          <w:i/>
        </w:rPr>
        <w:t>l</w:t>
      </w:r>
      <w:r>
        <w:t xml:space="preserve"> (see </w:t>
      </w:r>
      <w:r>
        <w:rPr>
          <w:i/>
        </w:rPr>
        <w:t>HALOT</w:t>
      </w:r>
      <w:r>
        <w:t xml:space="preserve">). </w:t>
      </w:r>
    </w:p>
  </w:footnote>
  <w:footnote w:id="12">
    <w:p w14:paraId="0913D64A" w14:textId="77777777" w:rsidR="000438B1" w:rsidRPr="002C55E4" w:rsidRDefault="000438B1">
      <w:pPr>
        <w:pStyle w:val="FootnoteText"/>
      </w:pPr>
      <w:r>
        <w:rPr>
          <w:rStyle w:val="FootnoteReference"/>
        </w:rPr>
        <w:footnoteRef/>
      </w:r>
      <w:r>
        <w:t xml:space="preserve"> If </w:t>
      </w:r>
      <w:r>
        <w:rPr>
          <w:i/>
        </w:rPr>
        <w:t>‘ăqārāh</w:t>
      </w:r>
      <w:r>
        <w:t xml:space="preserve"> could simply mean childless, without the implication of infertile (so Sarna, </w:t>
      </w:r>
      <w:r>
        <w:rPr>
          <w:i/>
        </w:rPr>
        <w:t>Genesis</w:t>
      </w:r>
      <w:r>
        <w:t xml:space="preserve">, 87), it would preserve suspense for the unfolding of the story, but the suggestion seems doubtful (see e.g., H.-J. Fabry on the word, </w:t>
      </w:r>
      <w:r>
        <w:rPr>
          <w:i/>
        </w:rPr>
        <w:t>TDOT</w:t>
      </w:r>
      <w:r>
        <w:t xml:space="preserve"> 11:322).</w:t>
      </w:r>
    </w:p>
  </w:footnote>
  <w:footnote w:id="13">
    <w:p w14:paraId="59109459" w14:textId="77777777" w:rsidR="000438B1" w:rsidRDefault="000438B1">
      <w:pPr>
        <w:pStyle w:val="FootnoteText"/>
      </w:pPr>
      <w:r>
        <w:rPr>
          <w:rStyle w:val="FootnoteReference"/>
        </w:rPr>
        <w:footnoteRef/>
      </w:r>
      <w:r>
        <w:t xml:space="preserve"> As in 3:16, apposition enhances the similarity/opposition between clauses (DG 147ab).</w:t>
      </w:r>
    </w:p>
  </w:footnote>
  <w:footnote w:id="14">
    <w:p w14:paraId="6C17EE66" w14:textId="77777777" w:rsidR="000438B1" w:rsidRDefault="000438B1">
      <w:pPr>
        <w:pStyle w:val="FootnoteText"/>
      </w:pPr>
      <w:r>
        <w:rPr>
          <w:rStyle w:val="FootnoteReference"/>
        </w:rPr>
        <w:footnoteRef/>
      </w:r>
      <w:r>
        <w:t xml:space="preserve"> </w:t>
      </w:r>
      <w:r w:rsidRPr="00491ED1">
        <w:t>SP and some LXX mss add Nahor to this verse</w:t>
      </w:r>
      <w:r>
        <w:t xml:space="preserve"> (SP also adds Milkah) in light of Nahor and Milkah’s being there later (see Gen 24; 29:4-5).</w:t>
      </w:r>
    </w:p>
  </w:footnote>
  <w:footnote w:id="15">
    <w:p w14:paraId="6D21B79D" w14:textId="77777777" w:rsidR="000438B1" w:rsidRDefault="000438B1">
      <w:pPr>
        <w:pStyle w:val="FootnoteText"/>
      </w:pPr>
      <w:r>
        <w:rPr>
          <w:rStyle w:val="FootnoteReference"/>
        </w:rPr>
        <w:footnoteRef/>
      </w:r>
      <w:r>
        <w:t xml:space="preserve"> Literally “with them.”</w:t>
      </w:r>
    </w:p>
  </w:footnote>
  <w:footnote w:id="16">
    <w:p w14:paraId="418DE5EA" w14:textId="77777777" w:rsidR="000438B1" w:rsidRPr="002B3616" w:rsidRDefault="000438B1" w:rsidP="00DA695A">
      <w:pPr>
        <w:pStyle w:val="FootnoteText"/>
      </w:pPr>
      <w:r>
        <w:rPr>
          <w:rStyle w:val="FootnoteReference"/>
        </w:rPr>
        <w:footnoteRef/>
      </w:r>
      <w:r>
        <w:t xml:space="preserve"> In MT </w:t>
      </w:r>
      <w:r>
        <w:rPr>
          <w:i/>
        </w:rPr>
        <w:t>ḥārān</w:t>
      </w:r>
      <w:r>
        <w:t xml:space="preserve"> (contrast LXX </w:t>
      </w:r>
      <w:r>
        <w:rPr>
          <w:i/>
        </w:rPr>
        <w:t>charran</w:t>
      </w:r>
      <w:r>
        <w:t xml:space="preserve">) because MT usually avoids doubling </w:t>
      </w:r>
      <w:r>
        <w:rPr>
          <w:i/>
        </w:rPr>
        <w:t>r</w:t>
      </w:r>
      <w:r>
        <w:t xml:space="preserve"> and lengthens the preceding vowel to compensate (cf. GK 22s); transliterating as Ḥarran makes clearer the difference from the name of Terah’s son Haran (which begins with </w:t>
      </w:r>
      <w:r w:rsidRPr="002B3616">
        <w:rPr>
          <w:i/>
        </w:rPr>
        <w:t>he</w:t>
      </w:r>
      <w:r>
        <w:t xml:space="preserve"> not </w:t>
      </w:r>
      <w:r w:rsidRPr="002B3616">
        <w:rPr>
          <w:i/>
        </w:rPr>
        <w:t>ḥet</w:t>
      </w:r>
      <w:r>
        <w:t>).</w:t>
      </w:r>
    </w:p>
  </w:footnote>
  <w:footnote w:id="17">
    <w:p w14:paraId="7BBA20CA" w14:textId="77777777" w:rsidR="000438B1" w:rsidRDefault="000438B1" w:rsidP="00DA695A">
      <w:pPr>
        <w:pStyle w:val="FootnoteText"/>
      </w:pPr>
      <w:r>
        <w:rPr>
          <w:rStyle w:val="FootnoteReference"/>
        </w:rPr>
        <w:footnoteRef/>
      </w:r>
      <w:r>
        <w:t xml:space="preserve"> SP has 145, which solves a chronological problem (see the comment). Acts 7:4 might presuppose SP’s reading or might simply be referring to the order of events in the MT narrative (cf. the reference to Exod 3 in Mark 12:26).</w:t>
      </w:r>
    </w:p>
  </w:footnote>
  <w:footnote w:id="18">
    <w:p w14:paraId="2E88DCF8" w14:textId="4A837F3A" w:rsidR="000438B1" w:rsidRPr="00C002BF" w:rsidRDefault="000438B1">
      <w:pPr>
        <w:pStyle w:val="FootnoteText"/>
      </w:pPr>
      <w:r>
        <w:rPr>
          <w:rStyle w:val="FootnoteReference"/>
        </w:rPr>
        <w:footnoteRef/>
      </w:r>
      <w:r>
        <w:t xml:space="preserve"> KJV “had said”; cf. the previous footnote and the comment, and the discussion in </w:t>
      </w:r>
      <w:r>
        <w:rPr>
          <w:i/>
        </w:rPr>
        <w:t xml:space="preserve">TTH </w:t>
      </w:r>
      <w:r>
        <w:t>76.</w:t>
      </w:r>
    </w:p>
  </w:footnote>
  <w:footnote w:id="19">
    <w:p w14:paraId="5391EC09" w14:textId="77777777" w:rsidR="000438B1" w:rsidRDefault="000438B1">
      <w:pPr>
        <w:pStyle w:val="FootnoteText"/>
      </w:pPr>
      <w:r>
        <w:rPr>
          <w:rStyle w:val="FootnoteReference"/>
        </w:rPr>
        <w:footnoteRef/>
      </w:r>
      <w:r>
        <w:t xml:space="preserve"> Literally, “go for yourself.”</w:t>
      </w:r>
    </w:p>
  </w:footnote>
  <w:footnote w:id="20">
    <w:p w14:paraId="2018FC39" w14:textId="77777777" w:rsidR="000438B1" w:rsidRDefault="000438B1">
      <w:pPr>
        <w:pStyle w:val="FootnoteText"/>
      </w:pPr>
      <w:r>
        <w:rPr>
          <w:rStyle w:val="FootnoteReference"/>
        </w:rPr>
        <w:footnoteRef/>
      </w:r>
      <w:r>
        <w:t xml:space="preserve"> C</w:t>
      </w:r>
      <w:r w:rsidRPr="00F26C5F">
        <w:t>f. DG 94, remark 8</w:t>
      </w:r>
      <w:r>
        <w:t>, though “and thus I will” (consequence rather than purpose) is also possible (cf. JM 116b); but “a</w:t>
      </w:r>
      <w:r w:rsidRPr="00F26C5F">
        <w:t>nd I will</w:t>
      </w:r>
      <w:r>
        <w:t xml:space="preserve">” (LXX, Vg) under-translates. </w:t>
      </w:r>
    </w:p>
  </w:footnote>
  <w:footnote w:id="21">
    <w:p w14:paraId="0A02A051" w14:textId="48B1E7A6" w:rsidR="000438B1" w:rsidRDefault="000438B1">
      <w:pPr>
        <w:pStyle w:val="FootnoteText"/>
      </w:pPr>
      <w:r>
        <w:rPr>
          <w:rStyle w:val="FootnoteReference"/>
        </w:rPr>
        <w:footnoteRef/>
      </w:r>
      <w:r>
        <w:t xml:space="preserve"> The verb is cohortative; so also the first verb in v. 3.</w:t>
      </w:r>
    </w:p>
  </w:footnote>
  <w:footnote w:id="22">
    <w:p w14:paraId="7990E035" w14:textId="0D679434" w:rsidR="000438B1" w:rsidRPr="00F35456" w:rsidRDefault="000438B1" w:rsidP="00F35456">
      <w:pPr>
        <w:pStyle w:val="FootnoteText"/>
      </w:pPr>
      <w:r>
        <w:rPr>
          <w:rStyle w:val="FootnoteReference"/>
        </w:rPr>
        <w:footnoteRef/>
      </w:r>
      <w:r>
        <w:t xml:space="preserve"> More literally, “so be a blessing!”—that is, the verb is imperative, which suggests purpose when following on a cohortative (cf. </w:t>
      </w:r>
      <w:r>
        <w:rPr>
          <w:i/>
        </w:rPr>
        <w:t xml:space="preserve">TTH </w:t>
      </w:r>
      <w:r>
        <w:t>65; DG86d), but also the kind of imperative that conveys a promise—as well as the kind of promise that conveys an imperative (see J. S. Biden, “</w:t>
      </w:r>
      <w:r w:rsidRPr="00F35456">
        <w:rPr>
          <w:rFonts w:asciiTheme="minorHAnsi" w:eastAsiaTheme="minorHAnsi" w:hAnsiTheme="minorHAnsi" w:cs="Arial"/>
          <w:lang w:bidi="ar-SA"/>
        </w:rPr>
        <w:t>The Morpho-Syntax of Genesis 12:1-3</w:t>
      </w:r>
      <w:r>
        <w:rPr>
          <w:rFonts w:asciiTheme="minorHAnsi" w:eastAsiaTheme="minorHAnsi" w:hAnsiTheme="minorHAnsi" w:cs="Arial"/>
          <w:lang w:bidi="ar-SA"/>
        </w:rPr>
        <w:t xml:space="preserve">,” </w:t>
      </w:r>
      <w:r>
        <w:rPr>
          <w:rFonts w:asciiTheme="minorHAnsi" w:eastAsiaTheme="minorHAnsi" w:hAnsiTheme="minorHAnsi" w:cs="Arial"/>
          <w:i/>
          <w:lang w:bidi="ar-SA"/>
        </w:rPr>
        <w:t xml:space="preserve">CBQ </w:t>
      </w:r>
      <w:r>
        <w:rPr>
          <w:rFonts w:asciiTheme="minorHAnsi" w:eastAsiaTheme="minorHAnsi" w:hAnsiTheme="minorHAnsi" w:cs="Arial"/>
          <w:lang w:bidi="ar-SA"/>
        </w:rPr>
        <w:t>72 [2010]: 223-37).</w:t>
      </w:r>
    </w:p>
  </w:footnote>
  <w:footnote w:id="23">
    <w:p w14:paraId="45F658B9" w14:textId="77777777" w:rsidR="000438B1" w:rsidRDefault="000438B1">
      <w:pPr>
        <w:pStyle w:val="FootnoteText"/>
      </w:pPr>
      <w:r>
        <w:rPr>
          <w:rStyle w:val="FootnoteReference"/>
        </w:rPr>
        <w:footnoteRef/>
      </w:r>
      <w:r>
        <w:t xml:space="preserve"> LXX, Vg, SP have plural for this participle, assimilating to the first.</w:t>
      </w:r>
    </w:p>
  </w:footnote>
  <w:footnote w:id="24">
    <w:p w14:paraId="16B69AA2" w14:textId="18A22254" w:rsidR="000438B1" w:rsidRDefault="000438B1">
      <w:pPr>
        <w:pStyle w:val="FootnoteText"/>
      </w:pPr>
      <w:r>
        <w:rPr>
          <w:rStyle w:val="FootnoteReference"/>
        </w:rPr>
        <w:footnoteRef/>
      </w:r>
      <w:r>
        <w:t xml:space="preserve"> Whereas the cohortative verbs translated “intend to” suggest deliberate will, the ordinary yiqtol for this final verb suggests something less intrinsic to Yahweh’s purpose (see P. D. Miller, “Syntax and Theology in Genesis xii 3a,” </w:t>
      </w:r>
      <w:r>
        <w:rPr>
          <w:i/>
        </w:rPr>
        <w:t xml:space="preserve">VT </w:t>
      </w:r>
      <w:r>
        <w:t xml:space="preserve">34 [1984]: 472-76). The other first-person verbs in vv. 1-2 have suffixes, which means they cannot take cohortative form, though one might see them as having that significance </w:t>
      </w:r>
      <w:r w:rsidRPr="00E668D0">
        <w:rPr>
          <w:i/>
        </w:rPr>
        <w:t>de facto</w:t>
      </w:r>
      <w:r>
        <w:t xml:space="preserve">; this last verb is the only one where Yahweh could have used the cohortative and does not. </w:t>
      </w:r>
    </w:p>
  </w:footnote>
  <w:footnote w:id="25">
    <w:p w14:paraId="76570221" w14:textId="69801DE3" w:rsidR="000438B1" w:rsidRPr="0014024D" w:rsidRDefault="000438B1">
      <w:pPr>
        <w:pStyle w:val="FootnoteText"/>
      </w:pPr>
      <w:r>
        <w:rPr>
          <w:rStyle w:val="FootnoteReference"/>
        </w:rPr>
        <w:footnoteRef/>
      </w:r>
      <w:r>
        <w:t xml:space="preserve"> The niphal verb could have passive, reflexive, or middle connotations. For passive, cf. </w:t>
      </w:r>
      <w:r>
        <w:rPr>
          <w:i/>
        </w:rPr>
        <w:t>DCH</w:t>
      </w:r>
      <w:r>
        <w:t xml:space="preserve">; </w:t>
      </w:r>
      <w:r w:rsidRPr="00536475">
        <w:t>Grüneberg</w:t>
      </w:r>
      <w:r>
        <w:t xml:space="preserve">, </w:t>
      </w:r>
      <w:r>
        <w:rPr>
          <w:i/>
        </w:rPr>
        <w:t>Abraham, Blessing and the Nations</w:t>
      </w:r>
      <w:r>
        <w:t>. But Genesis could have used pual to convey this meaning (e.g., Num 22:6; 2 Sam 7:29; Ps 112:2; 128:4). For reflexive</w:t>
      </w:r>
      <w:r w:rsidRPr="00326405">
        <w:t xml:space="preserve">, cf. BDB, </w:t>
      </w:r>
      <w:r w:rsidRPr="00326405">
        <w:rPr>
          <w:i/>
        </w:rPr>
        <w:t>HALOT</w:t>
      </w:r>
      <w:r w:rsidRPr="00326405">
        <w:t xml:space="preserve">; Rashi, </w:t>
      </w:r>
      <w:r w:rsidRPr="00326405">
        <w:rPr>
          <w:i/>
        </w:rPr>
        <w:t>Br’šyt</w:t>
      </w:r>
      <w:r w:rsidRPr="00326405">
        <w:t>, 117</w:t>
      </w:r>
      <w:r>
        <w:t xml:space="preserve">; E. Noort, “Abraham and the Nations,” in van Ruiten et al. (eds.), </w:t>
      </w:r>
      <w:r>
        <w:rPr>
          <w:i/>
        </w:rPr>
        <w:t>Abraham, the Nations, and the Hagarites</w:t>
      </w:r>
      <w:r>
        <w:t xml:space="preserve">, 3-31 (18-30). But hitpael in </w:t>
      </w:r>
      <w:r w:rsidRPr="00321744">
        <w:t>22:18; 26:4</w:t>
      </w:r>
      <w:r>
        <w:t xml:space="preserve"> has reflexive meaning, and it seems less likely that niphal here simply means the same thing. More likely it has middle connotations. In substance, the translation makes little difference; one way or another the nations will get blessed though Abraham.</w:t>
      </w:r>
    </w:p>
  </w:footnote>
  <w:footnote w:id="26">
    <w:p w14:paraId="02F99E8F" w14:textId="77777777" w:rsidR="000438B1" w:rsidRDefault="000438B1">
      <w:pPr>
        <w:pStyle w:val="FootnoteText"/>
      </w:pPr>
      <w:r>
        <w:rPr>
          <w:rStyle w:val="FootnoteReference"/>
        </w:rPr>
        <w:footnoteRef/>
      </w:r>
      <w:r>
        <w:t xml:space="preserve"> In good evangelical fashion, TgOnq, TgNeoph takes this phrase to refer to the souls they had converted.</w:t>
      </w:r>
    </w:p>
  </w:footnote>
  <w:footnote w:id="27">
    <w:p w14:paraId="3D447D16" w14:textId="0A0A05EA" w:rsidR="000438B1" w:rsidRDefault="000438B1">
      <w:pPr>
        <w:pStyle w:val="FootnoteText"/>
      </w:pPr>
      <w:r>
        <w:rPr>
          <w:rStyle w:val="FootnoteReference"/>
        </w:rPr>
        <w:footnoteRef/>
      </w:r>
      <w:r>
        <w:t xml:space="preserve"> LXX adds “in its length,” making more explicit that Abraham is behaving as if entering into legal possession of the country (J. L. Ska, “Gen 12</w:t>
      </w:r>
      <w:proofErr w:type="gramStart"/>
      <w:r>
        <w:t>,6</w:t>
      </w:r>
      <w:proofErr w:type="gramEnd"/>
      <w:r>
        <w:t xml:space="preserve">,” in </w:t>
      </w:r>
      <w:r w:rsidRPr="003C2B32">
        <w:t>Ausloos/</w:t>
      </w:r>
      <w:r>
        <w:t>Lemmelijn [eds.]</w:t>
      </w:r>
      <w:r w:rsidRPr="003C2B32">
        <w:t xml:space="preserve">, </w:t>
      </w:r>
      <w:r w:rsidRPr="003C2B32">
        <w:rPr>
          <w:i/>
        </w:rPr>
        <w:t>A Pillar of Cloud</w:t>
      </w:r>
      <w:r w:rsidRPr="003C2B32">
        <w:t>,</w:t>
      </w:r>
      <w:r>
        <w:t xml:space="preserve"> 449-54); cf. 13:17 and the comment.</w:t>
      </w:r>
    </w:p>
  </w:footnote>
  <w:footnote w:id="28">
    <w:p w14:paraId="077F841F" w14:textId="56F43595" w:rsidR="000438B1" w:rsidRPr="0072178A" w:rsidRDefault="000438B1">
      <w:pPr>
        <w:pStyle w:val="FootnoteText"/>
      </w:pPr>
      <w:r>
        <w:rPr>
          <w:rStyle w:val="FootnoteReference"/>
        </w:rPr>
        <w:footnoteRef/>
      </w:r>
      <w:r>
        <w:t xml:space="preserve"> Or </w:t>
      </w:r>
      <w:r w:rsidRPr="008C4362">
        <w:rPr>
          <w:i/>
          <w:lang w:val="en-GB"/>
        </w:rPr>
        <w:t>’ēlôn</w:t>
      </w:r>
      <w:r w:rsidRPr="008C4362">
        <w:rPr>
          <w:lang w:val="en-GB"/>
        </w:rPr>
        <w:t xml:space="preserve"> </w:t>
      </w:r>
      <w:r>
        <w:rPr>
          <w:lang w:val="en-GB"/>
        </w:rPr>
        <w:t xml:space="preserve">might mean </w:t>
      </w:r>
      <w:r>
        <w:t xml:space="preserve">terebinth. </w:t>
      </w:r>
      <w:r>
        <w:rPr>
          <w:lang w:val="en-GB"/>
        </w:rPr>
        <w:t xml:space="preserve">Gen 35:4 refers to </w:t>
      </w:r>
      <w:proofErr w:type="gramStart"/>
      <w:r>
        <w:rPr>
          <w:lang w:val="en-GB"/>
        </w:rPr>
        <w:t>an</w:t>
      </w:r>
      <w:proofErr w:type="gramEnd"/>
      <w:r>
        <w:rPr>
          <w:lang w:val="en-GB"/>
        </w:rPr>
        <w:t xml:space="preserve"> ’</w:t>
      </w:r>
      <w:r>
        <w:rPr>
          <w:i/>
          <w:lang w:val="en-GB"/>
        </w:rPr>
        <w:t>ēlāh</w:t>
      </w:r>
      <w:r>
        <w:rPr>
          <w:lang w:val="en-GB"/>
        </w:rPr>
        <w:t xml:space="preserve"> near Shechem; cf. also Josh 24:26; Judg 9:6, 37 for similar words. Linking the right word to the right tree is difficult. Both are leafy with wide-spreading branches, but they</w:t>
      </w:r>
      <w:r w:rsidRPr="0035662B">
        <w:rPr>
          <w:lang w:val="en-GB"/>
        </w:rPr>
        <w:t xml:space="preserve"> are quite di</w:t>
      </w:r>
      <w:r>
        <w:rPr>
          <w:lang w:val="en-GB"/>
        </w:rPr>
        <w:t>fferent, though there are many varieties of oak; the terebinth also has red berries and grows pistachio nuts. Vg, Tg have “plain” for “oak,” perhaps by associating the reference to the Teacher’s Oak with the reference to Oak Vale in Judg 7:1 and thus guarding</w:t>
      </w:r>
      <w:r w:rsidRPr="008C4362">
        <w:rPr>
          <w:lang w:val="en-GB"/>
        </w:rPr>
        <w:t xml:space="preserve"> </w:t>
      </w:r>
      <w:r>
        <w:rPr>
          <w:lang w:val="en-GB"/>
        </w:rPr>
        <w:t xml:space="preserve">against </w:t>
      </w:r>
      <w:r w:rsidRPr="008C4362">
        <w:rPr>
          <w:lang w:val="en-GB"/>
        </w:rPr>
        <w:t>any idea that Abraham w</w:t>
      </w:r>
      <w:r>
        <w:rPr>
          <w:lang w:val="en-GB"/>
        </w:rPr>
        <w:t>as involved in wrongful worship</w:t>
      </w:r>
      <w:r w:rsidRPr="008C4362">
        <w:rPr>
          <w:lang w:val="en-GB"/>
        </w:rPr>
        <w:t xml:space="preserve"> </w:t>
      </w:r>
      <w:r>
        <w:rPr>
          <w:lang w:val="en-GB"/>
        </w:rPr>
        <w:t xml:space="preserve">(Aberbach/Grossfeld, </w:t>
      </w:r>
      <w:r>
        <w:rPr>
          <w:i/>
          <w:lang w:val="en-GB"/>
        </w:rPr>
        <w:t>Targum Onkelos</w:t>
      </w:r>
      <w:r>
        <w:rPr>
          <w:lang w:val="en-GB"/>
        </w:rPr>
        <w:t>, 79-80; and see more generally J. Hutzli, “</w:t>
      </w:r>
      <w:r>
        <w:t xml:space="preserve">Interventions présumées des scribes concernant le motif de l'arbre sacré dans le Pentateuque,” </w:t>
      </w:r>
      <w:r>
        <w:rPr>
          <w:i/>
        </w:rPr>
        <w:t xml:space="preserve">Semitica </w:t>
      </w:r>
      <w:r>
        <w:t>26 [2014]: 313-31</w:t>
      </w:r>
      <w:r>
        <w:rPr>
          <w:lang w:val="en-GB"/>
        </w:rPr>
        <w:t xml:space="preserve">). TgNeoph also has “Vision” for “Teacher,” implying a link with </w:t>
      </w:r>
      <w:r>
        <w:rPr>
          <w:i/>
          <w:lang w:val="en-GB"/>
        </w:rPr>
        <w:t>rā’āh</w:t>
      </w:r>
      <w:r>
        <w:rPr>
          <w:lang w:val="en-GB"/>
        </w:rPr>
        <w:t xml:space="preserve"> rather than </w:t>
      </w:r>
      <w:r>
        <w:rPr>
          <w:i/>
          <w:lang w:val="en-GB"/>
        </w:rPr>
        <w:t>yārāh</w:t>
      </w:r>
      <w:r>
        <w:rPr>
          <w:lang w:val="en-GB"/>
        </w:rPr>
        <w:t>—and not inappropriately in light of Yahweh’s appearing to Abraham (</w:t>
      </w:r>
      <w:r w:rsidRPr="0072178A">
        <w:rPr>
          <w:i/>
          <w:lang w:val="en-GB"/>
        </w:rPr>
        <w:t>rā’āh</w:t>
      </w:r>
      <w:r>
        <w:rPr>
          <w:lang w:val="en-GB"/>
        </w:rPr>
        <w:t>) in v. 7.</w:t>
      </w:r>
    </w:p>
  </w:footnote>
  <w:footnote w:id="29">
    <w:p w14:paraId="41FC5C8C" w14:textId="77777777" w:rsidR="000438B1" w:rsidRPr="005649C7" w:rsidRDefault="000438B1">
      <w:pPr>
        <w:pStyle w:val="FootnoteText"/>
      </w:pPr>
      <w:r>
        <w:rPr>
          <w:rStyle w:val="FootnoteReference"/>
        </w:rPr>
        <w:footnoteRef/>
      </w:r>
      <w:r>
        <w:t xml:space="preserve"> Wenham, </w:t>
      </w:r>
      <w:r>
        <w:rPr>
          <w:i/>
        </w:rPr>
        <w:t>Genesis 1—15</w:t>
      </w:r>
      <w:r>
        <w:t>, 281.</w:t>
      </w:r>
    </w:p>
  </w:footnote>
  <w:footnote w:id="30">
    <w:p w14:paraId="0977450C" w14:textId="71B8758F" w:rsidR="000438B1" w:rsidRPr="00604F14" w:rsidRDefault="000438B1">
      <w:pPr>
        <w:pStyle w:val="FootnoteText"/>
      </w:pPr>
      <w:r>
        <w:rPr>
          <w:rStyle w:val="FootnoteReference"/>
        </w:rPr>
        <w:footnoteRef/>
      </w:r>
      <w:r>
        <w:t xml:space="preserve"> G. Van Pelt Campbell (“Refusing God’s Blessing,” </w:t>
      </w:r>
      <w:r>
        <w:rPr>
          <w:i/>
        </w:rPr>
        <w:t>BSac</w:t>
      </w:r>
      <w:r>
        <w:t xml:space="preserve"> 165 [2008]: 268-82) sees the passage as facing both ways and as a turning-point.</w:t>
      </w:r>
      <w:r>
        <w:rPr>
          <w:i/>
        </w:rPr>
        <w:t xml:space="preserve"> </w:t>
      </w:r>
    </w:p>
  </w:footnote>
  <w:footnote w:id="31">
    <w:p w14:paraId="3FA09D33" w14:textId="77777777" w:rsidR="000438B1" w:rsidRPr="00954FAF" w:rsidRDefault="000438B1" w:rsidP="00954FAF">
      <w:pPr>
        <w:pStyle w:val="FootnoteText"/>
      </w:pPr>
      <w:r>
        <w:rPr>
          <w:rStyle w:val="FootnoteReference"/>
        </w:rPr>
        <w:footnoteRef/>
      </w:r>
      <w:r>
        <w:t xml:space="preserve"> On the relationship with 11:1-9, see especially M. A. Awabdy, “</w:t>
      </w:r>
      <w:r w:rsidRPr="00954FAF">
        <w:rPr>
          <w:bCs/>
        </w:rPr>
        <w:t>Babel, Suspense, and the Introduction to the Terah-Abram Narrativ</w:t>
      </w:r>
      <w:r>
        <w:rPr>
          <w:bCs/>
        </w:rPr>
        <w:t xml:space="preserve">e,” </w:t>
      </w:r>
      <w:r>
        <w:rPr>
          <w:bCs/>
          <w:i/>
        </w:rPr>
        <w:t xml:space="preserve">JSOT </w:t>
      </w:r>
      <w:r>
        <w:rPr>
          <w:bCs/>
        </w:rPr>
        <w:t>34 (2010): 3-29.</w:t>
      </w:r>
    </w:p>
  </w:footnote>
  <w:footnote w:id="32">
    <w:p w14:paraId="5B171F87" w14:textId="49283D16" w:rsidR="000438B1" w:rsidRDefault="000438B1">
      <w:pPr>
        <w:pStyle w:val="FootnoteText"/>
      </w:pPr>
      <w:r>
        <w:rPr>
          <w:rStyle w:val="FootnoteReference"/>
        </w:rPr>
        <w:footnoteRef/>
      </w:r>
      <w:r>
        <w:t xml:space="preserve"> </w:t>
      </w:r>
      <w:r>
        <w:rPr>
          <w:lang w:val="en-GB"/>
        </w:rPr>
        <w:t>See the translation note.</w:t>
      </w:r>
    </w:p>
  </w:footnote>
  <w:footnote w:id="33">
    <w:p w14:paraId="0FBB7E14" w14:textId="77777777" w:rsidR="000438B1" w:rsidRPr="00A215AE" w:rsidRDefault="000438B1">
      <w:pPr>
        <w:pStyle w:val="FootnoteText"/>
      </w:pPr>
      <w:r>
        <w:rPr>
          <w:rStyle w:val="FootnoteReference"/>
        </w:rPr>
        <w:footnoteRef/>
      </w:r>
      <w:r>
        <w:t xml:space="preserve"> See Hamilton, </w:t>
      </w:r>
      <w:r>
        <w:rPr>
          <w:i/>
        </w:rPr>
        <w:t>Genesis 1—17</w:t>
      </w:r>
      <w:r>
        <w:t>, 363-65.</w:t>
      </w:r>
    </w:p>
  </w:footnote>
  <w:footnote w:id="34">
    <w:p w14:paraId="26E082DC" w14:textId="77777777" w:rsidR="000438B1" w:rsidRPr="00E01E17" w:rsidRDefault="000438B1">
      <w:pPr>
        <w:pStyle w:val="FootnoteText"/>
      </w:pPr>
      <w:r>
        <w:rPr>
          <w:rStyle w:val="FootnoteReference"/>
        </w:rPr>
        <w:footnoteRef/>
      </w:r>
      <w:r>
        <w:t xml:space="preserve"> See </w:t>
      </w:r>
      <w:r>
        <w:rPr>
          <w:i/>
        </w:rPr>
        <w:t>DCH</w:t>
      </w:r>
      <w:r>
        <w:t>.</w:t>
      </w:r>
    </w:p>
  </w:footnote>
  <w:footnote w:id="35">
    <w:p w14:paraId="0E08F13D" w14:textId="0BDFD49E" w:rsidR="000438B1" w:rsidRPr="00E01E17" w:rsidRDefault="000438B1" w:rsidP="00755A39">
      <w:pPr>
        <w:pStyle w:val="FootnoteText"/>
      </w:pPr>
      <w:r>
        <w:rPr>
          <w:rStyle w:val="FootnoteReference"/>
        </w:rPr>
        <w:footnoteRef/>
      </w:r>
      <w:r>
        <w:t xml:space="preserve"> See Westermann, </w:t>
      </w:r>
      <w:r>
        <w:rPr>
          <w:i/>
        </w:rPr>
        <w:t>Genesis 12—50</w:t>
      </w:r>
      <w:r>
        <w:t xml:space="preserve">, 138; Sarna, </w:t>
      </w:r>
      <w:r>
        <w:rPr>
          <w:i/>
        </w:rPr>
        <w:t>Genesis</w:t>
      </w:r>
      <w:r>
        <w:t>, 87.</w:t>
      </w:r>
    </w:p>
  </w:footnote>
  <w:footnote w:id="36">
    <w:p w14:paraId="4395887F" w14:textId="689AD6EC" w:rsidR="000438B1" w:rsidRPr="00C44839" w:rsidRDefault="000438B1">
      <w:pPr>
        <w:pStyle w:val="FootnoteText"/>
      </w:pPr>
      <w:r>
        <w:rPr>
          <w:rStyle w:val="FootnoteReference"/>
        </w:rPr>
        <w:footnoteRef/>
      </w:r>
      <w:r>
        <w:t xml:space="preserve"> Schneider, </w:t>
      </w:r>
      <w:r>
        <w:rPr>
          <w:i/>
        </w:rPr>
        <w:t>Mothers of Promise</w:t>
      </w:r>
      <w:r>
        <w:t>, 25.</w:t>
      </w:r>
    </w:p>
  </w:footnote>
  <w:footnote w:id="37">
    <w:p w14:paraId="081B774C" w14:textId="77777777" w:rsidR="000438B1" w:rsidRPr="00C026D5" w:rsidRDefault="000438B1" w:rsidP="00643121">
      <w:pPr>
        <w:pStyle w:val="FootnoteText"/>
      </w:pPr>
      <w:r>
        <w:rPr>
          <w:rStyle w:val="FootnoteReference"/>
        </w:rPr>
        <w:footnoteRef/>
      </w:r>
      <w:r>
        <w:t xml:space="preserve"> Arnold, </w:t>
      </w:r>
      <w:r>
        <w:rPr>
          <w:i/>
        </w:rPr>
        <w:t>Genesis</w:t>
      </w:r>
      <w:r>
        <w:t>, 128.</w:t>
      </w:r>
    </w:p>
  </w:footnote>
  <w:footnote w:id="38">
    <w:p w14:paraId="20BC52B0" w14:textId="7AE68D44" w:rsidR="000438B1" w:rsidRPr="00C5299B" w:rsidRDefault="000438B1">
      <w:pPr>
        <w:pStyle w:val="FootnoteText"/>
      </w:pPr>
      <w:r>
        <w:rPr>
          <w:rStyle w:val="FootnoteReference"/>
        </w:rPr>
        <w:footnoteRef/>
      </w:r>
      <w:r>
        <w:t xml:space="preserve"> Cf. Josephus, </w:t>
      </w:r>
      <w:r>
        <w:rPr>
          <w:i/>
        </w:rPr>
        <w:t>Antiquities</w:t>
      </w:r>
      <w:r>
        <w:t xml:space="preserve"> 1:6:5.</w:t>
      </w:r>
    </w:p>
  </w:footnote>
  <w:footnote w:id="39">
    <w:p w14:paraId="73BCE6A0" w14:textId="77777777" w:rsidR="000438B1" w:rsidRPr="00BC1C22" w:rsidRDefault="000438B1" w:rsidP="00643121">
      <w:pPr>
        <w:pStyle w:val="FootnoteText"/>
      </w:pPr>
      <w:r>
        <w:rPr>
          <w:rStyle w:val="FootnoteReference"/>
        </w:rPr>
        <w:footnoteRef/>
      </w:r>
      <w:r>
        <w:t xml:space="preserve"> Cf. Sarna, </w:t>
      </w:r>
      <w:r>
        <w:rPr>
          <w:i/>
        </w:rPr>
        <w:t>Genesis</w:t>
      </w:r>
      <w:r>
        <w:t>, 88.</w:t>
      </w:r>
    </w:p>
  </w:footnote>
  <w:footnote w:id="40">
    <w:p w14:paraId="30E88D46" w14:textId="77777777" w:rsidR="000438B1" w:rsidRPr="00324530" w:rsidRDefault="000438B1" w:rsidP="00961D5D">
      <w:pPr>
        <w:pStyle w:val="FootnoteText"/>
      </w:pPr>
      <w:r>
        <w:rPr>
          <w:rStyle w:val="FootnoteReference"/>
        </w:rPr>
        <w:footnoteRef/>
      </w:r>
      <w:r>
        <w:t xml:space="preserve"> Cf. Ibn Ezra, </w:t>
      </w:r>
      <w:r>
        <w:rPr>
          <w:i/>
        </w:rPr>
        <w:t>Genesis</w:t>
      </w:r>
      <w:r>
        <w:t xml:space="preserve">, 147-48; he notes that the Scriptures often put things in a non-chronological order. </w:t>
      </w:r>
      <w:r>
        <w:rPr>
          <w:i/>
        </w:rPr>
        <w:t>Jub</w:t>
      </w:r>
      <w:r>
        <w:t xml:space="preserve"> 12:28-31 has Abraham going with Terah’s blessing.</w:t>
      </w:r>
    </w:p>
  </w:footnote>
  <w:footnote w:id="41">
    <w:p w14:paraId="648087BA" w14:textId="77777777" w:rsidR="000438B1" w:rsidRDefault="000438B1" w:rsidP="00044304">
      <w:pPr>
        <w:pStyle w:val="FootnoteText"/>
      </w:pPr>
      <w:r>
        <w:rPr>
          <w:rStyle w:val="FootnoteReference"/>
        </w:rPr>
        <w:footnoteRef/>
      </w:r>
      <w:r>
        <w:t xml:space="preserve"> Cf. Rashi’s comments, </w:t>
      </w:r>
      <w:r w:rsidRPr="006B464D">
        <w:rPr>
          <w:i/>
        </w:rPr>
        <w:t>Br’šyt</w:t>
      </w:r>
      <w:r w:rsidRPr="006B464D">
        <w:t>,</w:t>
      </w:r>
      <w:r>
        <w:t xml:space="preserve"> 114.</w:t>
      </w:r>
    </w:p>
  </w:footnote>
  <w:footnote w:id="42">
    <w:p w14:paraId="31E3C77C" w14:textId="77777777" w:rsidR="000438B1" w:rsidRPr="003F07E4" w:rsidRDefault="000438B1" w:rsidP="00151A03">
      <w:pPr>
        <w:pStyle w:val="FootnoteText"/>
      </w:pPr>
      <w:r>
        <w:rPr>
          <w:rStyle w:val="FootnoteReference"/>
        </w:rPr>
        <w:footnoteRef/>
      </w:r>
      <w:r>
        <w:t xml:space="preserve"> Reno, </w:t>
      </w:r>
      <w:r>
        <w:rPr>
          <w:i/>
        </w:rPr>
        <w:t>Genesis</w:t>
      </w:r>
      <w:r>
        <w:t>, 143.</w:t>
      </w:r>
    </w:p>
  </w:footnote>
  <w:footnote w:id="43">
    <w:p w14:paraId="0A689C85" w14:textId="77777777" w:rsidR="000438B1" w:rsidRPr="00D1214F" w:rsidRDefault="000438B1" w:rsidP="001E0D7A">
      <w:pPr>
        <w:pStyle w:val="FootnoteText"/>
      </w:pPr>
      <w:r>
        <w:rPr>
          <w:rStyle w:val="FootnoteReference"/>
        </w:rPr>
        <w:footnoteRef/>
      </w:r>
      <w:r>
        <w:t xml:space="preserve"> Cf. Luther, </w:t>
      </w:r>
      <w:r>
        <w:rPr>
          <w:i/>
        </w:rPr>
        <w:t>Genesis 6—14</w:t>
      </w:r>
      <w:r>
        <w:t>, 247-48; Luther indeed assumes that Abraham was an idolater.</w:t>
      </w:r>
    </w:p>
  </w:footnote>
  <w:footnote w:id="44">
    <w:p w14:paraId="0037B84E" w14:textId="77777777" w:rsidR="000438B1" w:rsidRDefault="000438B1" w:rsidP="00441FF8">
      <w:pPr>
        <w:pStyle w:val="FootnoteText"/>
      </w:pPr>
      <w:r>
        <w:rPr>
          <w:rStyle w:val="FootnoteReference"/>
        </w:rPr>
        <w:footnoteRef/>
      </w:r>
      <w:r>
        <w:t xml:space="preserve"> </w:t>
      </w:r>
      <w:r w:rsidRPr="008D008C">
        <w:t>Le</w:t>
      </w:r>
      <w:r>
        <w:t>venson,</w:t>
      </w:r>
      <w:r w:rsidRPr="008D008C">
        <w:t xml:space="preserve"> </w:t>
      </w:r>
      <w:r w:rsidRPr="008D008C">
        <w:rPr>
          <w:i/>
        </w:rPr>
        <w:t>Death and Resurrection of the Beloved Son</w:t>
      </w:r>
      <w:r>
        <w:t>, 83</w:t>
      </w:r>
    </w:p>
  </w:footnote>
  <w:footnote w:id="45">
    <w:p w14:paraId="16D5F1F8" w14:textId="77777777" w:rsidR="000438B1" w:rsidRPr="00C14666" w:rsidRDefault="000438B1" w:rsidP="0057558A">
      <w:pPr>
        <w:pStyle w:val="FootnoteText"/>
      </w:pPr>
      <w:r>
        <w:rPr>
          <w:rStyle w:val="FootnoteReference"/>
        </w:rPr>
        <w:footnoteRef/>
      </w:r>
      <w:r>
        <w:t xml:space="preserve"> Cf. Didymus, </w:t>
      </w:r>
      <w:r>
        <w:rPr>
          <w:i/>
        </w:rPr>
        <w:t>Genesis</w:t>
      </w:r>
      <w:r>
        <w:t>, 183.</w:t>
      </w:r>
    </w:p>
  </w:footnote>
  <w:footnote w:id="46">
    <w:p w14:paraId="28B0658D" w14:textId="77777777" w:rsidR="000438B1" w:rsidRPr="00F44F18" w:rsidRDefault="000438B1">
      <w:pPr>
        <w:pStyle w:val="FootnoteText"/>
      </w:pPr>
      <w:r>
        <w:rPr>
          <w:rStyle w:val="FootnoteReference"/>
        </w:rPr>
        <w:footnoteRef/>
      </w:r>
      <w:r>
        <w:t xml:space="preserve"> Cf. Dillmann, </w:t>
      </w:r>
      <w:r>
        <w:rPr>
          <w:i/>
        </w:rPr>
        <w:t xml:space="preserve">Genesis </w:t>
      </w:r>
      <w:r>
        <w:t>2:9.</w:t>
      </w:r>
    </w:p>
  </w:footnote>
  <w:footnote w:id="47">
    <w:p w14:paraId="12349D61" w14:textId="77777777" w:rsidR="000438B1" w:rsidRPr="00CD0A4E" w:rsidRDefault="000438B1" w:rsidP="00AB5B2C">
      <w:pPr>
        <w:pStyle w:val="FootnoteText"/>
      </w:pPr>
      <w:r>
        <w:rPr>
          <w:rStyle w:val="FootnoteReference"/>
        </w:rPr>
        <w:footnoteRef/>
      </w:r>
      <w:r>
        <w:t xml:space="preserve"> Gunkel, </w:t>
      </w:r>
      <w:r>
        <w:rPr>
          <w:i/>
        </w:rPr>
        <w:t>Genesis</w:t>
      </w:r>
      <w:r>
        <w:t>, 163.</w:t>
      </w:r>
    </w:p>
  </w:footnote>
  <w:footnote w:id="48">
    <w:p w14:paraId="07864CD6" w14:textId="77777777" w:rsidR="000438B1" w:rsidRPr="00B1080D" w:rsidRDefault="000438B1">
      <w:pPr>
        <w:pStyle w:val="FootnoteText"/>
      </w:pPr>
      <w:r>
        <w:rPr>
          <w:rStyle w:val="FootnoteReference"/>
        </w:rPr>
        <w:footnoteRef/>
      </w:r>
      <w:r>
        <w:t xml:space="preserve"> Cf. Barth, </w:t>
      </w:r>
      <w:r>
        <w:rPr>
          <w:i/>
        </w:rPr>
        <w:t>Dogmatics</w:t>
      </w:r>
      <w:r>
        <w:t xml:space="preserve"> II, 2:355.</w:t>
      </w:r>
    </w:p>
  </w:footnote>
  <w:footnote w:id="49">
    <w:p w14:paraId="463E62DE" w14:textId="77777777" w:rsidR="000438B1" w:rsidRPr="00CE1FCC" w:rsidRDefault="000438B1">
      <w:pPr>
        <w:pStyle w:val="FootnoteText"/>
      </w:pPr>
      <w:r>
        <w:rPr>
          <w:rStyle w:val="FootnoteReference"/>
        </w:rPr>
        <w:footnoteRef/>
      </w:r>
      <w:r>
        <w:t xml:space="preserve"> Cf. Calvin, </w:t>
      </w:r>
      <w:r>
        <w:rPr>
          <w:i/>
        </w:rPr>
        <w:t xml:space="preserve">Genesis </w:t>
      </w:r>
      <w:r>
        <w:t>1:344.</w:t>
      </w:r>
    </w:p>
  </w:footnote>
  <w:footnote w:id="50">
    <w:p w14:paraId="6263B02B" w14:textId="77777777" w:rsidR="000438B1" w:rsidRPr="00221510" w:rsidRDefault="000438B1">
      <w:pPr>
        <w:pStyle w:val="FootnoteText"/>
      </w:pPr>
      <w:r>
        <w:rPr>
          <w:rStyle w:val="FootnoteReference"/>
        </w:rPr>
        <w:footnoteRef/>
      </w:r>
      <w:r>
        <w:t xml:space="preserve"> Cf. Qimchi, </w:t>
      </w:r>
      <w:r>
        <w:rPr>
          <w:i/>
        </w:rPr>
        <w:t>Genesis</w:t>
      </w:r>
      <w:r>
        <w:t>, on the verse.</w:t>
      </w:r>
    </w:p>
  </w:footnote>
  <w:footnote w:id="51">
    <w:p w14:paraId="256A5370" w14:textId="77777777" w:rsidR="000438B1" w:rsidRPr="006C7DBA" w:rsidRDefault="000438B1">
      <w:pPr>
        <w:pStyle w:val="FootnoteText"/>
      </w:pPr>
      <w:r>
        <w:rPr>
          <w:rStyle w:val="FootnoteReference"/>
        </w:rPr>
        <w:footnoteRef/>
      </w:r>
      <w:r>
        <w:t xml:space="preserve"> Cf. Mbuvi, </w:t>
      </w:r>
      <w:r>
        <w:rPr>
          <w:i/>
        </w:rPr>
        <w:t>Belonging in Genesis</w:t>
      </w:r>
      <w:r>
        <w:t>, 101.</w:t>
      </w:r>
    </w:p>
  </w:footnote>
  <w:footnote w:id="52">
    <w:p w14:paraId="7B0FC627" w14:textId="77777777" w:rsidR="000438B1" w:rsidRPr="00DD2994" w:rsidRDefault="000438B1" w:rsidP="0013008C">
      <w:pPr>
        <w:pStyle w:val="FootnoteText"/>
      </w:pPr>
      <w:r>
        <w:rPr>
          <w:rStyle w:val="FootnoteReference"/>
        </w:rPr>
        <w:footnoteRef/>
      </w:r>
      <w:r>
        <w:t xml:space="preserve"> Cf. D. L. Petersen, “Polities in Genesis 12—36,” in J. T. Strong and S. S. Tuell (eds.), </w:t>
      </w:r>
      <w:r w:rsidRPr="00DD2994">
        <w:rPr>
          <w:i/>
        </w:rPr>
        <w:t>Constituting the Community</w:t>
      </w:r>
      <w:r>
        <w:rPr>
          <w:i/>
        </w:rPr>
        <w:t xml:space="preserve"> </w:t>
      </w:r>
      <w:r>
        <w:t>(S. D. McBride Festschrift; Winona Lake, IN: Eisenbrauns, 2005), 75-88.</w:t>
      </w:r>
    </w:p>
  </w:footnote>
  <w:footnote w:id="53">
    <w:p w14:paraId="2731B789" w14:textId="77777777" w:rsidR="000438B1" w:rsidRPr="00CD0A4E" w:rsidRDefault="000438B1">
      <w:pPr>
        <w:pStyle w:val="FootnoteText"/>
      </w:pPr>
      <w:r>
        <w:rPr>
          <w:rStyle w:val="FootnoteReference"/>
        </w:rPr>
        <w:footnoteRef/>
      </w:r>
      <w:r>
        <w:t xml:space="preserve"> Gunkel, </w:t>
      </w:r>
      <w:r>
        <w:rPr>
          <w:i/>
        </w:rPr>
        <w:t>Genesis</w:t>
      </w:r>
      <w:r>
        <w:t>, 164.</w:t>
      </w:r>
    </w:p>
  </w:footnote>
  <w:footnote w:id="54">
    <w:p w14:paraId="395AD5DE" w14:textId="77777777" w:rsidR="000438B1" w:rsidRPr="00221510" w:rsidRDefault="000438B1">
      <w:pPr>
        <w:pStyle w:val="FootnoteText"/>
      </w:pPr>
      <w:r>
        <w:rPr>
          <w:rStyle w:val="FootnoteReference"/>
        </w:rPr>
        <w:footnoteRef/>
      </w:r>
      <w:r>
        <w:t xml:space="preserve"> Qimchi, </w:t>
      </w:r>
      <w:r>
        <w:rPr>
          <w:i/>
        </w:rPr>
        <w:t>Genesis</w:t>
      </w:r>
      <w:r>
        <w:t>, on the verse.</w:t>
      </w:r>
    </w:p>
  </w:footnote>
  <w:footnote w:id="55">
    <w:p w14:paraId="6CCB69FB" w14:textId="77777777" w:rsidR="000438B1" w:rsidRDefault="000438B1">
      <w:pPr>
        <w:pStyle w:val="FootnoteText"/>
      </w:pPr>
      <w:r>
        <w:rPr>
          <w:rStyle w:val="FootnoteReference"/>
        </w:rPr>
        <w:footnoteRef/>
      </w:r>
      <w:r>
        <w:t xml:space="preserve"> Miller, “</w:t>
      </w:r>
      <w:r w:rsidRPr="0057368E">
        <w:t>Syntax and Theology in Genesis xii 3a,</w:t>
      </w:r>
      <w:r>
        <w:t>” 474.</w:t>
      </w:r>
    </w:p>
  </w:footnote>
  <w:footnote w:id="56">
    <w:p w14:paraId="52ADB533" w14:textId="77777777" w:rsidR="000438B1" w:rsidRPr="00511F12" w:rsidRDefault="000438B1">
      <w:pPr>
        <w:pStyle w:val="FootnoteText"/>
      </w:pPr>
      <w:r>
        <w:rPr>
          <w:rStyle w:val="FootnoteReference"/>
        </w:rPr>
        <w:footnoteRef/>
      </w:r>
      <w:r>
        <w:t xml:space="preserve"> See N. MacDonald, “Did God Chose the Patriarchs?” in </w:t>
      </w:r>
      <w:r w:rsidRPr="00511F12">
        <w:t xml:space="preserve">MacDonald et al. (eds.), </w:t>
      </w:r>
      <w:r w:rsidRPr="00511F12">
        <w:rPr>
          <w:i/>
        </w:rPr>
        <w:t>Genesis and Christian Theology</w:t>
      </w:r>
      <w:r w:rsidRPr="00511F12">
        <w:t>,</w:t>
      </w:r>
      <w:r>
        <w:t xml:space="preserve"> 245-66 (257), following Kaminsky, </w:t>
      </w:r>
      <w:r>
        <w:rPr>
          <w:i/>
        </w:rPr>
        <w:t>Yet Jacob I Loved</w:t>
      </w:r>
      <w:r>
        <w:t>.</w:t>
      </w:r>
    </w:p>
  </w:footnote>
  <w:footnote w:id="57">
    <w:p w14:paraId="5DFA74AA" w14:textId="77777777" w:rsidR="000438B1" w:rsidRPr="006E5B22" w:rsidRDefault="000438B1" w:rsidP="00F8413F">
      <w:pPr>
        <w:pStyle w:val="FootnoteText"/>
      </w:pPr>
      <w:r>
        <w:rPr>
          <w:rStyle w:val="FootnoteReference"/>
        </w:rPr>
        <w:footnoteRef/>
      </w:r>
      <w:r>
        <w:t xml:space="preserve"> Barth, </w:t>
      </w:r>
      <w:r>
        <w:rPr>
          <w:i/>
        </w:rPr>
        <w:t>Dogmatics</w:t>
      </w:r>
      <w:r>
        <w:t xml:space="preserve"> III, 2:214.</w:t>
      </w:r>
    </w:p>
  </w:footnote>
  <w:footnote w:id="58">
    <w:p w14:paraId="6C5A877B" w14:textId="77777777" w:rsidR="000438B1" w:rsidRDefault="000438B1" w:rsidP="00F8413F">
      <w:pPr>
        <w:pStyle w:val="FootnoteText"/>
      </w:pPr>
      <w:r>
        <w:rPr>
          <w:rStyle w:val="FootnoteReference"/>
        </w:rPr>
        <w:footnoteRef/>
      </w:r>
      <w:r>
        <w:t xml:space="preserve"> On the both-and of Jews and Gentiles in Acts 3, see P. Mallen, “Genesis in Luke-Acts,” in Moyise/Menken (eds.), </w:t>
      </w:r>
      <w:r>
        <w:rPr>
          <w:i/>
        </w:rPr>
        <w:t>Genesis in the NT</w:t>
      </w:r>
      <w:r>
        <w:t>, 60-82 (70-74).</w:t>
      </w:r>
    </w:p>
  </w:footnote>
  <w:footnote w:id="59">
    <w:p w14:paraId="6D0D3878" w14:textId="77777777" w:rsidR="000438B1" w:rsidRPr="00562F30" w:rsidRDefault="000438B1" w:rsidP="00DE67B2">
      <w:pPr>
        <w:pStyle w:val="FootnoteText"/>
      </w:pPr>
      <w:r>
        <w:rPr>
          <w:rStyle w:val="FootnoteReference"/>
        </w:rPr>
        <w:footnoteRef/>
      </w:r>
      <w:r>
        <w:t xml:space="preserve"> Chrysostom, </w:t>
      </w:r>
      <w:r>
        <w:rPr>
          <w:i/>
        </w:rPr>
        <w:t>Homilies on Genesis 18-45</w:t>
      </w:r>
      <w:r>
        <w:t>, 244.</w:t>
      </w:r>
    </w:p>
  </w:footnote>
  <w:footnote w:id="60">
    <w:p w14:paraId="2F3C56B8" w14:textId="77777777" w:rsidR="000438B1" w:rsidRPr="00044A8C" w:rsidRDefault="000438B1">
      <w:pPr>
        <w:pStyle w:val="FootnoteText"/>
      </w:pPr>
      <w:r>
        <w:rPr>
          <w:rStyle w:val="FootnoteReference"/>
        </w:rPr>
        <w:footnoteRef/>
      </w:r>
      <w:r>
        <w:t xml:space="preserve"> But see A. G. Vaughn, “‘And Lot Went with Him,” in B. F. Batto and K. L. Roberts (eds.), </w:t>
      </w:r>
      <w:r>
        <w:rPr>
          <w:i/>
        </w:rPr>
        <w:t>David and Zion</w:t>
      </w:r>
      <w:r>
        <w:t xml:space="preserve"> (J. J. M. Roberts Festschrift; Winona Lake, IN: Eisenbrauns, 2004), 111-23.</w:t>
      </w:r>
    </w:p>
  </w:footnote>
  <w:footnote w:id="61">
    <w:p w14:paraId="38D7A5E3" w14:textId="77777777" w:rsidR="000438B1" w:rsidRPr="00FA7F26" w:rsidRDefault="000438B1">
      <w:pPr>
        <w:pStyle w:val="FootnoteText"/>
      </w:pPr>
      <w:r>
        <w:rPr>
          <w:rStyle w:val="FootnoteReference"/>
        </w:rPr>
        <w:footnoteRef/>
      </w:r>
      <w:r>
        <w:t xml:space="preserve"> See G. E. Wright, </w:t>
      </w:r>
      <w:r>
        <w:rPr>
          <w:i/>
        </w:rPr>
        <w:t>Shechem</w:t>
      </w:r>
      <w:r>
        <w:t xml:space="preserve"> (New York: McGraw, 1965).</w:t>
      </w:r>
    </w:p>
  </w:footnote>
  <w:footnote w:id="62">
    <w:p w14:paraId="4403D586" w14:textId="77777777" w:rsidR="000438B1" w:rsidRPr="00DC35A2" w:rsidRDefault="000438B1">
      <w:pPr>
        <w:pStyle w:val="FootnoteText"/>
      </w:pPr>
      <w:r>
        <w:rPr>
          <w:rStyle w:val="FootnoteReference"/>
        </w:rPr>
        <w:footnoteRef/>
      </w:r>
      <w:r>
        <w:t xml:space="preserve"> Cf. S. Bar, “Abraham’s Trees,” </w:t>
      </w:r>
      <w:r>
        <w:rPr>
          <w:i/>
        </w:rPr>
        <w:t>Irish Biblical Studies</w:t>
      </w:r>
      <w:r>
        <w:t xml:space="preserve"> 28 (2010): 2-20</w:t>
      </w:r>
    </w:p>
  </w:footnote>
  <w:footnote w:id="63">
    <w:p w14:paraId="62234A46" w14:textId="77777777" w:rsidR="000438B1" w:rsidRPr="00562F30" w:rsidRDefault="000438B1">
      <w:pPr>
        <w:pStyle w:val="FootnoteText"/>
      </w:pPr>
      <w:r>
        <w:rPr>
          <w:rStyle w:val="FootnoteReference"/>
        </w:rPr>
        <w:footnoteRef/>
      </w:r>
      <w:r>
        <w:t xml:space="preserve"> Cf. Chrysostom, </w:t>
      </w:r>
      <w:r>
        <w:rPr>
          <w:i/>
        </w:rPr>
        <w:t>Homilies on Genesis 18—45</w:t>
      </w:r>
      <w:r>
        <w:t>, 256-59.</w:t>
      </w:r>
    </w:p>
  </w:footnote>
  <w:footnote w:id="64">
    <w:p w14:paraId="0D4F1A6A" w14:textId="77777777" w:rsidR="000438B1" w:rsidRDefault="000438B1" w:rsidP="0091623C">
      <w:pPr>
        <w:pStyle w:val="FootnoteText"/>
      </w:pPr>
      <w:r>
        <w:rPr>
          <w:rStyle w:val="FootnoteReference"/>
        </w:rPr>
        <w:footnoteRef/>
      </w:r>
      <w:r>
        <w:t xml:space="preserve"> W. P. Brown, “Manifest Diversity, in </w:t>
      </w:r>
      <w:r w:rsidRPr="001B0674">
        <w:t xml:space="preserve">MacDonald et al. (eds.), </w:t>
      </w:r>
      <w:r w:rsidRPr="001B0674">
        <w:rPr>
          <w:i/>
        </w:rPr>
        <w:t>Genesis and Christian Theology</w:t>
      </w:r>
      <w:r w:rsidRPr="001B0674">
        <w:t>,</w:t>
      </w:r>
      <w:r>
        <w:t xml:space="preserve"> 3-25 (3-6).</w:t>
      </w:r>
    </w:p>
  </w:footnote>
  <w:footnote w:id="65">
    <w:p w14:paraId="3B3D38F4" w14:textId="29EBD802" w:rsidR="000438B1" w:rsidRDefault="000438B1">
      <w:pPr>
        <w:pStyle w:val="FootnoteText"/>
      </w:pPr>
      <w:r>
        <w:rPr>
          <w:rStyle w:val="FootnoteReference"/>
        </w:rPr>
        <w:footnoteRef/>
      </w:r>
      <w:r>
        <w:t xml:space="preserve"> KSG.</w:t>
      </w:r>
    </w:p>
  </w:footnote>
  <w:footnote w:id="66">
    <w:p w14:paraId="6822DA63" w14:textId="77777777" w:rsidR="000438B1" w:rsidRPr="00064B70" w:rsidRDefault="000438B1" w:rsidP="00095A1E">
      <w:pPr>
        <w:pStyle w:val="FootnoteText"/>
      </w:pPr>
      <w:r>
        <w:rPr>
          <w:rStyle w:val="FootnoteReference"/>
        </w:rPr>
        <w:footnoteRef/>
      </w:r>
      <w:r>
        <w:t xml:space="preserve"> Calvin, </w:t>
      </w:r>
      <w:r>
        <w:rPr>
          <w:i/>
        </w:rPr>
        <w:t>Genesis</w:t>
      </w:r>
      <w:r>
        <w:t xml:space="preserve"> 1:353-54.</w:t>
      </w:r>
    </w:p>
  </w:footnote>
  <w:footnote w:id="67">
    <w:p w14:paraId="1151DD9D" w14:textId="77777777" w:rsidR="000438B1" w:rsidRPr="002B684F" w:rsidRDefault="000438B1" w:rsidP="00095A1E">
      <w:pPr>
        <w:pStyle w:val="FootnoteText"/>
      </w:pPr>
      <w:r>
        <w:rPr>
          <w:rStyle w:val="FootnoteReference"/>
        </w:rPr>
        <w:footnoteRef/>
      </w:r>
      <w:r>
        <w:t xml:space="preserve"> Cf. S. Riecker, “Ein theologischer Ansatz zum Verständnis der Altarbaunotizen der </w:t>
      </w:r>
      <w:r w:rsidRPr="002B684F">
        <w:rPr>
          <w:rStyle w:val="Strong"/>
          <w:b w:val="0"/>
        </w:rPr>
        <w:t>Genesis</w:t>
      </w:r>
      <w:r>
        <w:rPr>
          <w:rStyle w:val="Strong"/>
          <w:b w:val="0"/>
        </w:rPr>
        <w:t xml:space="preserve">,” </w:t>
      </w:r>
      <w:r>
        <w:rPr>
          <w:rStyle w:val="Strong"/>
          <w:b w:val="0"/>
          <w:i/>
        </w:rPr>
        <w:t xml:space="preserve">Biblica </w:t>
      </w:r>
      <w:r>
        <w:rPr>
          <w:rStyle w:val="Strong"/>
          <w:b w:val="0"/>
        </w:rPr>
        <w:t>87 (2006): 526-30.</w:t>
      </w:r>
    </w:p>
  </w:footnote>
  <w:footnote w:id="68">
    <w:p w14:paraId="1A285D93" w14:textId="7D831E2A" w:rsidR="000438B1" w:rsidRDefault="000438B1">
      <w:pPr>
        <w:pStyle w:val="FootnoteText"/>
      </w:pPr>
      <w:r>
        <w:rPr>
          <w:rStyle w:val="FootnoteReference"/>
        </w:rPr>
        <w:footnoteRef/>
      </w:r>
      <w:r>
        <w:t xml:space="preserve"> On this expression, see the footnote and comment on 4:26.</w:t>
      </w:r>
    </w:p>
  </w:footnote>
  <w:footnote w:id="69">
    <w:p w14:paraId="199AA1A1" w14:textId="77777777" w:rsidR="000438B1" w:rsidRDefault="000438B1" w:rsidP="0031491C">
      <w:pPr>
        <w:pStyle w:val="FootnoteText"/>
      </w:pPr>
      <w:r>
        <w:rPr>
          <w:rStyle w:val="FootnoteReference"/>
        </w:rPr>
        <w:footnoteRef/>
      </w:r>
      <w:r>
        <w:t xml:space="preserve"> Fretheim,”Genesis,” 430.</w:t>
      </w:r>
    </w:p>
  </w:footnote>
  <w:footnote w:id="70">
    <w:p w14:paraId="5C374D11" w14:textId="77777777" w:rsidR="000438B1" w:rsidRPr="002A6C14" w:rsidRDefault="000438B1" w:rsidP="00F442D8">
      <w:pPr>
        <w:pStyle w:val="FootnoteText"/>
      </w:pPr>
      <w:r>
        <w:rPr>
          <w:rStyle w:val="FootnoteReference"/>
        </w:rPr>
        <w:footnoteRef/>
      </w:r>
      <w:r>
        <w:t xml:space="preserve"> Luther, </w:t>
      </w:r>
      <w:r>
        <w:rPr>
          <w:i/>
        </w:rPr>
        <w:t>Genesis 6—14</w:t>
      </w:r>
      <w:r>
        <w:t>, 288.</w:t>
      </w:r>
    </w:p>
  </w:footnote>
  <w:footnote w:id="71">
    <w:p w14:paraId="50946C20" w14:textId="77777777" w:rsidR="000438B1" w:rsidRDefault="000438B1" w:rsidP="0045325D">
      <w:pPr>
        <w:pStyle w:val="FootnoteText"/>
      </w:pPr>
      <w:r>
        <w:rPr>
          <w:rStyle w:val="FootnoteReference"/>
        </w:rPr>
        <w:footnoteRef/>
      </w:r>
      <w:r>
        <w:t xml:space="preserve"> More literally but idiomatically, “moved on, in going and in moving on.”</w:t>
      </w:r>
    </w:p>
  </w:footnote>
  <w:footnote w:id="72">
    <w:p w14:paraId="6904F77E" w14:textId="78592464" w:rsidR="000438B1" w:rsidRPr="002137FA" w:rsidRDefault="000438B1" w:rsidP="0045325D">
      <w:pPr>
        <w:pStyle w:val="FootnoteText"/>
      </w:pPr>
      <w:r>
        <w:rPr>
          <w:rStyle w:val="FootnoteReference"/>
        </w:rPr>
        <w:footnoteRef/>
      </w:r>
      <w:r>
        <w:t xml:space="preserve"> For </w:t>
      </w:r>
      <w:r>
        <w:rPr>
          <w:i/>
        </w:rPr>
        <w:t>hannegbāh</w:t>
      </w:r>
      <w:r>
        <w:t xml:space="preserve"> Vg, Aq, Sym, </w:t>
      </w:r>
      <w:proofErr w:type="gramStart"/>
      <w:r>
        <w:t>Tg</w:t>
      </w:r>
      <w:proofErr w:type="gramEnd"/>
      <w:r>
        <w:t xml:space="preserve"> have “to the south,” suggesting simply a direction of travel, but the same expression means “to the southland” in 13:1; simple </w:t>
      </w:r>
      <w:r w:rsidRPr="002137FA">
        <w:rPr>
          <w:i/>
        </w:rPr>
        <w:t>negbāh</w:t>
      </w:r>
      <w:r>
        <w:t xml:space="preserve"> is the expression for “southwards” in 13:14. Etymologically </w:t>
      </w:r>
      <w:proofErr w:type="gramStart"/>
      <w:r>
        <w:rPr>
          <w:i/>
        </w:rPr>
        <w:t>negeb</w:t>
      </w:r>
      <w:proofErr w:type="gramEnd"/>
      <w:r>
        <w:rPr>
          <w:i/>
        </w:rPr>
        <w:t xml:space="preserve"> </w:t>
      </w:r>
      <w:r>
        <w:t xml:space="preserve">suggests dry land, and LXX has “the wilderness” each time. See Aberbach/Grossfeld, </w:t>
      </w:r>
      <w:r>
        <w:rPr>
          <w:i/>
        </w:rPr>
        <w:t>Targum Onkelos</w:t>
      </w:r>
      <w:r>
        <w:t>, 80-81.</w:t>
      </w:r>
    </w:p>
  </w:footnote>
  <w:footnote w:id="73">
    <w:p w14:paraId="7E977DE1" w14:textId="77777777" w:rsidR="000438B1" w:rsidRPr="0005343C" w:rsidRDefault="000438B1">
      <w:pPr>
        <w:pStyle w:val="FootnoteText"/>
      </w:pPr>
      <w:r>
        <w:rPr>
          <w:rStyle w:val="FootnoteReference"/>
        </w:rPr>
        <w:footnoteRef/>
      </w:r>
      <w:r>
        <w:t xml:space="preserve"> More literally “hunger.”</w:t>
      </w:r>
    </w:p>
  </w:footnote>
  <w:footnote w:id="74">
    <w:p w14:paraId="14C50A2A" w14:textId="3E9B039D" w:rsidR="000438B1" w:rsidRDefault="000438B1" w:rsidP="00C209E9">
      <w:pPr>
        <w:pStyle w:val="FootnoteText"/>
      </w:pPr>
      <w:r>
        <w:rPr>
          <w:rStyle w:val="FootnoteReference"/>
        </w:rPr>
        <w:footnoteRef/>
      </w:r>
      <w:r>
        <w:t xml:space="preserve"> </w:t>
      </w:r>
      <w:r>
        <w:rPr>
          <w:i/>
        </w:rPr>
        <w:t>’E</w:t>
      </w:r>
      <w:r w:rsidRPr="00422207">
        <w:rPr>
          <w:i/>
        </w:rPr>
        <w:t>reṣ</w:t>
      </w:r>
      <w:r>
        <w:t xml:space="preserve"> is</w:t>
      </w:r>
      <w:r w:rsidRPr="00422207">
        <w:rPr>
          <w:i/>
        </w:rPr>
        <w:t xml:space="preserve"> </w:t>
      </w:r>
      <w:r>
        <w:t>the ordinary word for a country, but it can refer to a narrower area (e.g., 13:6-7; 20:1; 22:2) or a broader one (e.g., 2:11-14) as well as to the earth as whole (e.g., 10:32; 14:9, 22).</w:t>
      </w:r>
    </w:p>
  </w:footnote>
  <w:footnote w:id="75">
    <w:p w14:paraId="6623B69C" w14:textId="2505B728" w:rsidR="000438B1" w:rsidRDefault="000438B1">
      <w:pPr>
        <w:pStyle w:val="FootnoteText"/>
      </w:pPr>
      <w:r>
        <w:rPr>
          <w:rStyle w:val="FootnoteReference"/>
        </w:rPr>
        <w:footnoteRef/>
      </w:r>
      <w:r>
        <w:t xml:space="preserve"> In other contexts Abraham’s qatal verb could imply that he had “come to know,” raising the question whether he had not noticed before (see e.g., </w:t>
      </w:r>
      <w:r>
        <w:rPr>
          <w:i/>
        </w:rPr>
        <w:t>GenR</w:t>
      </w:r>
      <w:r>
        <w:t xml:space="preserve"> 40:4); but </w:t>
      </w:r>
      <w:r>
        <w:rPr>
          <w:i/>
        </w:rPr>
        <w:t>yāda‘</w:t>
      </w:r>
      <w:r>
        <w:t xml:space="preserve"> is commonly a quasi-stative (JM 112a).</w:t>
      </w:r>
    </w:p>
  </w:footnote>
  <w:footnote w:id="76">
    <w:p w14:paraId="03217836" w14:textId="05A4A504" w:rsidR="000438B1" w:rsidRPr="00EE0E6F" w:rsidRDefault="000438B1">
      <w:pPr>
        <w:pStyle w:val="FootnoteText"/>
      </w:pPr>
      <w:r>
        <w:rPr>
          <w:rStyle w:val="FootnoteReference"/>
        </w:rPr>
        <w:footnoteRef/>
      </w:r>
      <w:r>
        <w:t xml:space="preserve"> The abb’a’ order (“kill me and you let-live”) underlines the contrast between “me” and “you” and their .respective fates.</w:t>
      </w:r>
    </w:p>
  </w:footnote>
  <w:footnote w:id="77">
    <w:p w14:paraId="360D548F" w14:textId="77777777" w:rsidR="000438B1" w:rsidRDefault="000438B1" w:rsidP="005242AA">
      <w:pPr>
        <w:pStyle w:val="FootnoteText"/>
      </w:pPr>
      <w:r>
        <w:rPr>
          <w:rStyle w:val="FootnoteReference"/>
        </w:rPr>
        <w:footnoteRef/>
      </w:r>
      <w:r>
        <w:t xml:space="preserve"> In Egyptian, “Pharaoh” originally meant “great house,” so the phrase is comparable to “White House officials.”</w:t>
      </w:r>
    </w:p>
  </w:footnote>
  <w:footnote w:id="78">
    <w:p w14:paraId="3871BA7C" w14:textId="77777777" w:rsidR="000438B1" w:rsidRPr="00437954" w:rsidRDefault="000438B1">
      <w:pPr>
        <w:pStyle w:val="FootnoteText"/>
      </w:pPr>
      <w:r>
        <w:rPr>
          <w:rStyle w:val="FootnoteReference"/>
        </w:rPr>
        <w:footnoteRef/>
      </w:r>
      <w:r>
        <w:t xml:space="preserve"> See J. Pickering, “Divine Silence,” </w:t>
      </w:r>
      <w:r>
        <w:rPr>
          <w:i/>
        </w:rPr>
        <w:t xml:space="preserve">Scriptura </w:t>
      </w:r>
      <w:r>
        <w:t>113 (2014): 1-13.</w:t>
      </w:r>
    </w:p>
  </w:footnote>
  <w:footnote w:id="79">
    <w:p w14:paraId="7E0BEAEE" w14:textId="77777777" w:rsidR="000438B1" w:rsidRPr="00EE0E6F" w:rsidRDefault="000438B1" w:rsidP="0031491C">
      <w:pPr>
        <w:pStyle w:val="FootnoteText"/>
      </w:pPr>
      <w:r>
        <w:rPr>
          <w:rStyle w:val="FootnoteReference"/>
        </w:rPr>
        <w:footnoteRef/>
      </w:r>
      <w:r>
        <w:t xml:space="preserve"> Cf. Von Rad, </w:t>
      </w:r>
      <w:r>
        <w:rPr>
          <w:i/>
        </w:rPr>
        <w:t>Genesis</w:t>
      </w:r>
      <w:r>
        <w:t>, 164.</w:t>
      </w:r>
    </w:p>
  </w:footnote>
  <w:footnote w:id="80">
    <w:p w14:paraId="2A409C08" w14:textId="77777777" w:rsidR="000438B1" w:rsidRPr="00842FF0" w:rsidRDefault="000438B1" w:rsidP="00943474">
      <w:pPr>
        <w:pStyle w:val="FootnoteText"/>
      </w:pPr>
      <w:r>
        <w:rPr>
          <w:rStyle w:val="FootnoteReference"/>
        </w:rPr>
        <w:footnoteRef/>
      </w:r>
      <w:r>
        <w:t xml:space="preserve"> Dillmann, </w:t>
      </w:r>
      <w:r>
        <w:rPr>
          <w:i/>
        </w:rPr>
        <w:t xml:space="preserve">Genesis </w:t>
      </w:r>
      <w:r>
        <w:t>2:17.</w:t>
      </w:r>
    </w:p>
  </w:footnote>
  <w:footnote w:id="81">
    <w:p w14:paraId="0BAEA438" w14:textId="77777777" w:rsidR="000438B1" w:rsidRDefault="000438B1" w:rsidP="00F12C70">
      <w:pPr>
        <w:pStyle w:val="FootnoteText"/>
      </w:pPr>
      <w:r>
        <w:rPr>
          <w:rStyle w:val="FootnoteReference"/>
        </w:rPr>
        <w:footnoteRef/>
      </w:r>
      <w:r>
        <w:t xml:space="preserve"> So Rashi, </w:t>
      </w:r>
      <w:r w:rsidRPr="006C4D3A">
        <w:rPr>
          <w:i/>
        </w:rPr>
        <w:t>Br’šyt</w:t>
      </w:r>
      <w:r w:rsidRPr="006C4D3A">
        <w:t>,</w:t>
      </w:r>
      <w:r>
        <w:t xml:space="preserve"> 120.</w:t>
      </w:r>
    </w:p>
  </w:footnote>
  <w:footnote w:id="82">
    <w:p w14:paraId="45DEAC7E" w14:textId="77777777" w:rsidR="000438B1" w:rsidRPr="005D37B9" w:rsidRDefault="000438B1" w:rsidP="00F12C70">
      <w:pPr>
        <w:pStyle w:val="FootnoteText"/>
      </w:pPr>
      <w:r>
        <w:rPr>
          <w:rStyle w:val="FootnoteReference"/>
        </w:rPr>
        <w:footnoteRef/>
      </w:r>
      <w:r>
        <w:t xml:space="preserve"> Cf. Brueggemann, </w:t>
      </w:r>
      <w:r>
        <w:rPr>
          <w:i/>
        </w:rPr>
        <w:t>Genesis</w:t>
      </w:r>
      <w:r>
        <w:t>, 126.</w:t>
      </w:r>
    </w:p>
  </w:footnote>
  <w:footnote w:id="83">
    <w:p w14:paraId="0A8C47CD" w14:textId="77777777" w:rsidR="000438B1" w:rsidRPr="005747CD" w:rsidRDefault="000438B1">
      <w:pPr>
        <w:pStyle w:val="FootnoteText"/>
      </w:pPr>
      <w:r>
        <w:rPr>
          <w:rStyle w:val="FootnoteReference"/>
        </w:rPr>
        <w:footnoteRef/>
      </w:r>
      <w:r>
        <w:t xml:space="preserve"> See </w:t>
      </w:r>
      <w:r>
        <w:rPr>
          <w:i/>
        </w:rPr>
        <w:t>ANET</w:t>
      </w:r>
      <w:r>
        <w:t>, 259.</w:t>
      </w:r>
    </w:p>
  </w:footnote>
  <w:footnote w:id="84">
    <w:p w14:paraId="42AB37C6" w14:textId="77777777" w:rsidR="000438B1" w:rsidRPr="00C74F2F" w:rsidRDefault="000438B1">
      <w:pPr>
        <w:pStyle w:val="FootnoteText"/>
      </w:pPr>
      <w:r>
        <w:rPr>
          <w:rStyle w:val="FootnoteReference"/>
        </w:rPr>
        <w:footnoteRef/>
      </w:r>
      <w:r>
        <w:t xml:space="preserve"> Cf. Calvin, </w:t>
      </w:r>
      <w:r>
        <w:rPr>
          <w:i/>
        </w:rPr>
        <w:t>Genesis</w:t>
      </w:r>
      <w:r>
        <w:t xml:space="preserve"> 1:361.</w:t>
      </w:r>
    </w:p>
  </w:footnote>
  <w:footnote w:id="85">
    <w:p w14:paraId="0F3FCC4A" w14:textId="77777777" w:rsidR="000438B1" w:rsidRDefault="000438B1" w:rsidP="00435BC2">
      <w:pPr>
        <w:pStyle w:val="FootnoteText"/>
      </w:pPr>
      <w:r>
        <w:rPr>
          <w:rStyle w:val="FootnoteReference"/>
        </w:rPr>
        <w:footnoteRef/>
      </w:r>
      <w:r>
        <w:t xml:space="preserve"> Cf. van Dijk-Hemmes, </w:t>
      </w:r>
      <w:r>
        <w:rPr>
          <w:i/>
        </w:rPr>
        <w:t>The Double Voice of Her Desire</w:t>
      </w:r>
      <w:r>
        <w:t>, 140.</w:t>
      </w:r>
    </w:p>
  </w:footnote>
  <w:footnote w:id="86">
    <w:p w14:paraId="48F4D712" w14:textId="18F73AF8" w:rsidR="000438B1" w:rsidRPr="007D2451" w:rsidRDefault="000438B1">
      <w:pPr>
        <w:pStyle w:val="FootnoteText"/>
      </w:pPr>
      <w:r>
        <w:rPr>
          <w:rStyle w:val="FootnoteReference"/>
        </w:rPr>
        <w:footnoteRef/>
      </w:r>
      <w:r>
        <w:t xml:space="preserve"> </w:t>
      </w:r>
      <w:r>
        <w:rPr>
          <w:i/>
        </w:rPr>
        <w:t xml:space="preserve">DSS </w:t>
      </w:r>
      <w:r>
        <w:t>1:38-43.</w:t>
      </w:r>
    </w:p>
  </w:footnote>
  <w:footnote w:id="87">
    <w:p w14:paraId="1127A578" w14:textId="77777777" w:rsidR="000438B1" w:rsidRPr="00966A1B" w:rsidRDefault="000438B1">
      <w:pPr>
        <w:pStyle w:val="FootnoteText"/>
      </w:pPr>
      <w:r>
        <w:rPr>
          <w:rStyle w:val="FootnoteReference"/>
        </w:rPr>
        <w:footnoteRef/>
      </w:r>
      <w:r>
        <w:t xml:space="preserve"> Cf. Cf. J. T. A. G. M. van Ruiten, “The Book of Jubilees and the Genesis Apocryphon,” in H. Assel et al. (eds.), </w:t>
      </w:r>
      <w:r>
        <w:rPr>
          <w:i/>
        </w:rPr>
        <w:t>Beyond Biblical Theologies</w:t>
      </w:r>
      <w:r>
        <w:t xml:space="preserve"> (Tübingen: Mohr, 2012), 545-75 (564).</w:t>
      </w:r>
    </w:p>
  </w:footnote>
  <w:footnote w:id="88">
    <w:p w14:paraId="39039894" w14:textId="77777777" w:rsidR="000438B1" w:rsidRPr="009A5D4A" w:rsidRDefault="000438B1">
      <w:pPr>
        <w:pStyle w:val="FootnoteText"/>
      </w:pPr>
      <w:r>
        <w:rPr>
          <w:rStyle w:val="FootnoteReference"/>
        </w:rPr>
        <w:footnoteRef/>
      </w:r>
      <w:r>
        <w:t xml:space="preserve"> Cf. De La Torre, </w:t>
      </w:r>
      <w:r>
        <w:rPr>
          <w:i/>
        </w:rPr>
        <w:t>Genesis</w:t>
      </w:r>
      <w:r>
        <w:t>, 150.</w:t>
      </w:r>
    </w:p>
  </w:footnote>
  <w:footnote w:id="89">
    <w:p w14:paraId="5A013124" w14:textId="77777777" w:rsidR="000438B1" w:rsidRPr="00522870" w:rsidRDefault="000438B1">
      <w:pPr>
        <w:pStyle w:val="FootnoteText"/>
      </w:pPr>
      <w:r>
        <w:rPr>
          <w:rStyle w:val="FootnoteReference"/>
        </w:rPr>
        <w:footnoteRef/>
      </w:r>
      <w:r>
        <w:t xml:space="preserve"> See J. C. Exum, “Who’s Afraid of ‘The Endangered Ancestress’?” in J. C. Exum and D. J. A. Clines (eds.), </w:t>
      </w:r>
      <w:r>
        <w:rPr>
          <w:i/>
        </w:rPr>
        <w:t>The New Literary Criticism</w:t>
      </w:r>
      <w:r>
        <w:t xml:space="preserve"> (Sheffield: Sheffield Academic Press, 1993), 90-113.</w:t>
      </w:r>
    </w:p>
  </w:footnote>
  <w:footnote w:id="90">
    <w:p w14:paraId="7AC727F0" w14:textId="77777777" w:rsidR="000438B1" w:rsidRPr="005F1D90" w:rsidRDefault="000438B1">
      <w:pPr>
        <w:pStyle w:val="FootnoteText"/>
      </w:pPr>
      <w:r>
        <w:rPr>
          <w:rStyle w:val="FootnoteReference"/>
        </w:rPr>
        <w:footnoteRef/>
      </w:r>
      <w:r>
        <w:t xml:space="preserve"> Cf. J. A. Davidson, “Genesis Matriarchs Engage Feminism,” </w:t>
      </w:r>
      <w:r>
        <w:rPr>
          <w:i/>
        </w:rPr>
        <w:t xml:space="preserve">AUSS </w:t>
      </w:r>
      <w:r>
        <w:t>40 (2002): 169-78 (170).</w:t>
      </w:r>
    </w:p>
  </w:footnote>
  <w:footnote w:id="91">
    <w:p w14:paraId="455417AD" w14:textId="77777777" w:rsidR="000438B1" w:rsidRPr="002A7B1D" w:rsidRDefault="000438B1">
      <w:pPr>
        <w:pStyle w:val="FootnoteText"/>
      </w:pPr>
      <w:r>
        <w:rPr>
          <w:rStyle w:val="FootnoteReference"/>
        </w:rPr>
        <w:footnoteRef/>
      </w:r>
      <w:r>
        <w:t xml:space="preserve"> Cf. Sarna, </w:t>
      </w:r>
      <w:r>
        <w:rPr>
          <w:i/>
        </w:rPr>
        <w:t>Genesis</w:t>
      </w:r>
      <w:r>
        <w:t>, 95.</w:t>
      </w:r>
    </w:p>
  </w:footnote>
  <w:footnote w:id="92">
    <w:p w14:paraId="461D1A7E" w14:textId="17153D83" w:rsidR="000438B1" w:rsidRDefault="000438B1">
      <w:pPr>
        <w:pStyle w:val="FootnoteText"/>
      </w:pPr>
      <w:r>
        <w:rPr>
          <w:rStyle w:val="FootnoteReference"/>
        </w:rPr>
        <w:footnoteRef/>
      </w:r>
      <w:r>
        <w:t xml:space="preserve"> </w:t>
      </w:r>
      <w:r w:rsidRPr="0005171C">
        <w:t xml:space="preserve">Cf. Sarna, </w:t>
      </w:r>
      <w:r w:rsidRPr="0005171C">
        <w:rPr>
          <w:i/>
        </w:rPr>
        <w:t>Genesis</w:t>
      </w:r>
      <w:r w:rsidRPr="0005171C">
        <w:t>, 95</w:t>
      </w:r>
      <w:r>
        <w:t>, and the footnote to v. 12b.</w:t>
      </w:r>
    </w:p>
  </w:footnote>
  <w:footnote w:id="93">
    <w:p w14:paraId="658E3B06" w14:textId="77777777" w:rsidR="000438B1" w:rsidRPr="002C7FD8" w:rsidRDefault="000438B1">
      <w:pPr>
        <w:pStyle w:val="FootnoteText"/>
      </w:pPr>
      <w:r>
        <w:rPr>
          <w:rStyle w:val="FootnoteReference"/>
        </w:rPr>
        <w:footnoteRef/>
      </w:r>
      <w:r>
        <w:t xml:space="preserve"> Cf. Wenham, </w:t>
      </w:r>
      <w:r>
        <w:rPr>
          <w:i/>
        </w:rPr>
        <w:t>Genesis 1—15</w:t>
      </w:r>
      <w:r>
        <w:t>, 288.</w:t>
      </w:r>
    </w:p>
  </w:footnote>
  <w:footnote w:id="94">
    <w:p w14:paraId="1C7B3A8F" w14:textId="77777777" w:rsidR="000438B1" w:rsidRPr="00761FFC" w:rsidRDefault="000438B1">
      <w:pPr>
        <w:pStyle w:val="FootnoteText"/>
      </w:pPr>
      <w:r>
        <w:rPr>
          <w:rStyle w:val="FootnoteReference"/>
        </w:rPr>
        <w:footnoteRef/>
      </w:r>
      <w:r>
        <w:t xml:space="preserve"> J. E. McKinlay, “</w:t>
      </w:r>
      <w:proofErr w:type="gramStart"/>
      <w:r>
        <w:t>Who’s/</w:t>
      </w:r>
      <w:proofErr w:type="gramEnd"/>
      <w:r>
        <w:t>Whose Sarah?” Conrad/Boer (eds.),</w:t>
      </w:r>
      <w:r w:rsidRPr="00761FFC">
        <w:t xml:space="preserve"> </w:t>
      </w:r>
      <w:r w:rsidRPr="00761FFC">
        <w:rPr>
          <w:i/>
        </w:rPr>
        <w:t>Redirected Travel</w:t>
      </w:r>
      <w:r>
        <w:t>, 131-43 (141).</w:t>
      </w:r>
    </w:p>
  </w:footnote>
  <w:footnote w:id="95">
    <w:p w14:paraId="28C09F67" w14:textId="1CFD1CB0" w:rsidR="000438B1" w:rsidRPr="00D2592B" w:rsidRDefault="000438B1">
      <w:pPr>
        <w:pStyle w:val="FootnoteText"/>
      </w:pPr>
      <w:r>
        <w:rPr>
          <w:rStyle w:val="FootnoteReference"/>
        </w:rPr>
        <w:footnoteRef/>
      </w:r>
      <w:r>
        <w:t xml:space="preserve"> Visotzky, </w:t>
      </w:r>
      <w:r>
        <w:rPr>
          <w:i/>
        </w:rPr>
        <w:t>Genesis of Ethics</w:t>
      </w:r>
      <w:r>
        <w:t>, 31.</w:t>
      </w:r>
    </w:p>
  </w:footnote>
  <w:footnote w:id="96">
    <w:p w14:paraId="3E825093" w14:textId="40A10A8E" w:rsidR="000438B1" w:rsidRPr="00BF4ED5" w:rsidRDefault="000438B1">
      <w:pPr>
        <w:pStyle w:val="FootnoteText"/>
      </w:pPr>
      <w:r>
        <w:rPr>
          <w:rStyle w:val="FootnoteReference"/>
        </w:rPr>
        <w:footnoteRef/>
      </w:r>
      <w:r>
        <w:t xml:space="preserve"> </w:t>
      </w:r>
      <w:r>
        <w:rPr>
          <w:i/>
        </w:rPr>
        <w:t>GenAp</w:t>
      </w:r>
      <w:r>
        <w:t xml:space="preserve"> 20 expatiates at some length on the assessment by Pharaoh’s staff.</w:t>
      </w:r>
    </w:p>
  </w:footnote>
  <w:footnote w:id="97">
    <w:p w14:paraId="2859DBF7" w14:textId="77777777" w:rsidR="000438B1" w:rsidRPr="006C4D3A" w:rsidRDefault="000438B1">
      <w:pPr>
        <w:pStyle w:val="FootnoteText"/>
      </w:pPr>
      <w:r>
        <w:rPr>
          <w:rStyle w:val="FootnoteReference"/>
        </w:rPr>
        <w:footnoteRef/>
      </w:r>
      <w:r>
        <w:t xml:space="preserve"> Cf. Jerome, </w:t>
      </w:r>
      <w:r w:rsidRPr="006C4D3A">
        <w:rPr>
          <w:i/>
        </w:rPr>
        <w:t>Hebrew Questions on Genesis</w:t>
      </w:r>
      <w:r>
        <w:t>, 44.</w:t>
      </w:r>
    </w:p>
  </w:footnote>
  <w:footnote w:id="98">
    <w:p w14:paraId="1A584DED" w14:textId="77777777" w:rsidR="000438B1" w:rsidRPr="0006169A" w:rsidRDefault="000438B1">
      <w:pPr>
        <w:pStyle w:val="FootnoteText"/>
      </w:pPr>
      <w:r>
        <w:rPr>
          <w:rStyle w:val="FootnoteReference"/>
        </w:rPr>
        <w:footnoteRef/>
      </w:r>
      <w:r>
        <w:t xml:space="preserve"> So Ephrem, “</w:t>
      </w:r>
      <w:r w:rsidRPr="00F916CA">
        <w:t>Commentary on Genesis,</w:t>
      </w:r>
      <w:r>
        <w:t>” 149</w:t>
      </w:r>
    </w:p>
  </w:footnote>
  <w:footnote w:id="99">
    <w:p w14:paraId="48B2439B" w14:textId="77777777" w:rsidR="000438B1" w:rsidRDefault="000438B1">
      <w:pPr>
        <w:pStyle w:val="FootnoteText"/>
      </w:pPr>
      <w:r>
        <w:rPr>
          <w:rStyle w:val="FootnoteReference"/>
        </w:rPr>
        <w:footnoteRef/>
      </w:r>
      <w:r>
        <w:t xml:space="preserve"> S</w:t>
      </w:r>
      <w:r w:rsidRPr="005F1989">
        <w:t xml:space="preserve">ee S. P. Brock, “Creating Women’s Voices,” in Grypeou/Spurling (eds.), </w:t>
      </w:r>
      <w:r w:rsidRPr="005F1989">
        <w:rPr>
          <w:i/>
        </w:rPr>
        <w:t>Exegetical Encounter</w:t>
      </w:r>
      <w:r w:rsidRPr="005F1989">
        <w:t xml:space="preserve">, </w:t>
      </w:r>
      <w:proofErr w:type="gramStart"/>
      <w:r w:rsidRPr="005F1989">
        <w:t>125</w:t>
      </w:r>
      <w:proofErr w:type="gramEnd"/>
      <w:r w:rsidRPr="005F1989">
        <w:t>-42</w:t>
      </w:r>
      <w:r>
        <w:t>.</w:t>
      </w:r>
    </w:p>
  </w:footnote>
  <w:footnote w:id="100">
    <w:p w14:paraId="79D86839" w14:textId="77777777" w:rsidR="000438B1" w:rsidRPr="005F1989" w:rsidRDefault="000438B1">
      <w:pPr>
        <w:pStyle w:val="FootnoteText"/>
      </w:pPr>
      <w:r>
        <w:rPr>
          <w:rStyle w:val="FootnoteReference"/>
        </w:rPr>
        <w:footnoteRef/>
      </w:r>
      <w:r>
        <w:t xml:space="preserve"> Cf. </w:t>
      </w:r>
      <w:r w:rsidRPr="005F1989">
        <w:t xml:space="preserve">van Dijk-Hemmes, </w:t>
      </w:r>
      <w:r w:rsidRPr="005F1989">
        <w:rPr>
          <w:i/>
        </w:rPr>
        <w:t>The Double Voice of Her Desire</w:t>
      </w:r>
      <w:r>
        <w:t xml:space="preserve">, 136-45; </w:t>
      </w:r>
    </w:p>
  </w:footnote>
  <w:footnote w:id="101">
    <w:p w14:paraId="7E234784" w14:textId="18D59CB1" w:rsidR="000438B1" w:rsidRPr="008B1689" w:rsidRDefault="000438B1">
      <w:pPr>
        <w:pStyle w:val="FootnoteText"/>
      </w:pPr>
      <w:r>
        <w:rPr>
          <w:rStyle w:val="FootnoteReference"/>
        </w:rPr>
        <w:footnoteRef/>
      </w:r>
      <w:r>
        <w:t xml:space="preserve"> B. L. Eichler, “On Reading Genesis 12:10-20,” in M. Cogan et al. (eds.), </w:t>
      </w:r>
      <w:r>
        <w:rPr>
          <w:i/>
        </w:rPr>
        <w:t>Tehillah le-Moshe</w:t>
      </w:r>
      <w:r>
        <w:t xml:space="preserve"> (M. Greenberg Festschrift; Winona Lake, IN: Eisenbrauns, 1997), 23-38 (27).</w:t>
      </w:r>
    </w:p>
  </w:footnote>
  <w:footnote w:id="102">
    <w:p w14:paraId="2A7B9A0D" w14:textId="77777777" w:rsidR="000438B1" w:rsidRPr="00CE505D" w:rsidRDefault="000438B1" w:rsidP="00C01782">
      <w:pPr>
        <w:pStyle w:val="FootnoteText"/>
      </w:pPr>
      <w:r>
        <w:rPr>
          <w:rStyle w:val="FootnoteReference"/>
        </w:rPr>
        <w:footnoteRef/>
      </w:r>
      <w:r>
        <w:t xml:space="preserve"> Jacobs, </w:t>
      </w:r>
      <w:r>
        <w:rPr>
          <w:i/>
        </w:rPr>
        <w:t>Gender, Power, and Persuasion</w:t>
      </w:r>
      <w:r>
        <w:t>, 87.</w:t>
      </w:r>
    </w:p>
  </w:footnote>
  <w:footnote w:id="103">
    <w:p w14:paraId="62D1AB61" w14:textId="77777777" w:rsidR="000438B1" w:rsidRPr="006C4D3A" w:rsidRDefault="000438B1">
      <w:pPr>
        <w:pStyle w:val="FootnoteText"/>
      </w:pPr>
      <w:r>
        <w:rPr>
          <w:rStyle w:val="FootnoteReference"/>
        </w:rPr>
        <w:footnoteRef/>
      </w:r>
      <w:r>
        <w:t xml:space="preserve"> Cf. Ibn Ezra, </w:t>
      </w:r>
      <w:r>
        <w:rPr>
          <w:i/>
        </w:rPr>
        <w:t>Genesis</w:t>
      </w:r>
      <w:r>
        <w:t xml:space="preserve">, 156; and at length, </w:t>
      </w:r>
      <w:r>
        <w:rPr>
          <w:i/>
        </w:rPr>
        <w:t xml:space="preserve">GenAp </w:t>
      </w:r>
      <w:r>
        <w:t>20, which also reassures the reader that Pharaoh did not approach Sarah or have sex with her (so also TgPsJ).</w:t>
      </w:r>
    </w:p>
  </w:footnote>
  <w:footnote w:id="104">
    <w:p w14:paraId="20A88D18" w14:textId="77777777" w:rsidR="000438B1" w:rsidRDefault="000438B1">
      <w:pPr>
        <w:pStyle w:val="FootnoteText"/>
      </w:pPr>
      <w:r>
        <w:rPr>
          <w:rStyle w:val="FootnoteReference"/>
        </w:rPr>
        <w:footnoteRef/>
      </w:r>
      <w:r>
        <w:t xml:space="preserve"> Hamilton, </w:t>
      </w:r>
      <w:r w:rsidRPr="00A367FA">
        <w:rPr>
          <w:i/>
        </w:rPr>
        <w:t>Genesis 1—17</w:t>
      </w:r>
      <w:r w:rsidRPr="00A367FA">
        <w:t>,</w:t>
      </w:r>
      <w:r>
        <w:t xml:space="preserve"> 385.</w:t>
      </w:r>
    </w:p>
  </w:footnote>
  <w:footnote w:id="105">
    <w:p w14:paraId="7D3997EC" w14:textId="77777777" w:rsidR="000438B1" w:rsidRPr="00C5299B" w:rsidRDefault="000438B1">
      <w:pPr>
        <w:pStyle w:val="FootnoteText"/>
      </w:pPr>
      <w:r>
        <w:rPr>
          <w:rStyle w:val="FootnoteReference"/>
        </w:rPr>
        <w:footnoteRef/>
      </w:r>
      <w:r>
        <w:t xml:space="preserve"> After teaching the Egyptians Babylonian arithmetic and astronomy, Josephus says (</w:t>
      </w:r>
      <w:r>
        <w:rPr>
          <w:i/>
        </w:rPr>
        <w:t>Antiquities</w:t>
      </w:r>
      <w:r>
        <w:t xml:space="preserve"> 1, 8:2).</w:t>
      </w:r>
    </w:p>
  </w:footnote>
  <w:footnote w:id="106">
    <w:p w14:paraId="25864082" w14:textId="77777777" w:rsidR="000438B1" w:rsidRDefault="000438B1">
      <w:pPr>
        <w:pStyle w:val="FootnoteText"/>
      </w:pPr>
      <w:r>
        <w:rPr>
          <w:rStyle w:val="FootnoteReference"/>
        </w:rPr>
        <w:footnoteRef/>
      </w:r>
      <w:r>
        <w:t xml:space="preserve"> </w:t>
      </w:r>
      <w:r w:rsidRPr="002E1F5A">
        <w:rPr>
          <w:i/>
        </w:rPr>
        <w:t>GenAp</w:t>
      </w:r>
      <w:r>
        <w:t xml:space="preserve"> adds silver and gold in 12:16.</w:t>
      </w:r>
    </w:p>
  </w:footnote>
  <w:footnote w:id="107">
    <w:p w14:paraId="2A6573CD" w14:textId="7B347993" w:rsidR="000438B1" w:rsidRDefault="000438B1">
      <w:pPr>
        <w:pStyle w:val="FootnoteText"/>
      </w:pPr>
      <w:r>
        <w:rPr>
          <w:rStyle w:val="FootnoteReference"/>
        </w:rPr>
        <w:footnoteRef/>
      </w:r>
      <w:r>
        <w:t xml:space="preserve"> On this expression, see the footnote and the comment on 4:26.</w:t>
      </w:r>
    </w:p>
  </w:footnote>
  <w:footnote w:id="108">
    <w:p w14:paraId="11183846" w14:textId="77777777" w:rsidR="000438B1" w:rsidRPr="00BC16DF" w:rsidRDefault="000438B1">
      <w:pPr>
        <w:pStyle w:val="FootnoteText"/>
      </w:pPr>
      <w:r>
        <w:rPr>
          <w:rStyle w:val="FootnoteReference"/>
        </w:rPr>
        <w:footnoteRef/>
      </w:r>
      <w:r>
        <w:t xml:space="preserve"> Cf. L. R. Helyer, “The Separation of Abraham and Lot,” </w:t>
      </w:r>
      <w:r>
        <w:rPr>
          <w:i/>
        </w:rPr>
        <w:t>JSOT</w:t>
      </w:r>
      <w:r>
        <w:t xml:space="preserve"> 26 (1983): 77-88.</w:t>
      </w:r>
    </w:p>
  </w:footnote>
  <w:footnote w:id="109">
    <w:p w14:paraId="3F97E768" w14:textId="4C990807" w:rsidR="000438B1" w:rsidRPr="001E41E0" w:rsidRDefault="000438B1">
      <w:pPr>
        <w:pStyle w:val="FootnoteText"/>
      </w:pPr>
      <w:r>
        <w:rPr>
          <w:rStyle w:val="FootnoteReference"/>
        </w:rPr>
        <w:footnoteRef/>
      </w:r>
      <w:r>
        <w:t xml:space="preserve"> The </w:t>
      </w:r>
      <w:r>
        <w:rPr>
          <w:i/>
        </w:rPr>
        <w:t>w</w:t>
      </w:r>
      <w:r>
        <w:t xml:space="preserve"> is explanatory (see the footnote to 4:4).</w:t>
      </w:r>
    </w:p>
  </w:footnote>
  <w:footnote w:id="110">
    <w:p w14:paraId="69337CC4" w14:textId="6F068DFB" w:rsidR="000438B1" w:rsidRDefault="000438B1" w:rsidP="008F09E9">
      <w:pPr>
        <w:pStyle w:val="FootnoteText"/>
      </w:pPr>
      <w:r>
        <w:rPr>
          <w:rStyle w:val="FootnoteReference"/>
        </w:rPr>
        <w:footnoteRef/>
      </w:r>
      <w:r>
        <w:t xml:space="preserve"> Literally “men, brothers”: in the apposition, the second noun more closely defines the first (GK 131b). “Brothers” has the broad sense of “relatives”: so also in (e.g.) Gen 14; 16; 24; 31.</w:t>
      </w:r>
    </w:p>
  </w:footnote>
  <w:footnote w:id="111">
    <w:p w14:paraId="774652E7" w14:textId="77777777" w:rsidR="000438B1" w:rsidRDefault="000438B1">
      <w:pPr>
        <w:pStyle w:val="FootnoteText"/>
      </w:pPr>
      <w:r>
        <w:rPr>
          <w:rStyle w:val="FootnoteReference"/>
        </w:rPr>
        <w:footnoteRef/>
      </w:r>
      <w:r>
        <w:t xml:space="preserve"> Literally left, right, right, left, because Hebrew thinking often orients by imagining one is standing looking east.</w:t>
      </w:r>
    </w:p>
  </w:footnote>
  <w:footnote w:id="112">
    <w:p w14:paraId="5FE750BE" w14:textId="175AF339" w:rsidR="000438B1" w:rsidRDefault="000438B1">
      <w:pPr>
        <w:pStyle w:val="FootnoteText"/>
      </w:pPr>
      <w:r>
        <w:rPr>
          <w:rStyle w:val="FootnoteReference"/>
        </w:rPr>
        <w:footnoteRef/>
      </w:r>
      <w:r>
        <w:t xml:space="preserve"> Literally, “from the front”: see previous note, and the footnote to 2:8 (also 3:24; 11:2; 12:8).</w:t>
      </w:r>
    </w:p>
  </w:footnote>
  <w:footnote w:id="113">
    <w:p w14:paraId="4811675C" w14:textId="77777777" w:rsidR="000438B1" w:rsidRDefault="000438B1">
      <w:pPr>
        <w:pStyle w:val="FootnoteText"/>
      </w:pPr>
      <w:r>
        <w:rPr>
          <w:rStyle w:val="FootnoteReference"/>
        </w:rPr>
        <w:footnoteRef/>
      </w:r>
      <w:r>
        <w:t xml:space="preserve"> The word order with the subject becoming before the verb is unusual and draws attention to the newness of this subsection.</w:t>
      </w:r>
    </w:p>
  </w:footnote>
  <w:footnote w:id="114">
    <w:p w14:paraId="5EB70232" w14:textId="655479EF" w:rsidR="000438B1" w:rsidRDefault="000438B1">
      <w:pPr>
        <w:pStyle w:val="FootnoteText"/>
      </w:pPr>
      <w:r>
        <w:rPr>
          <w:rStyle w:val="FootnoteReference"/>
        </w:rPr>
        <w:footnoteRef/>
      </w:r>
      <w:r>
        <w:t xml:space="preserve"> Here Yahweh uses a different way of referring to directions—towards Mount Zaphon, towards the Negev, in front of you, and towards the [Mediterranean] sea.</w:t>
      </w:r>
    </w:p>
  </w:footnote>
  <w:footnote w:id="115">
    <w:p w14:paraId="2DDC26D6" w14:textId="77777777" w:rsidR="000438B1" w:rsidRDefault="000438B1">
      <w:pPr>
        <w:pStyle w:val="FootnoteText"/>
      </w:pPr>
      <w:r>
        <w:rPr>
          <w:rStyle w:val="FootnoteReference"/>
        </w:rPr>
        <w:footnoteRef/>
      </w:r>
      <w:r>
        <w:t xml:space="preserve"> Literally, “to the age.”</w:t>
      </w:r>
    </w:p>
  </w:footnote>
  <w:footnote w:id="116">
    <w:p w14:paraId="71CA9E14" w14:textId="653EC62C" w:rsidR="000438B1" w:rsidRDefault="000438B1">
      <w:pPr>
        <w:pStyle w:val="FootnoteText"/>
      </w:pPr>
      <w:r>
        <w:rPr>
          <w:rStyle w:val="FootnoteReference"/>
        </w:rPr>
        <w:footnoteRef/>
      </w:r>
      <w:r>
        <w:t xml:space="preserve"> TgOnq has “Mamre Plains,” TgNeoph “Vision Plain,” TgPsJ “Mamre Vison” (see the footnote to 12:6; also Maher, </w:t>
      </w:r>
      <w:r w:rsidRPr="00317BBD">
        <w:rPr>
          <w:i/>
        </w:rPr>
        <w:t>Targum Pseudo-Jonathan: Genesis</w:t>
      </w:r>
      <w:r>
        <w:t>, 55).</w:t>
      </w:r>
    </w:p>
  </w:footnote>
  <w:footnote w:id="117">
    <w:p w14:paraId="13C51D63" w14:textId="77777777" w:rsidR="000438B1" w:rsidRPr="00D36C01" w:rsidRDefault="000438B1" w:rsidP="00EE46EB">
      <w:pPr>
        <w:pStyle w:val="FootnoteText"/>
      </w:pPr>
      <w:r>
        <w:rPr>
          <w:rStyle w:val="FootnoteReference"/>
        </w:rPr>
        <w:footnoteRef/>
      </w:r>
      <w:r>
        <w:t xml:space="preserve"> Coats, </w:t>
      </w:r>
      <w:r>
        <w:rPr>
          <w:i/>
        </w:rPr>
        <w:t>Genesis</w:t>
      </w:r>
      <w:r>
        <w:t xml:space="preserve">, 118. See further D. Rickett, “Rethinking the Place and Purpose of Genesis 13,” </w:t>
      </w:r>
      <w:r>
        <w:rPr>
          <w:i/>
        </w:rPr>
        <w:t xml:space="preserve">JSOT </w:t>
      </w:r>
      <w:r>
        <w:t>36 (2011): 31-53.</w:t>
      </w:r>
    </w:p>
  </w:footnote>
  <w:footnote w:id="118">
    <w:p w14:paraId="213C7611" w14:textId="77777777" w:rsidR="000438B1" w:rsidRPr="00452C95" w:rsidRDefault="000438B1">
      <w:pPr>
        <w:pStyle w:val="FootnoteText"/>
      </w:pPr>
      <w:r>
        <w:rPr>
          <w:rStyle w:val="FootnoteReference"/>
        </w:rPr>
        <w:footnoteRef/>
      </w:r>
      <w:r>
        <w:t xml:space="preserve"> Skinner, </w:t>
      </w:r>
      <w:r>
        <w:rPr>
          <w:i/>
        </w:rPr>
        <w:t>Genesis</w:t>
      </w:r>
      <w:r>
        <w:t>, 251.</w:t>
      </w:r>
    </w:p>
  </w:footnote>
  <w:footnote w:id="119">
    <w:p w14:paraId="278A28F8" w14:textId="77777777" w:rsidR="000438B1" w:rsidRPr="00A710DF" w:rsidRDefault="000438B1" w:rsidP="00FB0285">
      <w:pPr>
        <w:pStyle w:val="FootnoteText"/>
      </w:pPr>
      <w:r>
        <w:rPr>
          <w:rStyle w:val="FootnoteReference"/>
        </w:rPr>
        <w:footnoteRef/>
      </w:r>
      <w:r>
        <w:t xml:space="preserve"> Gunkel</w:t>
      </w:r>
      <w:r>
        <w:rPr>
          <w:i/>
        </w:rPr>
        <w:t>, Genesis</w:t>
      </w:r>
      <w:r>
        <w:t>, 173.</w:t>
      </w:r>
    </w:p>
  </w:footnote>
  <w:footnote w:id="120">
    <w:p w14:paraId="7A526DCF" w14:textId="77777777" w:rsidR="000438B1" w:rsidRPr="00764145" w:rsidRDefault="000438B1">
      <w:pPr>
        <w:pStyle w:val="FootnoteText"/>
      </w:pPr>
      <w:r>
        <w:rPr>
          <w:rStyle w:val="FootnoteReference"/>
        </w:rPr>
        <w:footnoteRef/>
      </w:r>
      <w:r>
        <w:t xml:space="preserve"> Cf. Driver, </w:t>
      </w:r>
      <w:r>
        <w:rPr>
          <w:i/>
        </w:rPr>
        <w:t>Genesis</w:t>
      </w:r>
      <w:r>
        <w:t>, 152.</w:t>
      </w:r>
    </w:p>
  </w:footnote>
  <w:footnote w:id="121">
    <w:p w14:paraId="474B957C" w14:textId="77777777" w:rsidR="000438B1" w:rsidRPr="00BE2CDA" w:rsidRDefault="000438B1">
      <w:pPr>
        <w:pStyle w:val="FootnoteText"/>
      </w:pPr>
      <w:r>
        <w:rPr>
          <w:rStyle w:val="FootnoteReference"/>
        </w:rPr>
        <w:footnoteRef/>
      </w:r>
      <w:r>
        <w:t xml:space="preserve"> Arnold, </w:t>
      </w:r>
      <w:r>
        <w:rPr>
          <w:i/>
        </w:rPr>
        <w:t>Genesis</w:t>
      </w:r>
      <w:r>
        <w:t>, 140.</w:t>
      </w:r>
    </w:p>
  </w:footnote>
  <w:footnote w:id="122">
    <w:p w14:paraId="1858FEE1" w14:textId="601AE8FC" w:rsidR="000438B1" w:rsidRPr="00086852" w:rsidRDefault="000438B1" w:rsidP="00EA6CFB">
      <w:pPr>
        <w:pStyle w:val="FootnoteText"/>
      </w:pPr>
      <w:r>
        <w:rPr>
          <w:rStyle w:val="FootnoteReference"/>
        </w:rPr>
        <w:footnoteRef/>
      </w:r>
      <w:r>
        <w:t xml:space="preserve"> Luther, </w:t>
      </w:r>
      <w:r>
        <w:rPr>
          <w:i/>
        </w:rPr>
        <w:t>Genesis 6—14</w:t>
      </w:r>
      <w:r>
        <w:t>, 368 (one wonders how he knew—but perhaps it is just an inference from the reference to Yahweh’s garden).</w:t>
      </w:r>
    </w:p>
  </w:footnote>
  <w:footnote w:id="123">
    <w:p w14:paraId="39B2967B" w14:textId="77777777" w:rsidR="000438B1" w:rsidRPr="00865EB7" w:rsidRDefault="000438B1" w:rsidP="00B37CA7">
      <w:pPr>
        <w:pStyle w:val="FootnoteText"/>
      </w:pPr>
      <w:r>
        <w:rPr>
          <w:rStyle w:val="FootnoteReference"/>
        </w:rPr>
        <w:footnoteRef/>
      </w:r>
      <w:r>
        <w:t xml:space="preserve"> Cf. Westermann, </w:t>
      </w:r>
      <w:r>
        <w:rPr>
          <w:i/>
        </w:rPr>
        <w:t>Genesis 12—36</w:t>
      </w:r>
      <w:r>
        <w:t>, 177.</w:t>
      </w:r>
    </w:p>
  </w:footnote>
  <w:footnote w:id="124">
    <w:p w14:paraId="28D3837C" w14:textId="77777777" w:rsidR="000438B1" w:rsidRPr="0079256D" w:rsidRDefault="000438B1">
      <w:pPr>
        <w:pStyle w:val="FootnoteText"/>
      </w:pPr>
      <w:r>
        <w:rPr>
          <w:rStyle w:val="FootnoteReference"/>
        </w:rPr>
        <w:footnoteRef/>
      </w:r>
      <w:r>
        <w:t xml:space="preserve"> Luther, </w:t>
      </w:r>
      <w:r>
        <w:rPr>
          <w:i/>
        </w:rPr>
        <w:t>Genesis 6—14</w:t>
      </w:r>
      <w:r>
        <w:t>, 345.</w:t>
      </w:r>
    </w:p>
  </w:footnote>
  <w:footnote w:id="125">
    <w:p w14:paraId="5567F4E0" w14:textId="77777777" w:rsidR="000438B1" w:rsidRDefault="000438B1" w:rsidP="00317BBD">
      <w:pPr>
        <w:pStyle w:val="FootnoteText"/>
      </w:pPr>
      <w:r>
        <w:rPr>
          <w:rStyle w:val="FootnoteReference"/>
        </w:rPr>
        <w:footnoteRef/>
      </w:r>
      <w:r>
        <w:t xml:space="preserve"> Cf. McNamara,</w:t>
      </w:r>
      <w:r w:rsidRPr="00C43213">
        <w:rPr>
          <w:i/>
          <w:sz w:val="22"/>
        </w:rPr>
        <w:t xml:space="preserve"> </w:t>
      </w:r>
      <w:r w:rsidRPr="00C43213">
        <w:rPr>
          <w:i/>
        </w:rPr>
        <w:t>Targum Neofiti: Genesis</w:t>
      </w:r>
      <w:r>
        <w:t xml:space="preserve">, 49; </w:t>
      </w:r>
      <w:r w:rsidRPr="00317BBD">
        <w:t>Maher,</w:t>
      </w:r>
      <w:r>
        <w:t xml:space="preserve"> </w:t>
      </w:r>
      <w:r w:rsidRPr="00317BBD">
        <w:rPr>
          <w:i/>
        </w:rPr>
        <w:t>Targum Pseudo-Jonathan: Genesis</w:t>
      </w:r>
      <w:r w:rsidRPr="00317BBD">
        <w:t xml:space="preserve">, </w:t>
      </w:r>
      <w:r>
        <w:t xml:space="preserve">54; also Willet, </w:t>
      </w:r>
      <w:r w:rsidRPr="00764145">
        <w:rPr>
          <w:i/>
        </w:rPr>
        <w:t>Hexapla in Genesin &amp; Exodum</w:t>
      </w:r>
      <w:r>
        <w:t>,</w:t>
      </w:r>
      <w:r w:rsidRPr="00764145">
        <w:t xml:space="preserve"> </w:t>
      </w:r>
      <w:r>
        <w:t>128-29.</w:t>
      </w:r>
    </w:p>
  </w:footnote>
  <w:footnote w:id="126">
    <w:p w14:paraId="102A247F" w14:textId="77777777" w:rsidR="000438B1" w:rsidRPr="00CC7BA4" w:rsidRDefault="000438B1">
      <w:pPr>
        <w:pStyle w:val="FootnoteText"/>
      </w:pPr>
      <w:r>
        <w:rPr>
          <w:rStyle w:val="FootnoteReference"/>
        </w:rPr>
        <w:footnoteRef/>
      </w:r>
      <w:r>
        <w:t xml:space="preserve"> Fretheim, </w:t>
      </w:r>
      <w:r>
        <w:rPr>
          <w:i/>
        </w:rPr>
        <w:t>Abraham</w:t>
      </w:r>
      <w:r>
        <w:t>, 67.</w:t>
      </w:r>
    </w:p>
  </w:footnote>
  <w:footnote w:id="127">
    <w:p w14:paraId="3BC6DDED" w14:textId="6C79C9C0" w:rsidR="000438B1" w:rsidRPr="00487EFB" w:rsidRDefault="000438B1">
      <w:pPr>
        <w:pStyle w:val="FootnoteText"/>
      </w:pPr>
      <w:r>
        <w:rPr>
          <w:rStyle w:val="FootnoteReference"/>
        </w:rPr>
        <w:footnoteRef/>
      </w:r>
      <w:r>
        <w:t xml:space="preserve"> Blenkinsopp, </w:t>
      </w:r>
      <w:r>
        <w:rPr>
          <w:i/>
        </w:rPr>
        <w:t>Abraham</w:t>
      </w:r>
      <w:r>
        <w:t xml:space="preserve">, 51. But Gen 13 leaves this point understated and in some readings his character gets worse as time goes by (see D. Rickett, “Creating an Unrighteous Outsider,” </w:t>
      </w:r>
      <w:r>
        <w:rPr>
          <w:i/>
        </w:rPr>
        <w:t xml:space="preserve">CBQ </w:t>
      </w:r>
      <w:r>
        <w:t xml:space="preserve">76 [2014]: 610-33) while in some he gets righteous (cf. J. R. Lundbom, “Parataxis, Rhetorical Structure, and the Dialogue over Sodom in Genesis 18,” in </w:t>
      </w:r>
      <w:r w:rsidRPr="0086743F">
        <w:t xml:space="preserve">Davies/Clines (eds.), </w:t>
      </w:r>
      <w:r w:rsidRPr="0086743F">
        <w:rPr>
          <w:i/>
        </w:rPr>
        <w:t>World of Genesis</w:t>
      </w:r>
      <w:r w:rsidRPr="0086743F">
        <w:t>,</w:t>
      </w:r>
      <w:r>
        <w:t xml:space="preserve"> 136-45.</w:t>
      </w:r>
    </w:p>
  </w:footnote>
  <w:footnote w:id="128">
    <w:p w14:paraId="573C9301" w14:textId="77777777" w:rsidR="000438B1" w:rsidRDefault="000438B1">
      <w:pPr>
        <w:pStyle w:val="FootnoteText"/>
      </w:pPr>
      <w:r>
        <w:rPr>
          <w:rStyle w:val="FootnoteReference"/>
        </w:rPr>
        <w:footnoteRef/>
      </w:r>
      <w:r>
        <w:t xml:space="preserve"> P. J. Sabo, “Blurred Boundaries in the Lot Story,” in I. D. Wilson and D. Gersoni-Edelman (eds.), </w:t>
      </w:r>
      <w:r w:rsidRPr="0096421E">
        <w:rPr>
          <w:i/>
        </w:rPr>
        <w:t>History, Memory, Hebrew Scriptures</w:t>
      </w:r>
      <w:r>
        <w:t xml:space="preserve"> (E. Ben Zvi Festschrift; Winona Lake, IN: Eisenbrauns, 2015), 433-44 (433).</w:t>
      </w:r>
    </w:p>
  </w:footnote>
  <w:footnote w:id="129">
    <w:p w14:paraId="49E07942" w14:textId="379B4541" w:rsidR="000438B1" w:rsidRPr="00691A6A" w:rsidRDefault="000438B1">
      <w:pPr>
        <w:pStyle w:val="FootnoteText"/>
      </w:pPr>
      <w:r>
        <w:rPr>
          <w:rStyle w:val="FootnoteReference"/>
        </w:rPr>
        <w:footnoteRef/>
      </w:r>
      <w:r>
        <w:t xml:space="preserve"> Cf. Qimchi, </w:t>
      </w:r>
      <w:r>
        <w:rPr>
          <w:i/>
        </w:rPr>
        <w:t>Genesis</w:t>
      </w:r>
      <w:r>
        <w:t>, on the verse.</w:t>
      </w:r>
    </w:p>
  </w:footnote>
  <w:footnote w:id="130">
    <w:p w14:paraId="4398C865" w14:textId="77777777" w:rsidR="000438B1" w:rsidRPr="008032D0" w:rsidRDefault="000438B1">
      <w:pPr>
        <w:pStyle w:val="FootnoteText"/>
      </w:pPr>
      <w:r>
        <w:rPr>
          <w:rStyle w:val="FootnoteReference"/>
        </w:rPr>
        <w:footnoteRef/>
      </w:r>
      <w:r>
        <w:t xml:space="preserve"> Hamilton, </w:t>
      </w:r>
      <w:r>
        <w:rPr>
          <w:i/>
        </w:rPr>
        <w:t>Genesis 1—17</w:t>
      </w:r>
      <w:r>
        <w:t>, 394.</w:t>
      </w:r>
    </w:p>
  </w:footnote>
  <w:footnote w:id="131">
    <w:p w14:paraId="574CA85A" w14:textId="52C3ACE8" w:rsidR="000438B1" w:rsidRDefault="000438B1">
      <w:pPr>
        <w:pStyle w:val="FootnoteText"/>
      </w:pPr>
      <w:r>
        <w:rPr>
          <w:rStyle w:val="FootnoteReference"/>
        </w:rPr>
        <w:footnoteRef/>
      </w:r>
      <w:r>
        <w:t xml:space="preserve"> </w:t>
      </w:r>
      <w:r>
        <w:rPr>
          <w:i/>
          <w:lang w:val="en-GB"/>
        </w:rPr>
        <w:t>GenAp</w:t>
      </w:r>
      <w:r w:rsidRPr="00681582">
        <w:rPr>
          <w:lang w:val="en-GB"/>
        </w:rPr>
        <w:t xml:space="preserve"> 21.8-12 has God telling Abraham to </w:t>
      </w:r>
      <w:r>
        <w:rPr>
          <w:lang w:val="en-GB"/>
        </w:rPr>
        <w:t>go to Ramat Hazor north of Beth E</w:t>
      </w:r>
      <w:r w:rsidRPr="00681582">
        <w:rPr>
          <w:lang w:val="en-GB"/>
        </w:rPr>
        <w:t>l from which he has a</w:t>
      </w:r>
      <w:r>
        <w:rPr>
          <w:lang w:val="en-GB"/>
        </w:rPr>
        <w:t>the best</w:t>
      </w:r>
      <w:r w:rsidRPr="00681582">
        <w:rPr>
          <w:lang w:val="en-GB"/>
        </w:rPr>
        <w:t xml:space="preserve"> view in all four directions, and it </w:t>
      </w:r>
      <w:r>
        <w:rPr>
          <w:lang w:val="en-GB"/>
        </w:rPr>
        <w:t xml:space="preserve">is </w:t>
      </w:r>
      <w:r w:rsidRPr="00681582">
        <w:rPr>
          <w:lang w:val="en-GB"/>
        </w:rPr>
        <w:t>from here that God issues his promise.</w:t>
      </w:r>
    </w:p>
  </w:footnote>
  <w:footnote w:id="132">
    <w:p w14:paraId="32E3607C" w14:textId="77777777" w:rsidR="000438B1" w:rsidRPr="00866DCA" w:rsidRDefault="000438B1">
      <w:pPr>
        <w:pStyle w:val="FootnoteText"/>
      </w:pPr>
      <w:r>
        <w:rPr>
          <w:rStyle w:val="FootnoteReference"/>
        </w:rPr>
        <w:footnoteRef/>
      </w:r>
      <w:r>
        <w:t xml:space="preserve"> Westermann, </w:t>
      </w:r>
      <w:r>
        <w:rPr>
          <w:i/>
        </w:rPr>
        <w:t>Genesis 12—36</w:t>
      </w:r>
      <w:r>
        <w:t xml:space="preserve">, 172. </w:t>
      </w:r>
    </w:p>
  </w:footnote>
  <w:footnote w:id="133">
    <w:p w14:paraId="57F93C14" w14:textId="77777777" w:rsidR="000438B1" w:rsidRPr="001D6E5A" w:rsidRDefault="000438B1">
      <w:pPr>
        <w:pStyle w:val="FootnoteText"/>
      </w:pPr>
      <w:r>
        <w:rPr>
          <w:rStyle w:val="FootnoteReference"/>
        </w:rPr>
        <w:footnoteRef/>
      </w:r>
      <w:r>
        <w:t xml:space="preserve"> Cf. </w:t>
      </w:r>
      <w:r>
        <w:rPr>
          <w:i/>
        </w:rPr>
        <w:t>GenR</w:t>
      </w:r>
      <w:r>
        <w:t xml:space="preserve"> 41:10; Y. Gitay, “The Promise: The Winding Road,” </w:t>
      </w:r>
      <w:r>
        <w:rPr>
          <w:i/>
        </w:rPr>
        <w:t xml:space="preserve">OTE </w:t>
      </w:r>
      <w:r>
        <w:t>32 (2007): 352-64.</w:t>
      </w:r>
    </w:p>
  </w:footnote>
  <w:footnote w:id="134">
    <w:p w14:paraId="0F82AC9A" w14:textId="77777777" w:rsidR="000438B1" w:rsidRPr="00436B0D" w:rsidRDefault="000438B1">
      <w:pPr>
        <w:pStyle w:val="FootnoteText"/>
      </w:pPr>
      <w:r>
        <w:rPr>
          <w:rStyle w:val="FootnoteReference"/>
        </w:rPr>
        <w:footnoteRef/>
      </w:r>
      <w:r>
        <w:t xml:space="preserve"> Sym, Vg have Pontus; </w:t>
      </w:r>
      <w:r w:rsidRPr="00436B0D">
        <w:rPr>
          <w:i/>
        </w:rPr>
        <w:t>GenAp</w:t>
      </w:r>
      <w:r>
        <w:t xml:space="preserve"> similarly has Cappadocia.</w:t>
      </w:r>
    </w:p>
  </w:footnote>
  <w:footnote w:id="135">
    <w:p w14:paraId="2324418D" w14:textId="77777777" w:rsidR="000438B1" w:rsidRDefault="000438B1">
      <w:pPr>
        <w:pStyle w:val="FootnoteText"/>
      </w:pPr>
      <w:r>
        <w:rPr>
          <w:rStyle w:val="FootnoteReference"/>
        </w:rPr>
        <w:footnoteRef/>
      </w:r>
      <w:r>
        <w:t xml:space="preserve"> The syntax in vv. 1-2 breaks down; “they” denotes all four kings, as (e.g.) Vg makes clear.</w:t>
      </w:r>
    </w:p>
  </w:footnote>
  <w:footnote w:id="136">
    <w:p w14:paraId="40F37B24" w14:textId="77777777" w:rsidR="000438B1" w:rsidRDefault="000438B1">
      <w:pPr>
        <w:pStyle w:val="FootnoteText"/>
      </w:pPr>
      <w:r>
        <w:rPr>
          <w:rStyle w:val="FootnoteReference"/>
        </w:rPr>
        <w:footnoteRef/>
      </w:r>
      <w:r>
        <w:t xml:space="preserve"> That is, the kings in v. 2.</w:t>
      </w:r>
    </w:p>
  </w:footnote>
  <w:footnote w:id="137">
    <w:p w14:paraId="57C7E167" w14:textId="77777777" w:rsidR="000438B1" w:rsidRPr="000257B0" w:rsidRDefault="000438B1">
      <w:pPr>
        <w:pStyle w:val="FootnoteText"/>
      </w:pPr>
      <w:r>
        <w:rPr>
          <w:rStyle w:val="FootnoteReference"/>
        </w:rPr>
        <w:footnoteRef/>
      </w:r>
      <w:r>
        <w:t xml:space="preserve"> MT </w:t>
      </w:r>
      <w:r>
        <w:rPr>
          <w:i/>
        </w:rPr>
        <w:t>śᵉdēh</w:t>
      </w:r>
      <w:r>
        <w:t>;</w:t>
      </w:r>
      <w:r>
        <w:rPr>
          <w:i/>
        </w:rPr>
        <w:t xml:space="preserve"> </w:t>
      </w:r>
      <w:r>
        <w:t xml:space="preserve">LXX implies </w:t>
      </w:r>
      <w:r>
        <w:rPr>
          <w:i/>
        </w:rPr>
        <w:t xml:space="preserve">śārê </w:t>
      </w:r>
      <w:r>
        <w:t xml:space="preserve">“officers.”  </w:t>
      </w:r>
    </w:p>
  </w:footnote>
  <w:footnote w:id="138">
    <w:p w14:paraId="2A1F17A4" w14:textId="77777777" w:rsidR="000438B1" w:rsidRDefault="000438B1">
      <w:pPr>
        <w:pStyle w:val="FootnoteText"/>
      </w:pPr>
      <w:r>
        <w:rPr>
          <w:rStyle w:val="FootnoteReference"/>
        </w:rPr>
        <w:footnoteRef/>
      </w:r>
      <w:r>
        <w:t xml:space="preserve"> Literally “pits, pits.”</w:t>
      </w:r>
    </w:p>
  </w:footnote>
  <w:footnote w:id="139">
    <w:p w14:paraId="05DAC5A6" w14:textId="4AC77957" w:rsidR="000438B1" w:rsidRPr="003C2339" w:rsidRDefault="000438B1">
      <w:pPr>
        <w:pStyle w:val="FootnoteText"/>
      </w:pPr>
      <w:r>
        <w:rPr>
          <w:rStyle w:val="FootnoteReference"/>
        </w:rPr>
        <w:footnoteRef/>
      </w:r>
      <w:r>
        <w:t xml:space="preserve"> For </w:t>
      </w:r>
      <w:r>
        <w:rPr>
          <w:i/>
        </w:rPr>
        <w:t xml:space="preserve">nāpal </w:t>
      </w:r>
      <w:r>
        <w:t xml:space="preserve">denoting a voluntary “fall,” see e.g. 17:3; 24:64; 33:4; in Jer 38:19 it means flee to/take refuge (Hamilton, </w:t>
      </w:r>
      <w:r>
        <w:rPr>
          <w:i/>
        </w:rPr>
        <w:t>Genesis 1—17</w:t>
      </w:r>
      <w:r>
        <w:t>, 403).</w:t>
      </w:r>
    </w:p>
  </w:footnote>
  <w:footnote w:id="140">
    <w:p w14:paraId="34DD2754" w14:textId="77777777" w:rsidR="000438B1" w:rsidRDefault="000438B1">
      <w:pPr>
        <w:pStyle w:val="FootnoteText"/>
      </w:pPr>
      <w:r>
        <w:rPr>
          <w:rStyle w:val="FootnoteReference"/>
        </w:rPr>
        <w:footnoteRef/>
      </w:r>
      <w:r>
        <w:t xml:space="preserve"> That is, the four kings in v. 9.</w:t>
      </w:r>
    </w:p>
  </w:footnote>
  <w:footnote w:id="141">
    <w:p w14:paraId="233A99EF" w14:textId="07DEB27D" w:rsidR="000438B1" w:rsidRPr="00B66FD4" w:rsidRDefault="000438B1">
      <w:pPr>
        <w:pStyle w:val="FootnoteText"/>
      </w:pPr>
      <w:r>
        <w:rPr>
          <w:rStyle w:val="FootnoteReference"/>
        </w:rPr>
        <w:footnoteRef/>
      </w:r>
      <w:r>
        <w:t xml:space="preserve"> </w:t>
      </w:r>
      <w:r>
        <w:rPr>
          <w:i/>
        </w:rPr>
        <w:t>Wayyāreq</w:t>
      </w:r>
      <w:r>
        <w:t xml:space="preserve"> is hiphil from </w:t>
      </w:r>
      <w:r>
        <w:rPr>
          <w:i/>
        </w:rPr>
        <w:t>rûq</w:t>
      </w:r>
      <w:r>
        <w:t xml:space="preserve"> or </w:t>
      </w:r>
      <w:r w:rsidRPr="002B7D7F">
        <w:rPr>
          <w:i/>
        </w:rPr>
        <w:t>rîq</w:t>
      </w:r>
      <w:r>
        <w:t xml:space="preserve">, which would mean more literally “emptied out” but can refer to drawing a sword; here it would involve metonymy (Tal, </w:t>
      </w:r>
      <w:r>
        <w:rPr>
          <w:i/>
        </w:rPr>
        <w:t>Genesis</w:t>
      </w:r>
      <w:r>
        <w:t xml:space="preserve">, 114*). SP has </w:t>
      </w:r>
      <w:r w:rsidRPr="00B66FD4">
        <w:rPr>
          <w:i/>
        </w:rPr>
        <w:t>wayyādeq</w:t>
      </w:r>
      <w:r>
        <w:t xml:space="preserve"> (implying the easy confusion of d and r in Hebrew) from a hypothesized </w:t>
      </w:r>
      <w:r>
        <w:rPr>
          <w:i/>
        </w:rPr>
        <w:t>dûq</w:t>
      </w:r>
      <w:r>
        <w:t xml:space="preserve"> meaning “number” or “muster” (cf. LXX, Vg; </w:t>
      </w:r>
      <w:r>
        <w:rPr>
          <w:i/>
        </w:rPr>
        <w:t>HALOT</w:t>
      </w:r>
      <w:r>
        <w:t xml:space="preserve">, </w:t>
      </w:r>
      <w:r>
        <w:rPr>
          <w:i/>
        </w:rPr>
        <w:t>DCH</w:t>
      </w:r>
      <w:r>
        <w:t>).</w:t>
      </w:r>
    </w:p>
  </w:footnote>
  <w:footnote w:id="142">
    <w:p w14:paraId="1A302631" w14:textId="77777777" w:rsidR="000438B1" w:rsidRPr="0066007C" w:rsidRDefault="000438B1">
      <w:pPr>
        <w:pStyle w:val="FootnoteText"/>
      </w:pPr>
      <w:r>
        <w:rPr>
          <w:rStyle w:val="FootnoteReference"/>
        </w:rPr>
        <w:footnoteRef/>
      </w:r>
      <w:r>
        <w:t xml:space="preserve"> The phrase in brackets explains the rare expression </w:t>
      </w:r>
      <w:r>
        <w:rPr>
          <w:i/>
        </w:rPr>
        <w:t>ḥănîkāyw</w:t>
      </w:r>
      <w:r>
        <w:t xml:space="preserve"> (Gunkel, </w:t>
      </w:r>
      <w:r>
        <w:rPr>
          <w:i/>
        </w:rPr>
        <w:t>Genesis</w:t>
      </w:r>
      <w:r>
        <w:t>, 277).</w:t>
      </w:r>
    </w:p>
  </w:footnote>
  <w:footnote w:id="143">
    <w:p w14:paraId="4435DA67" w14:textId="456716D3" w:rsidR="000438B1" w:rsidRDefault="000438B1">
      <w:pPr>
        <w:pStyle w:val="FootnoteText"/>
      </w:pPr>
      <w:r>
        <w:rPr>
          <w:rStyle w:val="FootnoteReference"/>
        </w:rPr>
        <w:footnoteRef/>
      </w:r>
      <w:r>
        <w:t xml:space="preserve"> Etymologically, </w:t>
      </w:r>
      <w:r w:rsidRPr="00B97399">
        <w:rPr>
          <w:lang w:val="en-GB"/>
        </w:rPr>
        <w:t>Šaveh</w:t>
      </w:r>
      <w:r>
        <w:rPr>
          <w:lang w:val="en-GB"/>
        </w:rPr>
        <w:t xml:space="preserve"> itself means “plain” (see BDB), so this double expression anticipates the English phrase “Beqa Valley” (“Valley Valley”).</w:t>
      </w:r>
    </w:p>
  </w:footnote>
  <w:footnote w:id="144">
    <w:p w14:paraId="61086886" w14:textId="77777777" w:rsidR="000438B1" w:rsidRPr="00166FCE" w:rsidRDefault="000438B1">
      <w:pPr>
        <w:pStyle w:val="FootnoteText"/>
      </w:pPr>
      <w:r>
        <w:rPr>
          <w:rStyle w:val="FootnoteReference"/>
        </w:rPr>
        <w:footnoteRef/>
      </w:r>
      <w:r>
        <w:t xml:space="preserve"> TgOnq and Tb PsJ speak of Melchizedek “ministering” rather than as being a priest, to avoid the questions that issue from his not being an Aaronide, and to sidestep the Christian idea that Jesus was a priest in succession to Melchizedek (cf. </w:t>
      </w:r>
      <w:r w:rsidRPr="00166FCE">
        <w:rPr>
          <w:lang w:val="en-GB"/>
        </w:rPr>
        <w:t xml:space="preserve">Aberbach/Grossfeld, </w:t>
      </w:r>
      <w:r w:rsidRPr="00166FCE">
        <w:rPr>
          <w:i/>
          <w:lang w:val="en-GB"/>
        </w:rPr>
        <w:t>Targum Onkelos</w:t>
      </w:r>
      <w:r>
        <w:rPr>
          <w:lang w:val="en-GB"/>
        </w:rPr>
        <w:t xml:space="preserve">, 89-91; </w:t>
      </w:r>
      <w:r w:rsidRPr="00166FCE">
        <w:t xml:space="preserve">Maher, </w:t>
      </w:r>
      <w:r w:rsidRPr="00166FCE">
        <w:rPr>
          <w:i/>
        </w:rPr>
        <w:t>Targum Pseudo-Jonathan: Genesis</w:t>
      </w:r>
      <w:r>
        <w:t>, 58).</w:t>
      </w:r>
    </w:p>
  </w:footnote>
  <w:footnote w:id="145">
    <w:p w14:paraId="1A9EC4FC" w14:textId="77777777" w:rsidR="000438B1" w:rsidRDefault="000438B1" w:rsidP="003D2E82">
      <w:pPr>
        <w:pStyle w:val="FootnoteText"/>
      </w:pPr>
      <w:r>
        <w:rPr>
          <w:rStyle w:val="FootnoteReference"/>
        </w:rPr>
        <w:footnoteRef/>
      </w:r>
      <w:r>
        <w:t xml:space="preserve"> </w:t>
      </w:r>
      <w:r>
        <w:rPr>
          <w:i/>
        </w:rPr>
        <w:t>M</w:t>
      </w:r>
      <w:r w:rsidRPr="003D2E82">
        <w:rPr>
          <w:i/>
        </w:rPr>
        <w:t xml:space="preserve">āgan </w:t>
      </w:r>
      <w:r w:rsidRPr="003D2E82">
        <w:t>piel</w:t>
      </w:r>
      <w:r>
        <w:t xml:space="preserve">, a denominative from </w:t>
      </w:r>
      <w:r w:rsidRPr="003D2E82">
        <w:rPr>
          <w:i/>
        </w:rPr>
        <w:t>māgēn</w:t>
      </w:r>
      <w:r>
        <w:t xml:space="preserve"> “shield,” apparently piel privative (see GK 52h; </w:t>
      </w:r>
      <w:r>
        <w:rPr>
          <w:i/>
        </w:rPr>
        <w:t xml:space="preserve">IBHS </w:t>
      </w:r>
      <w:r>
        <w:t>24.4cd).</w:t>
      </w:r>
    </w:p>
  </w:footnote>
  <w:footnote w:id="146">
    <w:p w14:paraId="57F7A507" w14:textId="77777777" w:rsidR="000438B1" w:rsidRDefault="000438B1">
      <w:pPr>
        <w:pStyle w:val="FootnoteText"/>
      </w:pPr>
      <w:r>
        <w:rPr>
          <w:rStyle w:val="FootnoteReference"/>
        </w:rPr>
        <w:footnoteRef/>
      </w:r>
      <w:r>
        <w:t xml:space="preserve"> </w:t>
      </w:r>
      <w:r w:rsidRPr="00AA1A22">
        <w:t>The declarative/performative q</w:t>
      </w:r>
      <w:r>
        <w:t xml:space="preserve">atal verb suggests a speech act, “I hereby raise.” LXX, </w:t>
      </w:r>
      <w:r w:rsidRPr="009A2AF2">
        <w:rPr>
          <w:i/>
        </w:rPr>
        <w:t>GenAp</w:t>
      </w:r>
      <w:r>
        <w:t xml:space="preserve"> omit Yahweh; SP has “God.”</w:t>
      </w:r>
    </w:p>
  </w:footnote>
  <w:footnote w:id="147">
    <w:p w14:paraId="5282E132" w14:textId="77777777" w:rsidR="000438B1" w:rsidRPr="00A639CF" w:rsidRDefault="000438B1" w:rsidP="00A639CF">
      <w:pPr>
        <w:pStyle w:val="FootnoteText"/>
      </w:pPr>
      <w:r>
        <w:rPr>
          <w:rStyle w:val="FootnoteReference"/>
        </w:rPr>
        <w:footnoteRef/>
      </w:r>
      <w:r>
        <w:t xml:space="preserve"> See S. Morschauser, “</w:t>
      </w:r>
      <w:r w:rsidRPr="00A639CF">
        <w:rPr>
          <w:rFonts w:asciiTheme="minorHAnsi" w:eastAsiaTheme="minorHAnsi" w:hAnsiTheme="minorHAnsi" w:cs="TimesNewRomanPS-BoldMT"/>
          <w:bCs/>
        </w:rPr>
        <w:t>Campaigning on Less Than a Shoe-</w:t>
      </w:r>
      <w:r>
        <w:rPr>
          <w:rFonts w:asciiTheme="minorHAnsi" w:eastAsiaTheme="minorHAnsi" w:hAnsiTheme="minorHAnsi" w:cs="TimesNewRomanPS-BoldMT"/>
          <w:bCs/>
        </w:rPr>
        <w:t xml:space="preserve">String,” </w:t>
      </w:r>
      <w:r>
        <w:rPr>
          <w:rFonts w:asciiTheme="minorHAnsi" w:eastAsiaTheme="minorHAnsi" w:hAnsiTheme="minorHAnsi" w:cs="TimesNewRomanPS-BoldMT"/>
          <w:bCs/>
          <w:i/>
        </w:rPr>
        <w:t>JSOT</w:t>
      </w:r>
      <w:r>
        <w:rPr>
          <w:rFonts w:asciiTheme="minorHAnsi" w:eastAsiaTheme="minorHAnsi" w:hAnsiTheme="minorHAnsi" w:cs="TimesNewRomanPS-BoldMT"/>
          <w:bCs/>
        </w:rPr>
        <w:t xml:space="preserve"> 38 (2013): 127-44.</w:t>
      </w:r>
    </w:p>
  </w:footnote>
  <w:footnote w:id="148">
    <w:p w14:paraId="02062B56" w14:textId="77777777" w:rsidR="000438B1" w:rsidRDefault="000438B1">
      <w:pPr>
        <w:pStyle w:val="FootnoteText"/>
      </w:pPr>
      <w:r>
        <w:rPr>
          <w:rStyle w:val="FootnoteReference"/>
        </w:rPr>
        <w:footnoteRef/>
      </w:r>
      <w:r>
        <w:t xml:space="preserve"> As commonly happens, the rest of the oath is left to speak for itself.</w:t>
      </w:r>
    </w:p>
  </w:footnote>
  <w:footnote w:id="149">
    <w:p w14:paraId="41B9327F" w14:textId="77777777" w:rsidR="000438B1" w:rsidRPr="00D510DA" w:rsidRDefault="000438B1">
      <w:pPr>
        <w:pStyle w:val="FootnoteText"/>
      </w:pPr>
      <w:r>
        <w:rPr>
          <w:rStyle w:val="FootnoteReference"/>
        </w:rPr>
        <w:footnoteRef/>
      </w:r>
      <w:r>
        <w:t xml:space="preserve"> The rare </w:t>
      </w:r>
      <w:r>
        <w:rPr>
          <w:i/>
        </w:rPr>
        <w:t>bil‘</w:t>
      </w:r>
      <w:r>
        <w:rPr>
          <w:rFonts w:cs="Calibri"/>
          <w:i/>
        </w:rPr>
        <w:t>ādê</w:t>
      </w:r>
      <w:r>
        <w:rPr>
          <w:rFonts w:cs="Calibri"/>
        </w:rPr>
        <w:t>, perhaps etymologically “not to” (see BDB, 116).</w:t>
      </w:r>
    </w:p>
  </w:footnote>
  <w:footnote w:id="150">
    <w:p w14:paraId="78D30B13" w14:textId="77777777" w:rsidR="000438B1" w:rsidRPr="00A978E9" w:rsidRDefault="000438B1">
      <w:pPr>
        <w:pStyle w:val="FootnoteText"/>
      </w:pPr>
      <w:r>
        <w:rPr>
          <w:rStyle w:val="FootnoteReference"/>
        </w:rPr>
        <w:footnoteRef/>
      </w:r>
      <w:r>
        <w:t xml:space="preserve"> L. Köhler, </w:t>
      </w:r>
      <w:r>
        <w:rPr>
          <w:i/>
        </w:rPr>
        <w:t xml:space="preserve">Theologie des Alten Testaments </w:t>
      </w:r>
      <w:r>
        <w:t>(2</w:t>
      </w:r>
      <w:r w:rsidRPr="00A63519">
        <w:rPr>
          <w:vertAlign w:val="superscript"/>
        </w:rPr>
        <w:t>nd</w:t>
      </w:r>
      <w:r>
        <w:t xml:space="preserve"> ed. Tübingen: Mohr, 1947), 39; cf. von Rad, </w:t>
      </w:r>
      <w:r>
        <w:rPr>
          <w:i/>
        </w:rPr>
        <w:t>Genesis</w:t>
      </w:r>
      <w:r>
        <w:t xml:space="preserve">, 170. </w:t>
      </w:r>
    </w:p>
  </w:footnote>
  <w:footnote w:id="151">
    <w:p w14:paraId="535CE00C" w14:textId="77777777" w:rsidR="000438B1" w:rsidRDefault="000438B1">
      <w:pPr>
        <w:pStyle w:val="FootnoteText"/>
      </w:pPr>
      <w:r>
        <w:rPr>
          <w:rStyle w:val="FootnoteReference"/>
        </w:rPr>
        <w:footnoteRef/>
      </w:r>
      <w:r>
        <w:t xml:space="preserve"> E.g., Rashi, </w:t>
      </w:r>
      <w:r w:rsidRPr="00C92F4D">
        <w:rPr>
          <w:i/>
        </w:rPr>
        <w:t>Br’šyt</w:t>
      </w:r>
      <w:r w:rsidRPr="00C92F4D">
        <w:t>,</w:t>
      </w:r>
      <w:r>
        <w:t xml:space="preserve"> 129.</w:t>
      </w:r>
    </w:p>
  </w:footnote>
  <w:footnote w:id="152">
    <w:p w14:paraId="2D0C07D9" w14:textId="77777777" w:rsidR="000438B1" w:rsidRPr="00D1323C" w:rsidRDefault="000438B1">
      <w:pPr>
        <w:pStyle w:val="FootnoteText"/>
      </w:pPr>
      <w:r>
        <w:rPr>
          <w:rStyle w:val="FootnoteReference"/>
        </w:rPr>
        <w:footnoteRef/>
      </w:r>
      <w:r>
        <w:t xml:space="preserve"> Cf. Fretheim, </w:t>
      </w:r>
      <w:r>
        <w:rPr>
          <w:i/>
        </w:rPr>
        <w:t xml:space="preserve">Abraham, </w:t>
      </w:r>
      <w:r>
        <w:t>70.</w:t>
      </w:r>
    </w:p>
  </w:footnote>
  <w:footnote w:id="153">
    <w:p w14:paraId="4195E15B" w14:textId="77777777" w:rsidR="000438B1" w:rsidRDefault="000438B1">
      <w:pPr>
        <w:pStyle w:val="FootnoteText"/>
      </w:pPr>
      <w:r>
        <w:rPr>
          <w:rStyle w:val="FootnoteReference"/>
        </w:rPr>
        <w:footnoteRef/>
      </w:r>
      <w:r>
        <w:t xml:space="preserve"> Cf. </w:t>
      </w:r>
      <w:r w:rsidRPr="000B7633">
        <w:t xml:space="preserve">Westermann, </w:t>
      </w:r>
      <w:r w:rsidRPr="000B7633">
        <w:rPr>
          <w:i/>
        </w:rPr>
        <w:t>Genesis 12—36</w:t>
      </w:r>
      <w:r w:rsidRPr="000B7633">
        <w:t>,</w:t>
      </w:r>
      <w:r>
        <w:t xml:space="preserve"> </w:t>
      </w:r>
    </w:p>
  </w:footnote>
  <w:footnote w:id="154">
    <w:p w14:paraId="2DF32B83" w14:textId="77777777" w:rsidR="000438B1" w:rsidRPr="00E91B73" w:rsidRDefault="000438B1" w:rsidP="00E91B73">
      <w:pPr>
        <w:pStyle w:val="FootnoteText"/>
      </w:pPr>
      <w:r>
        <w:rPr>
          <w:rStyle w:val="FootnoteReference"/>
        </w:rPr>
        <w:footnoteRef/>
      </w:r>
      <w:r>
        <w:t xml:space="preserve"> See e.g., Wenham, </w:t>
      </w:r>
      <w:r>
        <w:rPr>
          <w:i/>
        </w:rPr>
        <w:t>Genesis 1—15</w:t>
      </w:r>
      <w:r>
        <w:t>, 315-18.</w:t>
      </w:r>
    </w:p>
  </w:footnote>
  <w:footnote w:id="155">
    <w:p w14:paraId="64D9170E" w14:textId="77777777" w:rsidR="000438B1" w:rsidRPr="00E91B73" w:rsidRDefault="000438B1" w:rsidP="00E91B73">
      <w:pPr>
        <w:pStyle w:val="FootnoteText"/>
        <w:jc w:val="both"/>
      </w:pPr>
      <w:r>
        <w:rPr>
          <w:rStyle w:val="FootnoteReference"/>
        </w:rPr>
        <w:footnoteRef/>
      </w:r>
      <w:r>
        <w:t xml:space="preserve"> So e.g., Luther, </w:t>
      </w:r>
      <w:r>
        <w:rPr>
          <w:i/>
        </w:rPr>
        <w:t>Genesis 6—14</w:t>
      </w:r>
      <w:r>
        <w:t>, 394-95.</w:t>
      </w:r>
    </w:p>
  </w:footnote>
  <w:footnote w:id="156">
    <w:p w14:paraId="77566573" w14:textId="77777777" w:rsidR="000438B1" w:rsidRPr="000D2654" w:rsidRDefault="000438B1">
      <w:pPr>
        <w:pStyle w:val="FootnoteText"/>
      </w:pPr>
      <w:r>
        <w:rPr>
          <w:rStyle w:val="FootnoteReference"/>
        </w:rPr>
        <w:footnoteRef/>
      </w:r>
      <w:r>
        <w:t xml:space="preserve"> J. G. Mathews (</w:t>
      </w:r>
      <w:r>
        <w:rPr>
          <w:i/>
        </w:rPr>
        <w:t xml:space="preserve">Melchizedek’s Alternative Priestly Order </w:t>
      </w:r>
      <w:r>
        <w:t>[Winona Lake, IN: Eisenbrauns, 2013]) suggests a number of less specific intertextual links.</w:t>
      </w:r>
    </w:p>
  </w:footnote>
  <w:footnote w:id="157">
    <w:p w14:paraId="487EE629" w14:textId="77777777" w:rsidR="000438B1" w:rsidRDefault="000438B1">
      <w:pPr>
        <w:pStyle w:val="FootnoteText"/>
      </w:pPr>
      <w:r>
        <w:rPr>
          <w:rStyle w:val="FootnoteReference"/>
        </w:rPr>
        <w:footnoteRef/>
      </w:r>
      <w:r>
        <w:t xml:space="preserve"> V</w:t>
      </w:r>
      <w:r w:rsidRPr="00024738">
        <w:t xml:space="preserve">on Rad, </w:t>
      </w:r>
      <w:r w:rsidRPr="00024738">
        <w:rPr>
          <w:i/>
        </w:rPr>
        <w:t>Genesis</w:t>
      </w:r>
      <w:r>
        <w:t>, 175-76.</w:t>
      </w:r>
    </w:p>
  </w:footnote>
  <w:footnote w:id="158">
    <w:p w14:paraId="475096A0" w14:textId="77777777" w:rsidR="000438B1" w:rsidRPr="00DD1DEF" w:rsidRDefault="000438B1" w:rsidP="00EF3833">
      <w:pPr>
        <w:pStyle w:val="FootnoteText"/>
      </w:pPr>
      <w:r>
        <w:rPr>
          <w:rStyle w:val="FootnoteReference"/>
        </w:rPr>
        <w:footnoteRef/>
      </w:r>
      <w:r>
        <w:t xml:space="preserve"> Westermann surveys the “t</w:t>
      </w:r>
      <w:r w:rsidRPr="00EF3833">
        <w:t>hree main questions</w:t>
      </w:r>
      <w:r>
        <w:t>” which</w:t>
      </w:r>
      <w:r w:rsidRPr="00EF3833">
        <w:t xml:space="preserve"> </w:t>
      </w:r>
      <w:r>
        <w:t>“</w:t>
      </w:r>
      <w:r w:rsidRPr="00EF3833">
        <w:t>have dominated the whole course of the study of Gen. 14,</w:t>
      </w:r>
      <w:r>
        <w:t>”</w:t>
      </w:r>
      <w:r w:rsidRPr="00EF3833">
        <w:t xml:space="preserve"> the question of historicity, of a document at the basis of the chapter, and of the chapter’s unity and composition </w:t>
      </w:r>
      <w:r>
        <w:t>(</w:t>
      </w:r>
      <w:r w:rsidRPr="00EF3833">
        <w:rPr>
          <w:i/>
        </w:rPr>
        <w:t>Genesis 12—36</w:t>
      </w:r>
      <w:r w:rsidRPr="00EF3833">
        <w:t>, 188-90</w:t>
      </w:r>
      <w:r>
        <w:t>), and comes to less agnostic conclusions than mine, as does Wenham in his discussion of the story’s historical value (</w:t>
      </w:r>
      <w:r>
        <w:rPr>
          <w:i/>
        </w:rPr>
        <w:t>Genesis 1—15</w:t>
      </w:r>
      <w:r>
        <w:t xml:space="preserve">, 318-20). </w:t>
      </w:r>
    </w:p>
  </w:footnote>
  <w:footnote w:id="159">
    <w:p w14:paraId="79AF48E5" w14:textId="77777777" w:rsidR="000438B1" w:rsidRPr="008E7EDF" w:rsidRDefault="000438B1">
      <w:pPr>
        <w:pStyle w:val="FootnoteText"/>
      </w:pPr>
      <w:r>
        <w:rPr>
          <w:rStyle w:val="FootnoteReference"/>
        </w:rPr>
        <w:footnoteRef/>
      </w:r>
      <w:r>
        <w:t xml:space="preserve"> So e.g., Sarna, </w:t>
      </w:r>
      <w:r>
        <w:rPr>
          <w:i/>
        </w:rPr>
        <w:t>Genesis</w:t>
      </w:r>
      <w:r>
        <w:t>, 103.</w:t>
      </w:r>
    </w:p>
  </w:footnote>
  <w:footnote w:id="160">
    <w:p w14:paraId="548C720D" w14:textId="77777777" w:rsidR="000438B1" w:rsidRDefault="000438B1">
      <w:pPr>
        <w:pStyle w:val="FootnoteText"/>
      </w:pPr>
      <w:r>
        <w:rPr>
          <w:rStyle w:val="FootnoteReference"/>
        </w:rPr>
        <w:footnoteRef/>
      </w:r>
      <w:r>
        <w:t xml:space="preserve"> See the translation note.</w:t>
      </w:r>
    </w:p>
  </w:footnote>
  <w:footnote w:id="161">
    <w:p w14:paraId="2B00361D" w14:textId="77777777" w:rsidR="000438B1" w:rsidRPr="0089661B" w:rsidRDefault="000438B1" w:rsidP="00CC3FA1">
      <w:pPr>
        <w:pStyle w:val="FootnoteText"/>
      </w:pPr>
      <w:r>
        <w:rPr>
          <w:rStyle w:val="FootnoteReference"/>
        </w:rPr>
        <w:footnoteRef/>
      </w:r>
      <w:r>
        <w:t xml:space="preserve"> See Tal, </w:t>
      </w:r>
      <w:r>
        <w:rPr>
          <w:i/>
        </w:rPr>
        <w:t>Genesis</w:t>
      </w:r>
      <w:r>
        <w:t>, 110-12*, for the versions’ treatment of the names (and 112-16* for later names in the chapter).</w:t>
      </w:r>
    </w:p>
  </w:footnote>
  <w:footnote w:id="162">
    <w:p w14:paraId="4228C4C3" w14:textId="77777777" w:rsidR="000438B1" w:rsidRDefault="000438B1">
      <w:pPr>
        <w:pStyle w:val="FootnoteText"/>
      </w:pPr>
      <w:r>
        <w:rPr>
          <w:rStyle w:val="FootnoteReference"/>
        </w:rPr>
        <w:footnoteRef/>
      </w:r>
      <w:r>
        <w:t xml:space="preserve"> Cf. BDB, 18b.</w:t>
      </w:r>
    </w:p>
  </w:footnote>
  <w:footnote w:id="163">
    <w:p w14:paraId="31113898" w14:textId="77777777" w:rsidR="000438B1" w:rsidRDefault="000438B1">
      <w:pPr>
        <w:pStyle w:val="FootnoteText"/>
      </w:pPr>
      <w:r>
        <w:rPr>
          <w:rStyle w:val="FootnoteReference"/>
        </w:rPr>
        <w:footnoteRef/>
      </w:r>
      <w:r>
        <w:t xml:space="preserve"> Cf. Rashi, </w:t>
      </w:r>
      <w:r w:rsidRPr="00C92F4D">
        <w:rPr>
          <w:i/>
        </w:rPr>
        <w:t>Br’šyt</w:t>
      </w:r>
      <w:r w:rsidRPr="00C92F4D">
        <w:t>,</w:t>
      </w:r>
      <w:r>
        <w:t xml:space="preserve"> 132.</w:t>
      </w:r>
    </w:p>
  </w:footnote>
  <w:footnote w:id="164">
    <w:p w14:paraId="7CB4EB31" w14:textId="77777777" w:rsidR="000438B1" w:rsidRPr="00A07454" w:rsidRDefault="000438B1">
      <w:pPr>
        <w:pStyle w:val="FootnoteText"/>
      </w:pPr>
      <w:r>
        <w:rPr>
          <w:rStyle w:val="FootnoteReference"/>
        </w:rPr>
        <w:footnoteRef/>
      </w:r>
      <w:r>
        <w:t xml:space="preserve"> See Brayford, </w:t>
      </w:r>
      <w:r>
        <w:rPr>
          <w:i/>
        </w:rPr>
        <w:t>Genesis</w:t>
      </w:r>
      <w:r>
        <w:t>, 294.</w:t>
      </w:r>
    </w:p>
  </w:footnote>
  <w:footnote w:id="165">
    <w:p w14:paraId="43AFBE0C" w14:textId="77777777" w:rsidR="000438B1" w:rsidRPr="00B74DA7" w:rsidRDefault="000438B1">
      <w:pPr>
        <w:pStyle w:val="FootnoteText"/>
      </w:pPr>
      <w:r>
        <w:rPr>
          <w:rStyle w:val="FootnoteReference"/>
        </w:rPr>
        <w:footnoteRef/>
      </w:r>
      <w:r>
        <w:t xml:space="preserve"> Cf. Arnold, </w:t>
      </w:r>
      <w:r>
        <w:rPr>
          <w:i/>
        </w:rPr>
        <w:t>Genesis</w:t>
      </w:r>
      <w:r>
        <w:t>, 147.</w:t>
      </w:r>
    </w:p>
  </w:footnote>
  <w:footnote w:id="166">
    <w:p w14:paraId="481AA6F4" w14:textId="20678134" w:rsidR="000438B1" w:rsidRPr="0035006A" w:rsidRDefault="000438B1">
      <w:pPr>
        <w:pStyle w:val="FootnoteText"/>
      </w:pPr>
      <w:r>
        <w:rPr>
          <w:rStyle w:val="FootnoteReference"/>
        </w:rPr>
        <w:footnoteRef/>
      </w:r>
      <w:r>
        <w:t xml:space="preserve"> Cf. </w:t>
      </w:r>
      <w:r w:rsidRPr="0035006A">
        <w:t xml:space="preserve">Keil/Delitzsch, </w:t>
      </w:r>
      <w:r w:rsidRPr="0035006A">
        <w:rPr>
          <w:i/>
        </w:rPr>
        <w:t>Pentateuch</w:t>
      </w:r>
      <w:r>
        <w:t>, 206.</w:t>
      </w:r>
    </w:p>
  </w:footnote>
  <w:footnote w:id="167">
    <w:p w14:paraId="4183BB41" w14:textId="77777777" w:rsidR="000438B1" w:rsidRPr="00BB58E3" w:rsidRDefault="000438B1">
      <w:pPr>
        <w:pStyle w:val="FootnoteText"/>
      </w:pPr>
      <w:r>
        <w:rPr>
          <w:rStyle w:val="FootnoteReference"/>
        </w:rPr>
        <w:footnoteRef/>
      </w:r>
      <w:r>
        <w:t xml:space="preserve"> Coats, </w:t>
      </w:r>
      <w:r>
        <w:rPr>
          <w:i/>
        </w:rPr>
        <w:t>Genesis</w:t>
      </w:r>
      <w:r>
        <w:t>, 119.</w:t>
      </w:r>
    </w:p>
  </w:footnote>
  <w:footnote w:id="168">
    <w:p w14:paraId="75B37391" w14:textId="77777777" w:rsidR="000438B1" w:rsidRDefault="000438B1">
      <w:pPr>
        <w:pStyle w:val="FootnoteText"/>
      </w:pPr>
      <w:r>
        <w:rPr>
          <w:rStyle w:val="FootnoteReference"/>
        </w:rPr>
        <w:footnoteRef/>
      </w:r>
      <w:r>
        <w:t xml:space="preserve"> Cf. </w:t>
      </w:r>
      <w:r w:rsidRPr="00790080">
        <w:t xml:space="preserve">Luther, </w:t>
      </w:r>
      <w:r w:rsidRPr="00790080">
        <w:rPr>
          <w:i/>
        </w:rPr>
        <w:t>Genesis 6—14</w:t>
      </w:r>
      <w:r>
        <w:t>, 377.</w:t>
      </w:r>
    </w:p>
  </w:footnote>
  <w:footnote w:id="169">
    <w:p w14:paraId="00658268" w14:textId="77777777" w:rsidR="000438B1" w:rsidRPr="00E56C26" w:rsidRDefault="000438B1">
      <w:pPr>
        <w:pStyle w:val="FootnoteText"/>
      </w:pPr>
      <w:r>
        <w:rPr>
          <w:rStyle w:val="FootnoteReference"/>
        </w:rPr>
        <w:footnoteRef/>
      </w:r>
      <w:r>
        <w:t xml:space="preserve"> Removing the account of his appearance (vv. 18-20) makes the chapter smoother. </w:t>
      </w:r>
      <w:r w:rsidRPr="000F67F4">
        <w:t>G. Granerød (</w:t>
      </w:r>
      <w:r w:rsidRPr="000F67F4">
        <w:rPr>
          <w:i/>
        </w:rPr>
        <w:t>Abraham and Melchizedek</w:t>
      </w:r>
      <w:r w:rsidRPr="000F67F4">
        <w:t xml:space="preserve"> [Ber</w:t>
      </w:r>
      <w:r>
        <w:t xml:space="preserve">lin: de Gruyter, 2010]) has argued most systemically for its secondary nature; contrast S. Tatu, “Making Sense of Melchizedek,” </w:t>
      </w:r>
      <w:r>
        <w:rPr>
          <w:i/>
        </w:rPr>
        <w:t>JESOT</w:t>
      </w:r>
      <w:r>
        <w:t xml:space="preserve"> 3 (2014): 49-76.</w:t>
      </w:r>
    </w:p>
  </w:footnote>
  <w:footnote w:id="170">
    <w:p w14:paraId="514885A7" w14:textId="77777777" w:rsidR="000438B1" w:rsidRPr="001F192A" w:rsidRDefault="000438B1" w:rsidP="00B50078">
      <w:r>
        <w:rPr>
          <w:rStyle w:val="FootnoteReference"/>
        </w:rPr>
        <w:footnoteRef/>
      </w:r>
      <w:bookmarkStart w:id="0" w:name="citation"/>
      <w:r>
        <w:t xml:space="preserve"> </w:t>
      </w:r>
      <w:r>
        <w:rPr>
          <w:sz w:val="20"/>
          <w:szCs w:val="20"/>
        </w:rPr>
        <w:t>D. E</w:t>
      </w:r>
      <w:r w:rsidRPr="00E71B6E">
        <w:rPr>
          <w:sz w:val="20"/>
          <w:szCs w:val="20"/>
        </w:rPr>
        <w:t>lgavish (</w:t>
      </w:r>
      <w:r>
        <w:rPr>
          <w:sz w:val="20"/>
          <w:szCs w:val="20"/>
        </w:rPr>
        <w:t>“</w:t>
      </w:r>
      <w:r w:rsidRPr="00E71B6E">
        <w:rPr>
          <w:sz w:val="20"/>
          <w:szCs w:val="20"/>
        </w:rPr>
        <w:t>The Encounter of Abram and Melchizedek</w:t>
      </w:r>
      <w:bookmarkEnd w:id="0"/>
      <w:r w:rsidRPr="00E71B6E">
        <w:rPr>
          <w:sz w:val="20"/>
          <w:szCs w:val="20"/>
        </w:rPr>
        <w:t>,</w:t>
      </w:r>
      <w:r>
        <w:rPr>
          <w:sz w:val="20"/>
          <w:szCs w:val="20"/>
        </w:rPr>
        <w:t>”</w:t>
      </w:r>
      <w:r w:rsidRPr="00E71B6E">
        <w:rPr>
          <w:sz w:val="20"/>
          <w:szCs w:val="20"/>
        </w:rPr>
        <w:t xml:space="preserve"> in Wénin</w:t>
      </w:r>
      <w:r>
        <w:rPr>
          <w:sz w:val="20"/>
          <w:szCs w:val="20"/>
        </w:rPr>
        <w:t xml:space="preserve"> [ed.]</w:t>
      </w:r>
      <w:r w:rsidRPr="00E71B6E">
        <w:rPr>
          <w:sz w:val="20"/>
          <w:szCs w:val="20"/>
        </w:rPr>
        <w:t xml:space="preserve">, </w:t>
      </w:r>
      <w:r w:rsidRPr="00E71B6E">
        <w:rPr>
          <w:i/>
          <w:sz w:val="20"/>
          <w:szCs w:val="20"/>
        </w:rPr>
        <w:t>Genesis</w:t>
      </w:r>
      <w:r w:rsidRPr="00E71B6E">
        <w:rPr>
          <w:sz w:val="20"/>
          <w:szCs w:val="20"/>
        </w:rPr>
        <w:t xml:space="preserve">, </w:t>
      </w:r>
      <w:proofErr w:type="gramStart"/>
      <w:r w:rsidRPr="00E71B6E">
        <w:rPr>
          <w:sz w:val="20"/>
          <w:szCs w:val="20"/>
        </w:rPr>
        <w:t>495</w:t>
      </w:r>
      <w:proofErr w:type="gramEnd"/>
      <w:r w:rsidRPr="00E71B6E">
        <w:rPr>
          <w:sz w:val="20"/>
          <w:szCs w:val="20"/>
        </w:rPr>
        <w:t>-508)</w:t>
      </w:r>
      <w:r>
        <w:rPr>
          <w:sz w:val="20"/>
          <w:szCs w:val="20"/>
        </w:rPr>
        <w:t xml:space="preserve"> sees them as suggesting a covenant-making ceremony in which Melchizedek is recognizing Abraham. Josephus (</w:t>
      </w:r>
      <w:r>
        <w:rPr>
          <w:i/>
          <w:sz w:val="20"/>
          <w:szCs w:val="20"/>
        </w:rPr>
        <w:t>Antiquities</w:t>
      </w:r>
      <w:r>
        <w:rPr>
          <w:sz w:val="20"/>
          <w:szCs w:val="20"/>
        </w:rPr>
        <w:t xml:space="preserve"> I, 10:2) simply calls it a feast.</w:t>
      </w:r>
    </w:p>
  </w:footnote>
  <w:footnote w:id="171">
    <w:p w14:paraId="663C4882" w14:textId="65266B90" w:rsidR="000438B1" w:rsidRPr="00885203" w:rsidRDefault="000438B1">
      <w:pPr>
        <w:pStyle w:val="FootnoteText"/>
      </w:pPr>
      <w:r>
        <w:rPr>
          <w:rStyle w:val="FootnoteReference"/>
        </w:rPr>
        <w:footnoteRef/>
      </w:r>
      <w:r>
        <w:t xml:space="preserve"> Cf. Westermann, </w:t>
      </w:r>
      <w:r>
        <w:rPr>
          <w:i/>
        </w:rPr>
        <w:t>Genesis 12—36</w:t>
      </w:r>
      <w:r>
        <w:t>, 205, and his references; see also the footnote to 4:1.</w:t>
      </w:r>
    </w:p>
  </w:footnote>
  <w:footnote w:id="172">
    <w:p w14:paraId="31B6A095" w14:textId="77777777" w:rsidR="000438B1" w:rsidRPr="001564CC" w:rsidRDefault="000438B1">
      <w:pPr>
        <w:pStyle w:val="FootnoteText"/>
      </w:pPr>
      <w:r>
        <w:rPr>
          <w:rStyle w:val="FootnoteReference"/>
        </w:rPr>
        <w:footnoteRef/>
      </w:r>
      <w:r>
        <w:t xml:space="preserve"> Cf. Sarna, </w:t>
      </w:r>
      <w:r>
        <w:rPr>
          <w:i/>
        </w:rPr>
        <w:t>Genesis</w:t>
      </w:r>
      <w:r>
        <w:t>, 110.</w:t>
      </w:r>
    </w:p>
  </w:footnote>
  <w:footnote w:id="173">
    <w:p w14:paraId="463B498C" w14:textId="1FB861CD" w:rsidR="000438B1" w:rsidRPr="00EF6D97" w:rsidRDefault="000438B1" w:rsidP="00EF6D97">
      <w:pPr>
        <w:pStyle w:val="FootnoteText"/>
        <w:jc w:val="both"/>
      </w:pPr>
      <w:r>
        <w:rPr>
          <w:rStyle w:val="FootnoteReference"/>
        </w:rPr>
        <w:footnoteRef/>
      </w:r>
      <w:r>
        <w:t xml:space="preserve"> See </w:t>
      </w:r>
      <w:r>
        <w:rPr>
          <w:i/>
        </w:rPr>
        <w:t xml:space="preserve">DSS </w:t>
      </w:r>
      <w:r>
        <w:t xml:space="preserve">2:1206-9; and e.g., M. Reiss, “The Melchizedek Traditions, </w:t>
      </w:r>
      <w:r>
        <w:rPr>
          <w:i/>
        </w:rPr>
        <w:t>SJOT</w:t>
      </w:r>
      <w:r>
        <w:t xml:space="preserve"> 28 (2012): 259-65.</w:t>
      </w:r>
    </w:p>
  </w:footnote>
  <w:footnote w:id="174">
    <w:p w14:paraId="6B815C65" w14:textId="77777777" w:rsidR="000438B1" w:rsidRPr="00432220" w:rsidRDefault="000438B1" w:rsidP="00432220">
      <w:pPr>
        <w:pStyle w:val="FootnoteText"/>
      </w:pPr>
      <w:r>
        <w:rPr>
          <w:rStyle w:val="FootnoteReference"/>
        </w:rPr>
        <w:footnoteRef/>
      </w:r>
      <w:r>
        <w:t xml:space="preserve"> See e.g., S. Docherty, “Genesis in Hebrews,” in Moyise/Menken (eds.),</w:t>
      </w:r>
      <w:r w:rsidRPr="00D25565">
        <w:t xml:space="preserve"> </w:t>
      </w:r>
      <w:r>
        <w:rPr>
          <w:i/>
        </w:rPr>
        <w:t>Genesis in the NT</w:t>
      </w:r>
      <w:r>
        <w:t>, 130-46 (133-37).</w:t>
      </w:r>
    </w:p>
  </w:footnote>
  <w:footnote w:id="175">
    <w:p w14:paraId="5CC2750B" w14:textId="77777777" w:rsidR="000438B1" w:rsidRDefault="000438B1" w:rsidP="00E25069">
      <w:pPr>
        <w:pStyle w:val="FootnoteText"/>
      </w:pPr>
      <w:r>
        <w:rPr>
          <w:rStyle w:val="FootnoteReference"/>
        </w:rPr>
        <w:footnoteRef/>
      </w:r>
      <w:r>
        <w:t xml:space="preserve"> Jerome, </w:t>
      </w:r>
      <w:r w:rsidRPr="00086852">
        <w:rPr>
          <w:i/>
        </w:rPr>
        <w:t>Hebrew Questions on Genesis</w:t>
      </w:r>
      <w:r w:rsidRPr="00086852">
        <w:t>,</w:t>
      </w:r>
      <w:r>
        <w:t xml:space="preserve"> 47.</w:t>
      </w:r>
    </w:p>
  </w:footnote>
  <w:footnote w:id="176">
    <w:p w14:paraId="54E78FC1" w14:textId="77777777" w:rsidR="000438B1" w:rsidRDefault="000438B1" w:rsidP="00957C17">
      <w:pPr>
        <w:pStyle w:val="FootnoteText"/>
      </w:pPr>
      <w:r>
        <w:rPr>
          <w:rStyle w:val="FootnoteReference"/>
        </w:rPr>
        <w:footnoteRef/>
      </w:r>
      <w:r>
        <w:t xml:space="preserve"> See Cohn, “Negotiating with the Natives.”</w:t>
      </w:r>
    </w:p>
  </w:footnote>
  <w:footnote w:id="177">
    <w:p w14:paraId="4711DB23" w14:textId="77777777" w:rsidR="000438B1" w:rsidRPr="00F502C8" w:rsidRDefault="000438B1">
      <w:pPr>
        <w:pStyle w:val="FootnoteText"/>
      </w:pPr>
      <w:r>
        <w:rPr>
          <w:rStyle w:val="FootnoteReference"/>
        </w:rPr>
        <w:footnoteRef/>
      </w:r>
      <w:r>
        <w:t xml:space="preserve"> Brichto, </w:t>
      </w:r>
      <w:r>
        <w:rPr>
          <w:i/>
        </w:rPr>
        <w:t>Names of God</w:t>
      </w:r>
      <w:r>
        <w:t>, 196-97.</w:t>
      </w:r>
    </w:p>
  </w:footnote>
  <w:footnote w:id="178">
    <w:p w14:paraId="1310ABE7" w14:textId="77777777" w:rsidR="000438B1" w:rsidRPr="00D02098" w:rsidRDefault="000438B1" w:rsidP="000F67F4">
      <w:pPr>
        <w:pStyle w:val="FootnoteText"/>
      </w:pPr>
      <w:r>
        <w:rPr>
          <w:rStyle w:val="FootnoteReference"/>
        </w:rPr>
        <w:footnoteRef/>
      </w:r>
      <w:r>
        <w:t xml:space="preserve"> </w:t>
      </w:r>
      <w:r w:rsidRPr="000F67F4">
        <w:t>In the context of the Peasants’ Revolt, Luther insists not (</w:t>
      </w:r>
      <w:r w:rsidRPr="000F67F4">
        <w:rPr>
          <w:i/>
        </w:rPr>
        <w:t>Genesis 6—14</w:t>
      </w:r>
      <w:r w:rsidRPr="000F67F4">
        <w:t>, 375).</w:t>
      </w:r>
      <w:r>
        <w:t xml:space="preserve"> </w:t>
      </w:r>
      <w:r w:rsidRPr="000F67F4">
        <w:t>Granerød (</w:t>
      </w:r>
      <w:r w:rsidRPr="000F67F4">
        <w:rPr>
          <w:i/>
        </w:rPr>
        <w:t>Abraham and Melchizedek</w:t>
      </w:r>
      <w:r w:rsidRPr="000F67F4">
        <w:t>)</w:t>
      </w:r>
      <w:r>
        <w:t xml:space="preserve"> relates Gen 14 to the Judahite community in the Persian (or Greek) period, which it urges to stand up for itself.</w:t>
      </w:r>
    </w:p>
  </w:footnote>
  <w:footnote w:id="179">
    <w:p w14:paraId="019F7CC3" w14:textId="77777777" w:rsidR="000438B1" w:rsidRPr="00334C3E" w:rsidRDefault="000438B1" w:rsidP="002F478F">
      <w:pPr>
        <w:pStyle w:val="FootnoteText"/>
      </w:pPr>
      <w:r>
        <w:rPr>
          <w:rStyle w:val="FootnoteReference"/>
        </w:rPr>
        <w:footnoteRef/>
      </w:r>
      <w:r>
        <w:t xml:space="preserve"> Calvin, </w:t>
      </w:r>
      <w:r>
        <w:rPr>
          <w:i/>
        </w:rPr>
        <w:t xml:space="preserve">Genesis </w:t>
      </w:r>
      <w:r>
        <w:t>1:383.</w:t>
      </w:r>
    </w:p>
  </w:footnote>
  <w:footnote w:id="180">
    <w:p w14:paraId="5E81EF06" w14:textId="77777777" w:rsidR="000438B1" w:rsidRPr="00B97399" w:rsidRDefault="000438B1" w:rsidP="00E25069">
      <w:pPr>
        <w:pStyle w:val="FootnoteText"/>
      </w:pPr>
      <w:r>
        <w:rPr>
          <w:rStyle w:val="FootnoteReference"/>
        </w:rPr>
        <w:footnoteRef/>
      </w:r>
      <w:r>
        <w:t xml:space="preserve"> Cf. Westermann, </w:t>
      </w:r>
      <w:r>
        <w:rPr>
          <w:i/>
        </w:rPr>
        <w:t>Genesis 12—36</w:t>
      </w:r>
      <w:r>
        <w:t>, 202.</w:t>
      </w:r>
    </w:p>
  </w:footnote>
  <w:footnote w:id="181">
    <w:p w14:paraId="39BB9D23" w14:textId="77777777" w:rsidR="000438B1" w:rsidRPr="005B2D48" w:rsidRDefault="000438B1" w:rsidP="002F478F">
      <w:pPr>
        <w:pStyle w:val="FootnoteText"/>
      </w:pPr>
      <w:r>
        <w:rPr>
          <w:rStyle w:val="FootnoteReference"/>
        </w:rPr>
        <w:footnoteRef/>
      </w:r>
      <w:r>
        <w:t xml:space="preserve"> Fretheim, </w:t>
      </w:r>
      <w:r>
        <w:rPr>
          <w:i/>
        </w:rPr>
        <w:t>Abraham</w:t>
      </w:r>
      <w:r>
        <w:t>, 11.</w:t>
      </w:r>
    </w:p>
  </w:footnote>
  <w:footnote w:id="182">
    <w:p w14:paraId="6D88127E" w14:textId="77777777" w:rsidR="000438B1" w:rsidRPr="00CC7BA4" w:rsidRDefault="000438B1" w:rsidP="002F478F">
      <w:pPr>
        <w:pStyle w:val="FootnoteText"/>
      </w:pPr>
      <w:r>
        <w:rPr>
          <w:rStyle w:val="FootnoteReference"/>
        </w:rPr>
        <w:footnoteRef/>
      </w:r>
      <w:r>
        <w:t xml:space="preserve"> Cf. </w:t>
      </w:r>
      <w:r w:rsidRPr="00CC7BA4">
        <w:t xml:space="preserve">Fretheim, </w:t>
      </w:r>
      <w:r w:rsidRPr="00CC7BA4">
        <w:rPr>
          <w:i/>
        </w:rPr>
        <w:t>Abraham</w:t>
      </w:r>
      <w:r>
        <w:t>, 68-69.</w:t>
      </w:r>
    </w:p>
  </w:footnote>
  <w:footnote w:id="183">
    <w:p w14:paraId="183A5041" w14:textId="77777777" w:rsidR="000438B1" w:rsidRPr="00BB58E3" w:rsidRDefault="000438B1" w:rsidP="002F478F">
      <w:pPr>
        <w:pStyle w:val="FootnoteText"/>
      </w:pPr>
      <w:r>
        <w:rPr>
          <w:rStyle w:val="FootnoteReference"/>
        </w:rPr>
        <w:footnoteRef/>
      </w:r>
      <w:r>
        <w:t xml:space="preserve"> Cf. Brueggemann, </w:t>
      </w:r>
      <w:r>
        <w:rPr>
          <w:i/>
        </w:rPr>
        <w:t>Genesis</w:t>
      </w:r>
      <w:r>
        <w:t>, 137.</w:t>
      </w:r>
    </w:p>
  </w:footnote>
  <w:footnote w:id="184">
    <w:p w14:paraId="1025976C" w14:textId="77777777" w:rsidR="000438B1" w:rsidRPr="00262687" w:rsidRDefault="000438B1" w:rsidP="00D0225B">
      <w:pPr>
        <w:pStyle w:val="FootnoteText"/>
      </w:pPr>
      <w:r>
        <w:rPr>
          <w:rStyle w:val="FootnoteReference"/>
        </w:rPr>
        <w:footnoteRef/>
      </w:r>
      <w:r>
        <w:t xml:space="preserve"> Cf. Seebass, </w:t>
      </w:r>
      <w:r w:rsidRPr="00CD3E96">
        <w:rPr>
          <w:i/>
        </w:rPr>
        <w:t>Genesis</w:t>
      </w:r>
      <w:r>
        <w:t xml:space="preserve"> 2/1:69.</w:t>
      </w:r>
    </w:p>
  </w:footnote>
  <w:footnote w:id="185">
    <w:p w14:paraId="0D2EBA7E" w14:textId="77777777" w:rsidR="000438B1" w:rsidRPr="002D5B0D" w:rsidRDefault="000438B1">
      <w:pPr>
        <w:pStyle w:val="FootnoteText"/>
      </w:pPr>
      <w:r>
        <w:rPr>
          <w:rStyle w:val="FootnoteReference"/>
        </w:rPr>
        <w:footnoteRef/>
      </w:r>
      <w:r>
        <w:t xml:space="preserve"> Lipton, </w:t>
      </w:r>
      <w:r>
        <w:rPr>
          <w:i/>
        </w:rPr>
        <w:t>Revisions of the Night</w:t>
      </w:r>
      <w:r>
        <w:t>, 217.</w:t>
      </w:r>
    </w:p>
  </w:footnote>
  <w:footnote w:id="186">
    <w:p w14:paraId="54B52659" w14:textId="77777777" w:rsidR="000438B1" w:rsidRDefault="000438B1">
      <w:pPr>
        <w:pStyle w:val="FootnoteText"/>
      </w:pPr>
      <w:r>
        <w:rPr>
          <w:rStyle w:val="FootnoteReference"/>
        </w:rPr>
        <w:footnoteRef/>
      </w:r>
      <w:r>
        <w:t xml:space="preserve"> Literally “was” or “happened” or “became.”</w:t>
      </w:r>
    </w:p>
  </w:footnote>
  <w:footnote w:id="187">
    <w:p w14:paraId="448D1579" w14:textId="77777777" w:rsidR="000438B1" w:rsidRDefault="000438B1">
      <w:pPr>
        <w:pStyle w:val="FootnoteText"/>
      </w:pPr>
      <w:r>
        <w:rPr>
          <w:rStyle w:val="FootnoteReference"/>
        </w:rPr>
        <w:footnoteRef/>
      </w:r>
      <w:r>
        <w:t xml:space="preserve"> Literally, “[will be] a much-making exceedingly”; the </w:t>
      </w:r>
      <w:r w:rsidRPr="004A22A2">
        <w:t>infinitive absolute function</w:t>
      </w:r>
      <w:r>
        <w:t>s</w:t>
      </w:r>
      <w:r w:rsidRPr="004A22A2">
        <w:t xml:space="preserve"> as a gerund</w:t>
      </w:r>
      <w:r>
        <w:t xml:space="preserve"> (GK131q). </w:t>
      </w:r>
      <w:r w:rsidRPr="00AF3A31">
        <w:rPr>
          <w:i/>
        </w:rPr>
        <w:t>GenAp</w:t>
      </w:r>
      <w:r>
        <w:t xml:space="preserve"> 22 introduces the promises with a note on how much Yahweh has enriched Abraham in the ten years since he left Harran.</w:t>
      </w:r>
    </w:p>
  </w:footnote>
  <w:footnote w:id="188">
    <w:p w14:paraId="737DA76F" w14:textId="06914DFF" w:rsidR="000438B1" w:rsidRPr="00762CED" w:rsidRDefault="000438B1">
      <w:pPr>
        <w:pStyle w:val="FootnoteText"/>
      </w:pPr>
      <w:r>
        <w:rPr>
          <w:rStyle w:val="FootnoteReference"/>
        </w:rPr>
        <w:footnoteRef/>
      </w:r>
      <w:r>
        <w:t xml:space="preserve"> </w:t>
      </w:r>
      <w:r>
        <w:rPr>
          <w:i/>
        </w:rPr>
        <w:t>’Ădōnāy</w:t>
      </w:r>
      <w:r>
        <w:t xml:space="preserve"> may be the word for lord in the plural with a first-person suffix (thus “my lord”; cf. BDB, </w:t>
      </w:r>
      <w:r>
        <w:rPr>
          <w:i/>
        </w:rPr>
        <w:t>HALOT</w:t>
      </w:r>
      <w:r>
        <w:t xml:space="preserve">, </w:t>
      </w:r>
      <w:r>
        <w:rPr>
          <w:i/>
        </w:rPr>
        <w:t>DCH</w:t>
      </w:r>
      <w:r>
        <w:t xml:space="preserve">) or the word for lord with an archaic intensive plural sufformative (hence “great lord”; cf. LXX, Vg); see </w:t>
      </w:r>
      <w:r w:rsidRPr="00C70964">
        <w:t>O. Eissfeld</w:t>
      </w:r>
      <w:r>
        <w:t xml:space="preserve">t’s discussion of </w:t>
      </w:r>
      <w:r>
        <w:rPr>
          <w:i/>
        </w:rPr>
        <w:t>’ādôn</w:t>
      </w:r>
      <w:r>
        <w:t xml:space="preserve"> in </w:t>
      </w:r>
      <w:r>
        <w:rPr>
          <w:i/>
        </w:rPr>
        <w:t>TDOT</w:t>
      </w:r>
      <w:r>
        <w:t xml:space="preserve"> 1:59-72.</w:t>
      </w:r>
    </w:p>
  </w:footnote>
  <w:footnote w:id="189">
    <w:p w14:paraId="368D3D6B" w14:textId="77777777" w:rsidR="000438B1" w:rsidRPr="008D4021" w:rsidRDefault="000438B1" w:rsidP="008D4021">
      <w:pPr>
        <w:pStyle w:val="FootnoteText"/>
      </w:pPr>
      <w:r>
        <w:rPr>
          <w:rStyle w:val="FootnoteReference"/>
        </w:rPr>
        <w:footnoteRef/>
      </w:r>
      <w:r>
        <w:t xml:space="preserve"> </w:t>
      </w:r>
      <w:r>
        <w:rPr>
          <w:i/>
        </w:rPr>
        <w:t>Ben-mešek</w:t>
      </w:r>
      <w:r>
        <w:t xml:space="preserve">: the second word comes only here and the meaning has to be guessed from the context. For some solutions to the mystery of v. 2b, see e.g., Hamilton, </w:t>
      </w:r>
      <w:r>
        <w:rPr>
          <w:i/>
        </w:rPr>
        <w:t>Genesis</w:t>
      </w:r>
      <w:r>
        <w:t xml:space="preserve">, 420-22; </w:t>
      </w:r>
      <w:r w:rsidRPr="008D4021">
        <w:rPr>
          <w:rFonts w:asciiTheme="minorHAnsi" w:eastAsia="TimesNewRomanPSMT" w:hAnsiTheme="minorHAnsi" w:cs="TimesNewRomanPSMT"/>
        </w:rPr>
        <w:t>H. Seebass</w:t>
      </w:r>
      <w:r>
        <w:rPr>
          <w:rFonts w:eastAsia="TimesNewRomanPSMT" w:cs="TimesNewRomanPSMT"/>
        </w:rPr>
        <w:t>,</w:t>
      </w:r>
      <w:r w:rsidRPr="008D4021">
        <w:rPr>
          <w:rFonts w:asciiTheme="minorHAnsi" w:eastAsiaTheme="minorHAnsi" w:hAnsiTheme="minorHAnsi" w:cs="TimesNewRomanPS-BoldMT"/>
          <w:bCs/>
        </w:rPr>
        <w:t xml:space="preserve"> </w:t>
      </w:r>
      <w:r>
        <w:rPr>
          <w:rFonts w:asciiTheme="minorHAnsi" w:eastAsiaTheme="minorHAnsi" w:hAnsiTheme="minorHAnsi" w:cs="TimesNewRomanPS-BoldMT"/>
          <w:bCs/>
        </w:rPr>
        <w:t>“</w:t>
      </w:r>
      <w:r>
        <w:rPr>
          <w:rFonts w:eastAsiaTheme="minorHAnsi" w:cs="TimesNewRomanPS-BoldMT"/>
          <w:bCs/>
        </w:rPr>
        <w:t>Gen</w:t>
      </w:r>
      <w:r w:rsidRPr="008D4021">
        <w:rPr>
          <w:rFonts w:asciiTheme="minorHAnsi" w:eastAsiaTheme="minorHAnsi" w:hAnsiTheme="minorHAnsi" w:cs="TimesNewRomanPS-BoldMT"/>
          <w:bCs/>
        </w:rPr>
        <w:t xml:space="preserve"> 15</w:t>
      </w:r>
      <w:r>
        <w:rPr>
          <w:rFonts w:asciiTheme="minorHAnsi" w:eastAsiaTheme="minorHAnsi" w:hAnsiTheme="minorHAnsi" w:cs="TimesNewRomanPS-BoldMT"/>
          <w:bCs/>
        </w:rPr>
        <w:t xml:space="preserve"> </w:t>
      </w:r>
      <w:r w:rsidRPr="008D4021">
        <w:rPr>
          <w:rFonts w:asciiTheme="minorHAnsi" w:eastAsiaTheme="minorHAnsi" w:hAnsiTheme="minorHAnsi" w:cs="TimesNewRomanPS-BoldMT"/>
          <w:bCs/>
        </w:rPr>
        <w:t>2b</w:t>
      </w:r>
      <w:r>
        <w:rPr>
          <w:rFonts w:asciiTheme="minorHAnsi" w:eastAsiaTheme="minorHAnsi" w:hAnsiTheme="minorHAnsi" w:cs="TimesNewRomanPS-BoldMT"/>
          <w:bCs/>
        </w:rPr>
        <w:t xml:space="preserve">,” </w:t>
      </w:r>
      <w:r>
        <w:rPr>
          <w:rFonts w:asciiTheme="minorHAnsi" w:eastAsiaTheme="minorHAnsi" w:hAnsiTheme="minorHAnsi" w:cs="TimesNewRomanPS-BoldMT"/>
          <w:bCs/>
          <w:i/>
        </w:rPr>
        <w:t>ZAW</w:t>
      </w:r>
      <w:r>
        <w:rPr>
          <w:rFonts w:asciiTheme="minorHAnsi" w:eastAsiaTheme="minorHAnsi" w:hAnsiTheme="minorHAnsi" w:cs="TimesNewRomanPS-BoldMT"/>
          <w:bCs/>
        </w:rPr>
        <w:t xml:space="preserve"> 75 (1963): 317-19.</w:t>
      </w:r>
    </w:p>
  </w:footnote>
  <w:footnote w:id="190">
    <w:p w14:paraId="637A0185" w14:textId="77777777" w:rsidR="000438B1" w:rsidRPr="00991A7E" w:rsidRDefault="000438B1">
      <w:pPr>
        <w:pStyle w:val="FootnoteText"/>
      </w:pPr>
      <w:r>
        <w:rPr>
          <w:rStyle w:val="FootnoteReference"/>
        </w:rPr>
        <w:footnoteRef/>
      </w:r>
      <w:r>
        <w:t xml:space="preserve"> </w:t>
      </w:r>
      <w:r w:rsidRPr="00991A7E">
        <w:t>In this context</w:t>
      </w:r>
      <w:r>
        <w:rPr>
          <w:i/>
        </w:rPr>
        <w:t xml:space="preserve"> yāraš</w:t>
      </w:r>
      <w:r>
        <w:t xml:space="preserve"> denotes inheriting, but in itself the verb simply refers to secure ownership not possession through inheriting: see the recurrence of the verb and related noun in vv. 7-8.</w:t>
      </w:r>
    </w:p>
  </w:footnote>
  <w:footnote w:id="191">
    <w:p w14:paraId="5A992860" w14:textId="77777777" w:rsidR="000438B1" w:rsidRPr="00233CAC" w:rsidRDefault="000438B1">
      <w:pPr>
        <w:pStyle w:val="FootnoteText"/>
      </w:pPr>
      <w:r>
        <w:rPr>
          <w:rStyle w:val="FootnoteReference"/>
        </w:rPr>
        <w:footnoteRef/>
      </w:r>
      <w:r>
        <w:t xml:space="preserve"> The verb is simple </w:t>
      </w:r>
      <w:r>
        <w:rPr>
          <w:i/>
        </w:rPr>
        <w:t>waw</w:t>
      </w:r>
      <w:r>
        <w:t xml:space="preserve"> plus qatal. </w:t>
      </w:r>
      <w:r w:rsidRPr="00233CAC">
        <w:t>GK112ss</w:t>
      </w:r>
      <w:r>
        <w:t xml:space="preserve"> takes it as suggesting continuance; but the following </w:t>
      </w:r>
      <w:r>
        <w:rPr>
          <w:i/>
        </w:rPr>
        <w:t>waw</w:t>
      </w:r>
      <w:r>
        <w:rPr>
          <w:i/>
        </w:rPr>
        <w:softHyphen/>
        <w:t>-</w:t>
      </w:r>
      <w:r w:rsidRPr="00233CAC">
        <w:t>consecutive is then difficult</w:t>
      </w:r>
      <w:r>
        <w:rPr>
          <w:i/>
        </w:rPr>
        <w:t xml:space="preserve">. </w:t>
      </w:r>
      <w:r>
        <w:t xml:space="preserve">DG 84c suggests it sums up what has gone before: “so he trusted.” </w:t>
      </w:r>
      <w:r w:rsidRPr="00AF3A31">
        <w:rPr>
          <w:i/>
        </w:rPr>
        <w:t>TTH</w:t>
      </w:r>
      <w:r w:rsidRPr="00AF3A31">
        <w:t xml:space="preserve"> 133 calls it an isolated irregularity (cf. JM 119z).</w:t>
      </w:r>
    </w:p>
  </w:footnote>
  <w:footnote w:id="192">
    <w:p w14:paraId="40AEDBA4" w14:textId="577A7591" w:rsidR="000438B1" w:rsidRPr="006D7445" w:rsidRDefault="000438B1">
      <w:pPr>
        <w:pStyle w:val="FootnoteText"/>
      </w:pPr>
      <w:r>
        <w:rPr>
          <w:rStyle w:val="FootnoteReference"/>
        </w:rPr>
        <w:footnoteRef/>
      </w:r>
      <w:r>
        <w:t xml:space="preserve"> LXX and Vg have passive verbs “it was deemed,” implying that the third person singular is impersonal. The clause then refers to a deeming about Abraham rather than by Abraham (cf. the niphal verb in Ps 106:31; and the niphal verbs in passages such as Lev 7:18). But there are no pointers to this impersonal understanding. While Yahweh is the subject of the qatal in Ps 32:2, and Qimchi assumes that understanding here (</w:t>
      </w:r>
      <w:r>
        <w:rPr>
          <w:i/>
        </w:rPr>
        <w:t>Genesis</w:t>
      </w:r>
      <w:r>
        <w:t xml:space="preserve">, on the verse), the construction as a whole here is different (D. A. Klein discusses the question from a Jewish angle in “Who Counted Righteousness to Whom,” </w:t>
      </w:r>
      <w:r>
        <w:rPr>
          <w:i/>
        </w:rPr>
        <w:t xml:space="preserve">JBT </w:t>
      </w:r>
      <w:r>
        <w:t>36 [2008]: 28-32). Luther sees the idea that Abraham is the subject as satanic (</w:t>
      </w:r>
      <w:r>
        <w:rPr>
          <w:i/>
        </w:rPr>
        <w:t>Genesis 15—20</w:t>
      </w:r>
      <w:r>
        <w:t>, 21). Seebass (</w:t>
      </w:r>
      <w:r w:rsidRPr="006D7445">
        <w:rPr>
          <w:i/>
        </w:rPr>
        <w:t>Genesis</w:t>
      </w:r>
      <w:r w:rsidRPr="006D7445">
        <w:t xml:space="preserve"> 2</w:t>
      </w:r>
      <w:r>
        <w:t>/1</w:t>
      </w:r>
      <w:r w:rsidRPr="006D7445">
        <w:t>:</w:t>
      </w:r>
      <w:r>
        <w:t xml:space="preserve">63) renders “he [Yahweh] planned” an act of </w:t>
      </w:r>
      <w:r>
        <w:rPr>
          <w:i/>
        </w:rPr>
        <w:t>ṣᵉdāqāh</w:t>
      </w:r>
      <w:r>
        <w:t xml:space="preserve">, whose implications are not so different from Abraham’s seeing Yahweh’s promise as an </w:t>
      </w:r>
      <w:r w:rsidRPr="006D7445">
        <w:t xml:space="preserve">act of </w:t>
      </w:r>
      <w:r w:rsidRPr="006D7445">
        <w:rPr>
          <w:i/>
        </w:rPr>
        <w:t>ṣᵉdāqāh</w:t>
      </w:r>
      <w:r>
        <w:t xml:space="preserve">, though it is open to an eschatological re-reading (see Y. Hwang, “Eschatology in Genesis 15:6,” </w:t>
      </w:r>
      <w:r>
        <w:rPr>
          <w:i/>
        </w:rPr>
        <w:t>Hebrew Studies</w:t>
      </w:r>
      <w:r>
        <w:t xml:space="preserve"> 55 [2014]: 19-41). See further the comment.</w:t>
      </w:r>
    </w:p>
  </w:footnote>
  <w:footnote w:id="193">
    <w:p w14:paraId="0F2D0A95" w14:textId="66B30F38" w:rsidR="000438B1" w:rsidRPr="00431792" w:rsidRDefault="000438B1">
      <w:pPr>
        <w:pStyle w:val="FootnoteText"/>
      </w:pPr>
      <w:r>
        <w:rPr>
          <w:rStyle w:val="FootnoteReference"/>
        </w:rPr>
        <w:footnoteRef/>
      </w:r>
      <w:r>
        <w:t xml:space="preserve"> Or “I Yahweh am the one who” (cf. Seebass, </w:t>
      </w:r>
      <w:r w:rsidRPr="00CD3E96">
        <w:rPr>
          <w:i/>
        </w:rPr>
        <w:t>Genesis</w:t>
      </w:r>
      <w:r>
        <w:t xml:space="preserve"> 2/1:72). Having no equivalent to a noun clause, English cannot represent the Hebrew expression in its openness. </w:t>
      </w:r>
    </w:p>
  </w:footnote>
  <w:footnote w:id="194">
    <w:p w14:paraId="4DFBAE1A" w14:textId="77777777" w:rsidR="000438B1" w:rsidRPr="00081B43" w:rsidRDefault="000438B1">
      <w:pPr>
        <w:pStyle w:val="FootnoteText"/>
      </w:pPr>
      <w:r>
        <w:rPr>
          <w:rStyle w:val="FootnoteReference"/>
        </w:rPr>
        <w:footnoteRef/>
      </w:r>
      <w:r>
        <w:t xml:space="preserve"> Literally, “a heifer that is made three.” TgOnq takes </w:t>
      </w:r>
      <w:r>
        <w:rPr>
          <w:i/>
        </w:rPr>
        <w:t>mᵉšullešet</w:t>
      </w:r>
      <w:r>
        <w:t xml:space="preserve"> each time to mean “threefold.”</w:t>
      </w:r>
    </w:p>
  </w:footnote>
  <w:footnote w:id="195">
    <w:p w14:paraId="4B52E938" w14:textId="49B9E160" w:rsidR="000438B1" w:rsidRPr="002C251C" w:rsidRDefault="000438B1">
      <w:pPr>
        <w:pStyle w:val="FootnoteText"/>
      </w:pPr>
      <w:r w:rsidRPr="002C251C">
        <w:rPr>
          <w:rStyle w:val="FootnoteReference"/>
        </w:rPr>
        <w:footnoteRef/>
      </w:r>
      <w:r>
        <w:t xml:space="preserve"> The infinitive</w:t>
      </w:r>
      <w:r w:rsidRPr="002C251C">
        <w:t xml:space="preserve"> precedes the finite verb for emphasis: </w:t>
      </w:r>
      <w:r>
        <w:t>l</w:t>
      </w:r>
      <w:r w:rsidRPr="002C251C">
        <w:t>iterally, “with knowing you may know.”</w:t>
      </w:r>
    </w:p>
  </w:footnote>
  <w:footnote w:id="196">
    <w:p w14:paraId="46C9F803" w14:textId="77777777" w:rsidR="000438B1" w:rsidRDefault="000438B1">
      <w:pPr>
        <w:pStyle w:val="FootnoteText"/>
      </w:pPr>
      <w:r>
        <w:rPr>
          <w:rStyle w:val="FootnoteReference"/>
        </w:rPr>
        <w:footnoteRef/>
      </w:r>
      <w:r>
        <w:t xml:space="preserve"> MT puts the mid-verse marker at this point, indicating plausibly that the 400 years covers the whole stay not just the time of humbling. </w:t>
      </w:r>
    </w:p>
  </w:footnote>
  <w:footnote w:id="197">
    <w:p w14:paraId="4D3C6FCB" w14:textId="69F2982F" w:rsidR="000438B1" w:rsidRPr="0048124F" w:rsidRDefault="000438B1" w:rsidP="00A171CE">
      <w:pPr>
        <w:pStyle w:val="FootnoteText"/>
      </w:pPr>
      <w:r>
        <w:rPr>
          <w:rStyle w:val="FootnoteReference"/>
        </w:rPr>
        <w:footnoteRef/>
      </w:r>
      <w:r>
        <w:t xml:space="preserve"> </w:t>
      </w:r>
      <w:r w:rsidRPr="00AA1A22">
        <w:t xml:space="preserve">The declarative/performative </w:t>
      </w:r>
      <w:r>
        <w:t xml:space="preserve">qatal suggests a speech act, “I hereby give”; contrast the yiqtol in 12:7 (Seebass, </w:t>
      </w:r>
      <w:r w:rsidRPr="00CD3E96">
        <w:rPr>
          <w:i/>
        </w:rPr>
        <w:t>Genesis</w:t>
      </w:r>
      <w:r>
        <w:t xml:space="preserve"> 2/1:77).</w:t>
      </w:r>
    </w:p>
  </w:footnote>
  <w:footnote w:id="198">
    <w:p w14:paraId="22999D62" w14:textId="77777777" w:rsidR="000438B1" w:rsidRPr="00081B43" w:rsidRDefault="000438B1">
      <w:pPr>
        <w:pStyle w:val="FootnoteText"/>
      </w:pPr>
      <w:r>
        <w:rPr>
          <w:rStyle w:val="FootnoteReference"/>
        </w:rPr>
        <w:footnoteRef/>
      </w:r>
      <w:r>
        <w:t xml:space="preserve"> For MT</w:t>
      </w:r>
      <w:r>
        <w:rPr>
          <w:i/>
        </w:rPr>
        <w:t xml:space="preserve"> nahar</w:t>
      </w:r>
      <w:r>
        <w:t xml:space="preserve"> TgOnq has the more usual </w:t>
      </w:r>
      <w:r>
        <w:rPr>
          <w:i/>
        </w:rPr>
        <w:t>naḥal</w:t>
      </w:r>
      <w:r>
        <w:t xml:space="preserve"> “wadi.”</w:t>
      </w:r>
    </w:p>
  </w:footnote>
  <w:footnote w:id="199">
    <w:p w14:paraId="7A377BE2" w14:textId="77777777" w:rsidR="000438B1" w:rsidRDefault="000438B1">
      <w:pPr>
        <w:pStyle w:val="FootnoteText"/>
      </w:pPr>
      <w:r>
        <w:rPr>
          <w:rStyle w:val="FootnoteReference"/>
        </w:rPr>
        <w:footnoteRef/>
      </w:r>
      <w:r>
        <w:t xml:space="preserve"> SP, LXX add the Hivvite (cf. 10:17)—whom one would indeed expect in the list (e.g., Exod 3:8, 17; 13:5).</w:t>
      </w:r>
    </w:p>
  </w:footnote>
  <w:footnote w:id="200">
    <w:p w14:paraId="3D9891A6" w14:textId="77777777" w:rsidR="000438B1" w:rsidRPr="00D130C4" w:rsidRDefault="000438B1">
      <w:pPr>
        <w:pStyle w:val="FootnoteText"/>
      </w:pPr>
      <w:r>
        <w:rPr>
          <w:rStyle w:val="FootnoteReference"/>
        </w:rPr>
        <w:footnoteRef/>
      </w:r>
      <w:r>
        <w:t xml:space="preserve"> Cf. Sarna, </w:t>
      </w:r>
      <w:r>
        <w:rPr>
          <w:i/>
        </w:rPr>
        <w:t>Genesis</w:t>
      </w:r>
      <w:r>
        <w:t xml:space="preserve">, </w:t>
      </w:r>
      <w:proofErr w:type="gramStart"/>
      <w:r>
        <w:t>111</w:t>
      </w:r>
      <w:proofErr w:type="gramEnd"/>
      <w:r>
        <w:t>-12.</w:t>
      </w:r>
    </w:p>
  </w:footnote>
  <w:footnote w:id="201">
    <w:p w14:paraId="21187396" w14:textId="77777777" w:rsidR="000438B1" w:rsidRPr="008828FB" w:rsidRDefault="000438B1">
      <w:pPr>
        <w:pStyle w:val="FootnoteText"/>
      </w:pPr>
      <w:r>
        <w:rPr>
          <w:rStyle w:val="FootnoteReference"/>
        </w:rPr>
        <w:footnoteRef/>
      </w:r>
      <w:r>
        <w:t xml:space="preserve"> Coats, </w:t>
      </w:r>
      <w:r>
        <w:rPr>
          <w:i/>
        </w:rPr>
        <w:t>Genesis</w:t>
      </w:r>
      <w:r>
        <w:t>, 125.</w:t>
      </w:r>
    </w:p>
  </w:footnote>
  <w:footnote w:id="202">
    <w:p w14:paraId="4216F2A5" w14:textId="77777777" w:rsidR="000438B1" w:rsidRPr="00341B2B" w:rsidRDefault="000438B1">
      <w:pPr>
        <w:pStyle w:val="FootnoteText"/>
      </w:pPr>
      <w:r>
        <w:rPr>
          <w:rStyle w:val="FootnoteReference"/>
        </w:rPr>
        <w:footnoteRef/>
      </w:r>
      <w:r>
        <w:t xml:space="preserve"> Gunkel, </w:t>
      </w:r>
      <w:r>
        <w:rPr>
          <w:i/>
        </w:rPr>
        <w:t>Genesis</w:t>
      </w:r>
      <w:r>
        <w:t xml:space="preserve">, 176, 182. </w:t>
      </w:r>
      <w:r w:rsidRPr="001F08BA">
        <w:t>J. Ha (</w:t>
      </w:r>
      <w:r w:rsidRPr="001F08BA">
        <w:rPr>
          <w:i/>
        </w:rPr>
        <w:t>Genesis 15</w:t>
      </w:r>
      <w:r w:rsidRPr="001F08BA">
        <w:t xml:space="preserve"> [Berlin: de Gruyter, 1989], 30-33) surveys </w:t>
      </w:r>
      <w:r>
        <w:t xml:space="preserve">consequent </w:t>
      </w:r>
      <w:r w:rsidRPr="001F08BA">
        <w:t xml:space="preserve">source-critical and redactional approaches to the chapter, though his major thesis is that Gen 15 is a kind of “theological compendium” to the Pentateuchal history as a whole. R. Fidler (“Genesis xv,” </w:t>
      </w:r>
      <w:r w:rsidRPr="001F08BA">
        <w:rPr>
          <w:i/>
        </w:rPr>
        <w:t>VT</w:t>
      </w:r>
      <w:r w:rsidRPr="001F08BA">
        <w:t xml:space="preserve"> 57 [2007]: 162-80) suggests that vv. 7-18 backtracks on vv. 1-6.</w:t>
      </w:r>
    </w:p>
  </w:footnote>
  <w:footnote w:id="203">
    <w:p w14:paraId="056783C7" w14:textId="77777777" w:rsidR="000438B1" w:rsidRPr="007A3E44" w:rsidRDefault="000438B1">
      <w:pPr>
        <w:pStyle w:val="FootnoteText"/>
      </w:pPr>
      <w:r>
        <w:rPr>
          <w:rStyle w:val="FootnoteReference"/>
        </w:rPr>
        <w:footnoteRef/>
      </w:r>
      <w:r>
        <w:t xml:space="preserve"> See Brichto, </w:t>
      </w:r>
      <w:r>
        <w:rPr>
          <w:i/>
        </w:rPr>
        <w:t>The Names of God</w:t>
      </w:r>
      <w:r>
        <w:t>, 203-12.</w:t>
      </w:r>
      <w:r>
        <w:rPr>
          <w:i/>
        </w:rPr>
        <w:t xml:space="preserve"> </w:t>
      </w:r>
    </w:p>
  </w:footnote>
  <w:footnote w:id="204">
    <w:p w14:paraId="6F3728FB" w14:textId="77777777" w:rsidR="000438B1" w:rsidRDefault="000438B1">
      <w:pPr>
        <w:pStyle w:val="FootnoteText"/>
      </w:pPr>
      <w:r>
        <w:rPr>
          <w:rStyle w:val="FootnoteReference"/>
        </w:rPr>
        <w:footnoteRef/>
      </w:r>
      <w:r>
        <w:t xml:space="preserve"> Cf. TgNeoph’s observation that this is “a word of prophecy.” In source-critical terms, it is thus one of the indications that this story comes in part from the Elohistic material about Abraham.</w:t>
      </w:r>
    </w:p>
  </w:footnote>
  <w:footnote w:id="205">
    <w:p w14:paraId="322C0E29" w14:textId="77777777" w:rsidR="000438B1" w:rsidRDefault="000438B1">
      <w:pPr>
        <w:pStyle w:val="FootnoteText"/>
      </w:pPr>
      <w:r>
        <w:rPr>
          <w:rStyle w:val="FootnoteReference"/>
        </w:rPr>
        <w:footnoteRef/>
      </w:r>
      <w:r>
        <w:t xml:space="preserve"> Fretheim, “Genesis,” 444.</w:t>
      </w:r>
    </w:p>
  </w:footnote>
  <w:footnote w:id="206">
    <w:p w14:paraId="1CB3A45F" w14:textId="77777777" w:rsidR="000438B1" w:rsidRPr="009120A1" w:rsidRDefault="000438B1">
      <w:pPr>
        <w:pStyle w:val="FootnoteText"/>
      </w:pPr>
      <w:r>
        <w:rPr>
          <w:rStyle w:val="FootnoteReference"/>
        </w:rPr>
        <w:footnoteRef/>
      </w:r>
      <w:r>
        <w:t xml:space="preserve"> Zimmerli, </w:t>
      </w:r>
      <w:r>
        <w:rPr>
          <w:i/>
        </w:rPr>
        <w:t>1. Mose 12—25</w:t>
      </w:r>
      <w:r>
        <w:t>, 50.</w:t>
      </w:r>
    </w:p>
  </w:footnote>
  <w:footnote w:id="207">
    <w:p w14:paraId="32B59991" w14:textId="77777777" w:rsidR="000438B1" w:rsidRPr="00212A61" w:rsidRDefault="000438B1">
      <w:pPr>
        <w:pStyle w:val="FootnoteText"/>
      </w:pPr>
      <w:r>
        <w:rPr>
          <w:rStyle w:val="FootnoteReference"/>
        </w:rPr>
        <w:footnoteRef/>
      </w:r>
      <w:r>
        <w:t xml:space="preserve"> Cf. Fretheim, </w:t>
      </w:r>
      <w:r>
        <w:rPr>
          <w:i/>
        </w:rPr>
        <w:t>Abraham</w:t>
      </w:r>
      <w:r>
        <w:t>, 35.</w:t>
      </w:r>
    </w:p>
  </w:footnote>
  <w:footnote w:id="208">
    <w:p w14:paraId="22C51808" w14:textId="77777777" w:rsidR="000438B1" w:rsidRPr="00A3453B" w:rsidRDefault="000438B1" w:rsidP="0063741A">
      <w:pPr>
        <w:pStyle w:val="FootnoteText"/>
      </w:pPr>
      <w:r>
        <w:rPr>
          <w:rStyle w:val="FootnoteReference"/>
        </w:rPr>
        <w:footnoteRef/>
      </w:r>
      <w:r>
        <w:t xml:space="preserve"> Gunkel, </w:t>
      </w:r>
      <w:r>
        <w:rPr>
          <w:i/>
        </w:rPr>
        <w:t>Genesis</w:t>
      </w:r>
      <w:r>
        <w:t xml:space="preserve">, 180; cf. Luther, </w:t>
      </w:r>
      <w:r>
        <w:rPr>
          <w:i/>
        </w:rPr>
        <w:t>Genesis 15—20</w:t>
      </w:r>
      <w:r>
        <w:t>, 29-30.</w:t>
      </w:r>
    </w:p>
  </w:footnote>
  <w:footnote w:id="209">
    <w:p w14:paraId="7E37B202" w14:textId="77777777" w:rsidR="000438B1" w:rsidRPr="002A1D98" w:rsidRDefault="000438B1" w:rsidP="0063741A">
      <w:pPr>
        <w:pStyle w:val="FootnoteText"/>
      </w:pPr>
      <w:r>
        <w:rPr>
          <w:rStyle w:val="FootnoteReference"/>
        </w:rPr>
        <w:footnoteRef/>
      </w:r>
      <w:r>
        <w:t xml:space="preserve"> Calvin, </w:t>
      </w:r>
      <w:r>
        <w:rPr>
          <w:i/>
        </w:rPr>
        <w:t>Genesis</w:t>
      </w:r>
      <w:r>
        <w:t xml:space="preserve"> 1:413.</w:t>
      </w:r>
    </w:p>
  </w:footnote>
  <w:footnote w:id="210">
    <w:p w14:paraId="709CA12C" w14:textId="77777777" w:rsidR="000438B1" w:rsidRPr="00A1744E" w:rsidRDefault="000438B1">
      <w:pPr>
        <w:pStyle w:val="FootnoteText"/>
      </w:pPr>
      <w:r>
        <w:rPr>
          <w:rStyle w:val="FootnoteReference"/>
        </w:rPr>
        <w:footnoteRef/>
      </w:r>
      <w:r>
        <w:t xml:space="preserve"> Cf. </w:t>
      </w:r>
      <w:r w:rsidRPr="00A1744E">
        <w:t xml:space="preserve">Heard, </w:t>
      </w:r>
      <w:r w:rsidRPr="00A1744E">
        <w:rPr>
          <w:i/>
        </w:rPr>
        <w:t>Dynamics of Diselection</w:t>
      </w:r>
      <w:r>
        <w:t>, 26-27.</w:t>
      </w:r>
    </w:p>
  </w:footnote>
  <w:footnote w:id="211">
    <w:p w14:paraId="43DFF8A4" w14:textId="77777777" w:rsidR="000438B1" w:rsidRPr="001412BD" w:rsidRDefault="000438B1">
      <w:pPr>
        <w:pStyle w:val="FootnoteText"/>
      </w:pPr>
      <w:r>
        <w:rPr>
          <w:rStyle w:val="FootnoteReference"/>
        </w:rPr>
        <w:footnoteRef/>
      </w:r>
      <w:r>
        <w:t xml:space="preserve"> Westermann, </w:t>
      </w:r>
      <w:r>
        <w:rPr>
          <w:i/>
        </w:rPr>
        <w:t>Genesis 12—36</w:t>
      </w:r>
      <w:r>
        <w:t>, 221.</w:t>
      </w:r>
    </w:p>
  </w:footnote>
  <w:footnote w:id="212">
    <w:p w14:paraId="02527589" w14:textId="77777777" w:rsidR="000438B1" w:rsidRDefault="000438B1">
      <w:pPr>
        <w:pStyle w:val="FootnoteText"/>
      </w:pPr>
      <w:r>
        <w:rPr>
          <w:rStyle w:val="FootnoteReference"/>
        </w:rPr>
        <w:footnoteRef/>
      </w:r>
      <w:r>
        <w:t xml:space="preserve"> Cf. T. Römer, “Abraham’s Righteousness and Sacrifice,” </w:t>
      </w:r>
      <w:r w:rsidRPr="004F3144">
        <w:rPr>
          <w:i/>
        </w:rPr>
        <w:t>Communio Viatorum</w:t>
      </w:r>
      <w:r>
        <w:t xml:space="preserve"> 54 (2012): 3-15 (12).</w:t>
      </w:r>
    </w:p>
  </w:footnote>
  <w:footnote w:id="213">
    <w:p w14:paraId="5DDB12C3" w14:textId="77777777" w:rsidR="000438B1" w:rsidRDefault="000438B1" w:rsidP="0017337E">
      <w:pPr>
        <w:pStyle w:val="FootnoteText"/>
      </w:pPr>
      <w:r>
        <w:rPr>
          <w:rStyle w:val="FootnoteReference"/>
          <w:rFonts w:eastAsiaTheme="majorEastAsia"/>
        </w:rPr>
        <w:footnoteRef/>
      </w:r>
      <w:r>
        <w:t xml:space="preserve"> Jean Vanier, </w:t>
      </w:r>
      <w:r>
        <w:rPr>
          <w:i/>
        </w:rPr>
        <w:t>Man and Woman He Made Them</w:t>
      </w:r>
      <w:r>
        <w:t xml:space="preserve"> (London: DLT, 1985), p. 141.</w:t>
      </w:r>
    </w:p>
  </w:footnote>
  <w:footnote w:id="214">
    <w:p w14:paraId="3073C6F6" w14:textId="41BBA982" w:rsidR="000438B1" w:rsidRDefault="000438B1">
      <w:pPr>
        <w:pStyle w:val="FootnoteText"/>
      </w:pPr>
      <w:r>
        <w:rPr>
          <w:rStyle w:val="FootnoteReference"/>
        </w:rPr>
        <w:footnoteRef/>
      </w:r>
      <w:r>
        <w:t xml:space="preserve"> So S. B. Noegel, “A Crux and a Taunt,” in </w:t>
      </w:r>
      <w:r w:rsidRPr="00DB6A42">
        <w:t xml:space="preserve">Davies/Clines (eds.), </w:t>
      </w:r>
      <w:r w:rsidRPr="00DB6A42">
        <w:rPr>
          <w:i/>
        </w:rPr>
        <w:t>World of Genesis</w:t>
      </w:r>
      <w:r w:rsidRPr="00DB6A42">
        <w:t>,</w:t>
      </w:r>
      <w:r>
        <w:t xml:space="preserve"> 128-35.</w:t>
      </w:r>
    </w:p>
  </w:footnote>
  <w:footnote w:id="215">
    <w:p w14:paraId="303110F7" w14:textId="77777777" w:rsidR="000438B1" w:rsidRPr="00FB147E" w:rsidRDefault="000438B1" w:rsidP="00D77580">
      <w:pPr>
        <w:pStyle w:val="FootnoteText"/>
      </w:pPr>
      <w:r>
        <w:rPr>
          <w:rStyle w:val="FootnoteReference"/>
        </w:rPr>
        <w:footnoteRef/>
      </w:r>
      <w:r>
        <w:t xml:space="preserve"> Luther, </w:t>
      </w:r>
      <w:r>
        <w:rPr>
          <w:i/>
        </w:rPr>
        <w:t>Genesis 21—25</w:t>
      </w:r>
      <w:r>
        <w:t>, 16.</w:t>
      </w:r>
    </w:p>
  </w:footnote>
  <w:footnote w:id="216">
    <w:p w14:paraId="2F60567F" w14:textId="22E7DC8A" w:rsidR="000438B1" w:rsidRDefault="000438B1">
      <w:pPr>
        <w:pStyle w:val="FootnoteText"/>
      </w:pPr>
      <w:r>
        <w:rPr>
          <w:rStyle w:val="FootnoteReference"/>
        </w:rPr>
        <w:footnoteRef/>
      </w:r>
      <w:r>
        <w:t xml:space="preserve"> See further the translation note.</w:t>
      </w:r>
    </w:p>
  </w:footnote>
  <w:footnote w:id="217">
    <w:p w14:paraId="64A49C11" w14:textId="77777777" w:rsidR="000438B1" w:rsidRDefault="000438B1">
      <w:pPr>
        <w:pStyle w:val="FootnoteText"/>
      </w:pPr>
      <w:r>
        <w:rPr>
          <w:rStyle w:val="FootnoteReference"/>
        </w:rPr>
        <w:footnoteRef/>
      </w:r>
      <w:r>
        <w:t xml:space="preserve"> See further D. M. Allen, “Genesis in James, I and 2 Peter and Jude,” in Moyise/Menken</w:t>
      </w:r>
      <w:r w:rsidRPr="00D25565">
        <w:t xml:space="preserve"> (</w:t>
      </w:r>
      <w:proofErr w:type="gramStart"/>
      <w:r w:rsidRPr="00D25565">
        <w:t>eds</w:t>
      </w:r>
      <w:proofErr w:type="gramEnd"/>
      <w:r w:rsidRPr="00D25565">
        <w:t xml:space="preserve">.). </w:t>
      </w:r>
      <w:r>
        <w:rPr>
          <w:i/>
        </w:rPr>
        <w:t>Genesis in the NT</w:t>
      </w:r>
      <w:r>
        <w:t>, 147-65 (148-53).</w:t>
      </w:r>
    </w:p>
  </w:footnote>
  <w:footnote w:id="218">
    <w:p w14:paraId="1A041AB6" w14:textId="1C5B8C25" w:rsidR="000438B1" w:rsidRPr="0081385D" w:rsidRDefault="000438B1" w:rsidP="00983E16">
      <w:pPr>
        <w:pStyle w:val="FootnoteText"/>
      </w:pPr>
      <w:r>
        <w:rPr>
          <w:rStyle w:val="FootnoteReference"/>
        </w:rPr>
        <w:footnoteRef/>
      </w:r>
      <w:r>
        <w:t xml:space="preserve"> Cf. Keil/</w:t>
      </w:r>
      <w:r w:rsidRPr="0081385D">
        <w:t xml:space="preserve">Delitzsch, </w:t>
      </w:r>
      <w:r w:rsidRPr="0081385D">
        <w:rPr>
          <w:i/>
        </w:rPr>
        <w:t>Pentateuch</w:t>
      </w:r>
      <w:r>
        <w:t>, 213-14.</w:t>
      </w:r>
    </w:p>
  </w:footnote>
  <w:footnote w:id="219">
    <w:p w14:paraId="2A816620" w14:textId="77777777" w:rsidR="000438B1" w:rsidRPr="00F47C01" w:rsidRDefault="000438B1" w:rsidP="008B4E12">
      <w:pPr>
        <w:pStyle w:val="FootnoteText"/>
      </w:pPr>
      <w:r>
        <w:rPr>
          <w:rStyle w:val="FootnoteReference"/>
        </w:rPr>
        <w:footnoteRef/>
      </w:r>
      <w:r>
        <w:t xml:space="preserve"> Driver, </w:t>
      </w:r>
      <w:r>
        <w:rPr>
          <w:i/>
        </w:rPr>
        <w:t>Genesis</w:t>
      </w:r>
      <w:r>
        <w:t>, 177.</w:t>
      </w:r>
    </w:p>
  </w:footnote>
  <w:footnote w:id="220">
    <w:p w14:paraId="4137A155" w14:textId="77777777" w:rsidR="000438B1" w:rsidRPr="00CD208D" w:rsidRDefault="000438B1">
      <w:pPr>
        <w:pStyle w:val="FootnoteText"/>
      </w:pPr>
      <w:r>
        <w:rPr>
          <w:rStyle w:val="FootnoteReference"/>
        </w:rPr>
        <w:footnoteRef/>
      </w:r>
      <w:r>
        <w:t xml:space="preserve"> Von Rad, </w:t>
      </w:r>
      <w:r>
        <w:rPr>
          <w:i/>
        </w:rPr>
        <w:t>Genesis</w:t>
      </w:r>
      <w:r>
        <w:t>, 182.</w:t>
      </w:r>
    </w:p>
  </w:footnote>
  <w:footnote w:id="221">
    <w:p w14:paraId="0E350D34" w14:textId="77777777" w:rsidR="000438B1" w:rsidRDefault="000438B1">
      <w:pPr>
        <w:pStyle w:val="FootnoteText"/>
      </w:pPr>
      <w:r>
        <w:rPr>
          <w:rStyle w:val="FootnoteReference"/>
        </w:rPr>
        <w:footnoteRef/>
      </w:r>
      <w:r>
        <w:t xml:space="preserve"> </w:t>
      </w:r>
      <w:r w:rsidRPr="002760D4">
        <w:t xml:space="preserve">Von Rad, </w:t>
      </w:r>
      <w:r w:rsidRPr="002760D4">
        <w:rPr>
          <w:i/>
        </w:rPr>
        <w:t>Genesis</w:t>
      </w:r>
      <w:r w:rsidRPr="002760D4">
        <w:t>, 182</w:t>
      </w:r>
      <w:r>
        <w:t>.</w:t>
      </w:r>
    </w:p>
  </w:footnote>
  <w:footnote w:id="222">
    <w:p w14:paraId="244836C5" w14:textId="77777777" w:rsidR="000438B1" w:rsidRDefault="000438B1" w:rsidP="00096333">
      <w:pPr>
        <w:pStyle w:val="FootnoteText"/>
      </w:pPr>
      <w:r>
        <w:rPr>
          <w:rStyle w:val="FootnoteReference"/>
        </w:rPr>
        <w:footnoteRef/>
      </w:r>
      <w:r>
        <w:t xml:space="preserve"> So e.g., Ibn Ezra, </w:t>
      </w:r>
      <w:r w:rsidRPr="00983E16">
        <w:rPr>
          <w:i/>
        </w:rPr>
        <w:t>Genesis</w:t>
      </w:r>
      <w:r w:rsidRPr="00983E16">
        <w:t xml:space="preserve">, </w:t>
      </w:r>
      <w:r>
        <w:t>175.</w:t>
      </w:r>
    </w:p>
  </w:footnote>
  <w:footnote w:id="223">
    <w:p w14:paraId="01BE33C9" w14:textId="79E93E96" w:rsidR="000438B1" w:rsidRDefault="000438B1" w:rsidP="006632DF">
      <w:pPr>
        <w:pStyle w:val="FootnoteText"/>
      </w:pPr>
      <w:r>
        <w:rPr>
          <w:rStyle w:val="FootnoteReference"/>
        </w:rPr>
        <w:footnoteRef/>
      </w:r>
      <w:r>
        <w:t xml:space="preserve"> On “waywardness,” see also on 4:13.</w:t>
      </w:r>
    </w:p>
  </w:footnote>
  <w:footnote w:id="224">
    <w:p w14:paraId="0169E3DC" w14:textId="77777777" w:rsidR="000438B1" w:rsidRPr="005C57C9" w:rsidRDefault="000438B1">
      <w:pPr>
        <w:pStyle w:val="FootnoteText"/>
      </w:pPr>
      <w:r>
        <w:rPr>
          <w:rStyle w:val="FootnoteReference"/>
        </w:rPr>
        <w:footnoteRef/>
      </w:r>
      <w:r>
        <w:t xml:space="preserve"> See e.g., Hamilton, </w:t>
      </w:r>
      <w:r>
        <w:rPr>
          <w:i/>
        </w:rPr>
        <w:t>Genesis 1—17</w:t>
      </w:r>
      <w:r>
        <w:t>, 430-32.</w:t>
      </w:r>
    </w:p>
  </w:footnote>
  <w:footnote w:id="225">
    <w:p w14:paraId="56571C8D" w14:textId="77777777" w:rsidR="000438B1" w:rsidRPr="00AC608B" w:rsidRDefault="000438B1">
      <w:pPr>
        <w:pStyle w:val="FootnoteText"/>
      </w:pPr>
      <w:r>
        <w:rPr>
          <w:rStyle w:val="FootnoteReference"/>
        </w:rPr>
        <w:footnoteRef/>
      </w:r>
      <w:r>
        <w:t xml:space="preserve"> See </w:t>
      </w:r>
      <w:r>
        <w:rPr>
          <w:i/>
        </w:rPr>
        <w:t>ANET</w:t>
      </w:r>
      <w:r>
        <w:t xml:space="preserve">, 660. Another treaty imposed on the king of Arpad is more specifically gruesome (see </w:t>
      </w:r>
      <w:r>
        <w:rPr>
          <w:i/>
        </w:rPr>
        <w:t>ANET</w:t>
      </w:r>
      <w:r>
        <w:t>, 532-33).</w:t>
      </w:r>
    </w:p>
  </w:footnote>
  <w:footnote w:id="226">
    <w:p w14:paraId="66EF3ED0" w14:textId="77777777" w:rsidR="000438B1" w:rsidRPr="00122FC5" w:rsidRDefault="000438B1" w:rsidP="001A58D6">
      <w:pPr>
        <w:pStyle w:val="FootnoteText"/>
      </w:pPr>
      <w:r>
        <w:rPr>
          <w:rStyle w:val="FootnoteReference"/>
        </w:rPr>
        <w:footnoteRef/>
      </w:r>
      <w:r>
        <w:t xml:space="preserve"> Alter, </w:t>
      </w:r>
      <w:r>
        <w:rPr>
          <w:i/>
        </w:rPr>
        <w:t>Genesis</w:t>
      </w:r>
      <w:r>
        <w:t>, 66.</w:t>
      </w:r>
    </w:p>
  </w:footnote>
  <w:footnote w:id="227">
    <w:p w14:paraId="0349A4F5" w14:textId="77777777" w:rsidR="000438B1" w:rsidRPr="005946B3" w:rsidRDefault="000438B1">
      <w:pPr>
        <w:pStyle w:val="FootnoteText"/>
      </w:pPr>
      <w:r>
        <w:rPr>
          <w:rStyle w:val="FootnoteReference"/>
        </w:rPr>
        <w:footnoteRef/>
      </w:r>
      <w:r>
        <w:t xml:space="preserve"> Arnold, </w:t>
      </w:r>
      <w:r>
        <w:rPr>
          <w:i/>
        </w:rPr>
        <w:t>Genesis</w:t>
      </w:r>
      <w:r>
        <w:t>, 159.</w:t>
      </w:r>
    </w:p>
  </w:footnote>
  <w:footnote w:id="228">
    <w:p w14:paraId="3B49F3FE" w14:textId="77777777" w:rsidR="000438B1" w:rsidRPr="00561989" w:rsidRDefault="000438B1" w:rsidP="001A58D6">
      <w:pPr>
        <w:pStyle w:val="FootnoteText"/>
      </w:pPr>
      <w:r>
        <w:rPr>
          <w:rStyle w:val="FootnoteReference"/>
        </w:rPr>
        <w:footnoteRef/>
      </w:r>
      <w:r>
        <w:t xml:space="preserve"> Cf. C. Levin, “Jahwe und Abraham im Dialog,” in M. Witte (ed.), </w:t>
      </w:r>
      <w:r>
        <w:rPr>
          <w:i/>
        </w:rPr>
        <w:t>Gott und Mensch im Dialog</w:t>
      </w:r>
      <w:r>
        <w:t xml:space="preserve"> (O. Kaiser Festschrift; Berlin: de Gruyter, 2004), 237-57(257).</w:t>
      </w:r>
    </w:p>
  </w:footnote>
  <w:footnote w:id="229">
    <w:p w14:paraId="6CD47800" w14:textId="1F2383DD" w:rsidR="000438B1" w:rsidRDefault="000438B1">
      <w:pPr>
        <w:pStyle w:val="FootnoteText"/>
      </w:pPr>
      <w:r>
        <w:rPr>
          <w:rStyle w:val="FootnoteReference"/>
        </w:rPr>
        <w:footnoteRef/>
      </w:r>
      <w:r>
        <w:t xml:space="preserve"> </w:t>
      </w:r>
      <w:r>
        <w:rPr>
          <w:lang w:val="en-GB"/>
        </w:rPr>
        <w:t>On this word, see 9:8-11 and the comment.</w:t>
      </w:r>
    </w:p>
  </w:footnote>
  <w:footnote w:id="230">
    <w:p w14:paraId="1F221877" w14:textId="77777777" w:rsidR="000438B1" w:rsidRPr="00997FF4" w:rsidRDefault="000438B1">
      <w:pPr>
        <w:pStyle w:val="FootnoteText"/>
      </w:pPr>
      <w:r>
        <w:rPr>
          <w:rStyle w:val="FootnoteReference"/>
        </w:rPr>
        <w:footnoteRef/>
      </w:r>
      <w:r>
        <w:t xml:space="preserve"> Cf. Dillmann, </w:t>
      </w:r>
      <w:r>
        <w:rPr>
          <w:i/>
        </w:rPr>
        <w:t>Genesis</w:t>
      </w:r>
      <w:r>
        <w:t xml:space="preserve"> 2:66.</w:t>
      </w:r>
    </w:p>
  </w:footnote>
  <w:footnote w:id="231">
    <w:p w14:paraId="7A1158C1" w14:textId="77777777" w:rsidR="000438B1" w:rsidRPr="00DC6BFE" w:rsidRDefault="000438B1">
      <w:pPr>
        <w:pStyle w:val="FootnoteText"/>
      </w:pPr>
      <w:r>
        <w:rPr>
          <w:rStyle w:val="FootnoteReference"/>
        </w:rPr>
        <w:footnoteRef/>
      </w:r>
      <w:r>
        <w:t xml:space="preserve"> Kidner, </w:t>
      </w:r>
      <w:r>
        <w:rPr>
          <w:i/>
        </w:rPr>
        <w:t>Genesis</w:t>
      </w:r>
      <w:r>
        <w:t>, 125.</w:t>
      </w:r>
    </w:p>
  </w:footnote>
  <w:footnote w:id="232">
    <w:p w14:paraId="0686E7EA" w14:textId="77777777" w:rsidR="000438B1" w:rsidRDefault="000438B1">
      <w:pPr>
        <w:pStyle w:val="FootnoteText"/>
      </w:pPr>
      <w:r>
        <w:rPr>
          <w:rStyle w:val="FootnoteReference"/>
        </w:rPr>
        <w:footnoteRef/>
      </w:r>
      <w:r>
        <w:t xml:space="preserve"> Literally, “come to”; so also in v. 4.</w:t>
      </w:r>
    </w:p>
  </w:footnote>
  <w:footnote w:id="233">
    <w:p w14:paraId="007BC2F8" w14:textId="77777777" w:rsidR="000438B1" w:rsidRPr="00B6200F" w:rsidRDefault="000438B1">
      <w:pPr>
        <w:pStyle w:val="FootnoteText"/>
      </w:pPr>
      <w:r>
        <w:rPr>
          <w:rStyle w:val="FootnoteReference"/>
        </w:rPr>
        <w:footnoteRef/>
      </w:r>
      <w:r>
        <w:t xml:space="preserve"> </w:t>
      </w:r>
      <w:r>
        <w:rPr>
          <w:i/>
        </w:rPr>
        <w:t xml:space="preserve">’Ibbāneh </w:t>
      </w:r>
      <w:r>
        <w:t xml:space="preserve">from </w:t>
      </w:r>
      <w:r>
        <w:rPr>
          <w:i/>
        </w:rPr>
        <w:t>bānāh</w:t>
      </w:r>
      <w:r>
        <w:t xml:space="preserve">. The verb form also hints at the word for “son,” </w:t>
      </w:r>
      <w:r>
        <w:rPr>
          <w:i/>
        </w:rPr>
        <w:t>ben</w:t>
      </w:r>
      <w:r>
        <w:t>; cf. LXX’s “so that you may father a child.”</w:t>
      </w:r>
    </w:p>
  </w:footnote>
  <w:footnote w:id="234">
    <w:p w14:paraId="26F35819" w14:textId="746BBB32" w:rsidR="000438B1" w:rsidRDefault="000438B1">
      <w:pPr>
        <w:pStyle w:val="FootnoteText"/>
      </w:pPr>
      <w:r>
        <w:rPr>
          <w:rStyle w:val="FootnoteReference"/>
        </w:rPr>
        <w:footnoteRef/>
      </w:r>
      <w:r>
        <w:t xml:space="preserve"> Literally, “near the water spring” (see GK 126r).</w:t>
      </w:r>
    </w:p>
  </w:footnote>
  <w:footnote w:id="235">
    <w:p w14:paraId="60876CCE" w14:textId="77777777" w:rsidR="000438B1" w:rsidRPr="00E36E51" w:rsidRDefault="000438B1">
      <w:pPr>
        <w:pStyle w:val="FootnoteText"/>
      </w:pPr>
      <w:r>
        <w:rPr>
          <w:rStyle w:val="FootnoteReference"/>
        </w:rPr>
        <w:footnoteRef/>
      </w:r>
      <w:r>
        <w:t xml:space="preserve"> M</w:t>
      </w:r>
      <w:r w:rsidRPr="00E36E51">
        <w:t>ost SP mss have</w:t>
      </w:r>
      <w:r>
        <w:t xml:space="preserve"> </w:t>
      </w:r>
      <w:r>
        <w:rPr>
          <w:i/>
        </w:rPr>
        <w:t>’wy</w:t>
      </w:r>
      <w:r w:rsidRPr="00E36E51">
        <w:t xml:space="preserve"> </w:t>
      </w:r>
      <w:r>
        <w:t>“</w:t>
      </w:r>
      <w:r w:rsidRPr="00E36E51">
        <w:t>Oh</w:t>
      </w:r>
      <w:r>
        <w:t xml:space="preserve"> [where]”</w:t>
      </w:r>
      <w:r w:rsidRPr="00E36E51">
        <w:t xml:space="preserve"> instead of </w:t>
      </w:r>
      <w:r>
        <w:t xml:space="preserve">the interrogative </w:t>
      </w:r>
      <w:r>
        <w:rPr>
          <w:i/>
        </w:rPr>
        <w:t>‘y</w:t>
      </w:r>
      <w:r>
        <w:t xml:space="preserve">, which </w:t>
      </w:r>
      <w:r w:rsidRPr="00E36E51">
        <w:t>ma</w:t>
      </w:r>
      <w:r>
        <w:t xml:space="preserve">kes the envoy more compassionate (Tal, </w:t>
      </w:r>
      <w:r>
        <w:rPr>
          <w:i/>
        </w:rPr>
        <w:t>Genesis</w:t>
      </w:r>
      <w:r>
        <w:t>, 118*).</w:t>
      </w:r>
    </w:p>
  </w:footnote>
  <w:footnote w:id="236">
    <w:p w14:paraId="4666093E" w14:textId="77777777" w:rsidR="000438B1" w:rsidRDefault="000438B1">
      <w:pPr>
        <w:pStyle w:val="FootnoteText"/>
      </w:pPr>
      <w:r>
        <w:rPr>
          <w:rStyle w:val="FootnoteReference"/>
        </w:rPr>
        <w:footnoteRef/>
      </w:r>
      <w:r>
        <w:t xml:space="preserve"> TgOnq has “let yourself be made to serve,” which is less scandalous.</w:t>
      </w:r>
    </w:p>
  </w:footnote>
  <w:footnote w:id="237">
    <w:p w14:paraId="537D6EFB" w14:textId="630B6FCF" w:rsidR="000438B1" w:rsidRDefault="000438B1">
      <w:pPr>
        <w:pStyle w:val="FootnoteText"/>
      </w:pPr>
      <w:r>
        <w:rPr>
          <w:rStyle w:val="FootnoteReference"/>
        </w:rPr>
        <w:footnoteRef/>
      </w:r>
      <w:r>
        <w:t xml:space="preserve"> On the </w:t>
      </w:r>
      <w:r w:rsidRPr="00674C30">
        <w:t>participle</w:t>
      </w:r>
      <w:r>
        <w:t>’s</w:t>
      </w:r>
      <w:r w:rsidRPr="00674C30">
        <w:t xml:space="preserve"> </w:t>
      </w:r>
      <w:r>
        <w:t>form see GK 94f; but JM 89j sees it rather as a cross between participle and qatal.</w:t>
      </w:r>
    </w:p>
  </w:footnote>
  <w:footnote w:id="238">
    <w:p w14:paraId="0E177CC3" w14:textId="77777777" w:rsidR="000438B1" w:rsidRDefault="000438B1">
      <w:pPr>
        <w:pStyle w:val="FootnoteText"/>
      </w:pPr>
      <w:r>
        <w:rPr>
          <w:rStyle w:val="FootnoteReference"/>
        </w:rPr>
        <w:footnoteRef/>
      </w:r>
      <w:r>
        <w:t xml:space="preserve"> TgOnq has “accepted your prayer,” a rather different point.</w:t>
      </w:r>
    </w:p>
  </w:footnote>
  <w:footnote w:id="239">
    <w:p w14:paraId="3619F5B2" w14:textId="32428C4A" w:rsidR="000438B1" w:rsidRPr="00862D66" w:rsidRDefault="000438B1">
      <w:pPr>
        <w:pStyle w:val="FootnoteText"/>
      </w:pPr>
      <w:r>
        <w:rPr>
          <w:rStyle w:val="FootnoteReference"/>
        </w:rPr>
        <w:footnoteRef/>
      </w:r>
      <w:r>
        <w:t xml:space="preserve"> Cf. </w:t>
      </w:r>
      <w:proofErr w:type="gramStart"/>
      <w:r>
        <w:t>Tg</w:t>
      </w:r>
      <w:proofErr w:type="gramEnd"/>
      <w:r>
        <w:t xml:space="preserve">. But </w:t>
      </w:r>
      <w:r w:rsidRPr="007263C7">
        <w:t>GK 128kl</w:t>
      </w:r>
      <w:r>
        <w:t xml:space="preserve"> suggests “a wild donkey of a human being” (cf. Prov 15:20). </w:t>
      </w:r>
      <w:r>
        <w:rPr>
          <w:i/>
        </w:rPr>
        <w:t>HALOT</w:t>
      </w:r>
      <w:r>
        <w:t xml:space="preserve"> notes the suggestion that </w:t>
      </w:r>
      <w:r>
        <w:rPr>
          <w:i/>
        </w:rPr>
        <w:t>pere’</w:t>
      </w:r>
      <w:r>
        <w:t xml:space="preserve"> means “zebra.”</w:t>
      </w:r>
    </w:p>
  </w:footnote>
  <w:footnote w:id="240">
    <w:p w14:paraId="1CF371A0" w14:textId="77777777" w:rsidR="000438B1" w:rsidRDefault="000438B1">
      <w:pPr>
        <w:pStyle w:val="FootnoteText"/>
      </w:pPr>
      <w:r>
        <w:rPr>
          <w:rStyle w:val="FootnoteReference"/>
        </w:rPr>
        <w:footnoteRef/>
      </w:r>
      <w:r>
        <w:t xml:space="preserve"> </w:t>
      </w:r>
      <w:proofErr w:type="gramStart"/>
      <w:r>
        <w:t>Tg</w:t>
      </w:r>
      <w:proofErr w:type="gramEnd"/>
      <w:r>
        <w:t xml:space="preserve"> has “she called on.”</w:t>
      </w:r>
    </w:p>
  </w:footnote>
  <w:footnote w:id="241">
    <w:p w14:paraId="425AD74C" w14:textId="3B12B71E" w:rsidR="000438B1" w:rsidRPr="00153E76" w:rsidRDefault="000438B1">
      <w:pPr>
        <w:pStyle w:val="FootnoteText"/>
      </w:pPr>
      <w:r>
        <w:rPr>
          <w:rStyle w:val="FootnoteReference"/>
        </w:rPr>
        <w:footnoteRef/>
      </w:r>
      <w:r>
        <w:t xml:space="preserve"> </w:t>
      </w:r>
      <w:r w:rsidRPr="008A15D4">
        <w:rPr>
          <w:i/>
        </w:rPr>
        <w:t>Rŏ’î</w:t>
      </w:r>
      <w:r>
        <w:t xml:space="preserve">, a noun (see BDB, 909a). LXX, Vg imply </w:t>
      </w:r>
      <w:r>
        <w:rPr>
          <w:i/>
        </w:rPr>
        <w:t>rō’î</w:t>
      </w:r>
      <w:r>
        <w:t>, a participle with first-person suffix, as in v. 13b.</w:t>
      </w:r>
    </w:p>
  </w:footnote>
  <w:footnote w:id="242">
    <w:p w14:paraId="32026616" w14:textId="77777777" w:rsidR="000438B1" w:rsidRPr="00A4677B" w:rsidRDefault="000438B1">
      <w:pPr>
        <w:pStyle w:val="FootnoteText"/>
      </w:pPr>
      <w:r>
        <w:rPr>
          <w:rStyle w:val="FootnoteReference"/>
        </w:rPr>
        <w:footnoteRef/>
      </w:r>
      <w:r>
        <w:t xml:space="preserve"> Hagar’s words are elliptical, but for the use of </w:t>
      </w:r>
      <w:r w:rsidRPr="00EE19D0">
        <w:rPr>
          <w:i/>
        </w:rPr>
        <w:t>’aḥărê</w:t>
      </w:r>
      <w:r>
        <w:t xml:space="preserve"> (usually “after”) cf. 2 Kings 14:19 (T. Booij, “Hagar’s Words in Genesis xvi 13b,” </w:t>
      </w:r>
      <w:r>
        <w:rPr>
          <w:i/>
        </w:rPr>
        <w:t>VT</w:t>
      </w:r>
      <w:r>
        <w:t xml:space="preserve"> 30 [1980]: 1-7; see further K. Koenen, “Wer sieht wen?” </w:t>
      </w:r>
      <w:r>
        <w:rPr>
          <w:i/>
        </w:rPr>
        <w:t>VT</w:t>
      </w:r>
      <w:r>
        <w:t xml:space="preserve"> 38 [1988]: 468-74). Vg implies </w:t>
      </w:r>
      <w:r>
        <w:rPr>
          <w:i/>
        </w:rPr>
        <w:t>’ăḥōrê</w:t>
      </w:r>
      <w:r>
        <w:t xml:space="preserve"> “[seen] the back of” (cf. Exod 33:23).</w:t>
      </w:r>
    </w:p>
  </w:footnote>
  <w:footnote w:id="243">
    <w:p w14:paraId="21132DEA" w14:textId="77777777" w:rsidR="000438B1" w:rsidRDefault="000438B1" w:rsidP="00BF294E">
      <w:pPr>
        <w:pStyle w:val="FootnoteText"/>
        <w:tabs>
          <w:tab w:val="left" w:pos="2880"/>
        </w:tabs>
      </w:pPr>
      <w:r>
        <w:rPr>
          <w:rStyle w:val="FootnoteReference"/>
        </w:rPr>
        <w:footnoteRef/>
      </w:r>
      <w:r>
        <w:t xml:space="preserve"> While </w:t>
      </w:r>
      <w:r w:rsidRPr="0061349F">
        <w:rPr>
          <w:i/>
        </w:rPr>
        <w:t>rō’î</w:t>
      </w:r>
      <w:r>
        <w:t xml:space="preserve"> could be the pausal form of the noun </w:t>
      </w:r>
      <w:r>
        <w:rPr>
          <w:i/>
        </w:rPr>
        <w:t>r</w:t>
      </w:r>
      <w:r w:rsidRPr="0061349F">
        <w:rPr>
          <w:i/>
        </w:rPr>
        <w:t>ŏ’î</w:t>
      </w:r>
      <w:r>
        <w:t xml:space="preserve"> which came earlier in the verse, it makes better sense taken as </w:t>
      </w:r>
      <w:r w:rsidRPr="0061349F">
        <w:t>participle with first-person suffix</w:t>
      </w:r>
      <w:r>
        <w:t xml:space="preserve"> (cf. BDB, 909a; see also Tal, </w:t>
      </w:r>
      <w:r w:rsidRPr="000B2009">
        <w:rPr>
          <w:i/>
        </w:rPr>
        <w:t>Genesis</w:t>
      </w:r>
      <w:r>
        <w:t xml:space="preserve">, 119*). </w:t>
      </w:r>
    </w:p>
  </w:footnote>
  <w:footnote w:id="244">
    <w:p w14:paraId="77D52E44" w14:textId="085DF43B" w:rsidR="000438B1" w:rsidRPr="008708AA" w:rsidRDefault="000438B1" w:rsidP="00E8271C">
      <w:pPr>
        <w:pStyle w:val="FootnoteText"/>
      </w:pPr>
      <w:r>
        <w:rPr>
          <w:rStyle w:val="FootnoteReference"/>
        </w:rPr>
        <w:footnoteRef/>
      </w:r>
      <w:r>
        <w:t xml:space="preserve"> “T</w:t>
      </w:r>
      <w:r w:rsidRPr="00E8271C">
        <w:t xml:space="preserve">he well of the living </w:t>
      </w:r>
      <w:r>
        <w:t>one, the one looking at me.” I take the</w:t>
      </w:r>
      <w:r w:rsidRPr="00E8271C">
        <w:t xml:space="preserve"> name as a noun clause, like names such as Melchizede</w:t>
      </w:r>
      <w:r>
        <w:t xml:space="preserve">k: it </w:t>
      </w:r>
      <w:r w:rsidRPr="00E8271C">
        <w:t>then mean</w:t>
      </w:r>
      <w:r>
        <w:t>s,</w:t>
      </w:r>
      <w:r w:rsidRPr="00E8271C">
        <w:t xml:space="preserve"> </w:t>
      </w:r>
      <w:r>
        <w:t>“The living one looks at me” or “The one who looks at</w:t>
      </w:r>
      <w:r w:rsidRPr="00E8271C">
        <w:t xml:space="preserve"> me lives.</w:t>
      </w:r>
      <w:r>
        <w:t xml:space="preserve">” Cf. Skinner, </w:t>
      </w:r>
      <w:r>
        <w:rPr>
          <w:i/>
        </w:rPr>
        <w:t>Genesis</w:t>
      </w:r>
      <w:r>
        <w:t>, 288.</w:t>
      </w:r>
    </w:p>
  </w:footnote>
  <w:footnote w:id="245">
    <w:p w14:paraId="485CD2C0" w14:textId="393DEFC2" w:rsidR="000438B1" w:rsidRPr="00BB25CD" w:rsidRDefault="000438B1" w:rsidP="00DE693F">
      <w:pPr>
        <w:pStyle w:val="FootnoteText"/>
      </w:pPr>
      <w:r>
        <w:rPr>
          <w:rStyle w:val="FootnoteReference"/>
        </w:rPr>
        <w:footnoteRef/>
      </w:r>
      <w:r>
        <w:t xml:space="preserve"> Cf. Dillmann, </w:t>
      </w:r>
      <w:r>
        <w:rPr>
          <w:i/>
        </w:rPr>
        <w:t xml:space="preserve">Genesis </w:t>
      </w:r>
      <w:r>
        <w:t>2:68.</w:t>
      </w:r>
    </w:p>
  </w:footnote>
  <w:footnote w:id="246">
    <w:p w14:paraId="2C0DE6E5" w14:textId="77777777" w:rsidR="000438B1" w:rsidRPr="00D55F32" w:rsidRDefault="000438B1" w:rsidP="00D0477B">
      <w:pPr>
        <w:pStyle w:val="FootnoteText"/>
      </w:pPr>
      <w:r>
        <w:rPr>
          <w:rStyle w:val="FootnoteReference"/>
        </w:rPr>
        <w:footnoteRef/>
      </w:r>
      <w:r>
        <w:t xml:space="preserve"> Reno, </w:t>
      </w:r>
      <w:r>
        <w:rPr>
          <w:i/>
        </w:rPr>
        <w:t>Genesis</w:t>
      </w:r>
      <w:r>
        <w:t>, 163.</w:t>
      </w:r>
    </w:p>
  </w:footnote>
  <w:footnote w:id="247">
    <w:p w14:paraId="35AA7C40" w14:textId="77777777" w:rsidR="000438B1" w:rsidRPr="00202E92" w:rsidRDefault="000438B1" w:rsidP="001D3D9D">
      <w:pPr>
        <w:pStyle w:val="FootnoteText"/>
      </w:pPr>
      <w:r>
        <w:rPr>
          <w:rStyle w:val="FootnoteReference"/>
        </w:rPr>
        <w:footnoteRef/>
      </w:r>
      <w:r>
        <w:t xml:space="preserve"> Cf. Coats, </w:t>
      </w:r>
      <w:r>
        <w:rPr>
          <w:i/>
        </w:rPr>
        <w:t>Genesis</w:t>
      </w:r>
      <w:r>
        <w:t>, 130.</w:t>
      </w:r>
    </w:p>
  </w:footnote>
  <w:footnote w:id="248">
    <w:p w14:paraId="686D7AB0" w14:textId="77777777" w:rsidR="000438B1" w:rsidRPr="00C17482" w:rsidRDefault="000438B1" w:rsidP="001D3D9D">
      <w:pPr>
        <w:pStyle w:val="FootnoteText"/>
        <w:rPr>
          <w:i/>
        </w:rPr>
      </w:pPr>
      <w:r>
        <w:rPr>
          <w:rStyle w:val="FootnoteReference"/>
        </w:rPr>
        <w:footnoteRef/>
      </w:r>
      <w:r>
        <w:t xml:space="preserve"> Cf. Seebass, </w:t>
      </w:r>
      <w:r w:rsidRPr="00CD3E96">
        <w:rPr>
          <w:i/>
        </w:rPr>
        <w:t>Genesis</w:t>
      </w:r>
      <w:r>
        <w:t xml:space="preserve"> 2/1:94-95.</w:t>
      </w:r>
    </w:p>
  </w:footnote>
  <w:footnote w:id="249">
    <w:p w14:paraId="4B08B12A" w14:textId="77777777" w:rsidR="000438B1" w:rsidRDefault="000438B1" w:rsidP="00882FE8">
      <w:pPr>
        <w:pStyle w:val="FootnoteText"/>
      </w:pPr>
      <w:r>
        <w:rPr>
          <w:rStyle w:val="FootnoteReference"/>
        </w:rPr>
        <w:footnoteRef/>
      </w:r>
      <w:r>
        <w:t xml:space="preserve"> Cf. Zimmerli, </w:t>
      </w:r>
      <w:r w:rsidRPr="009450B2">
        <w:rPr>
          <w:i/>
        </w:rPr>
        <w:t>1. Mose 12—25</w:t>
      </w:r>
      <w:r w:rsidRPr="009450B2">
        <w:t>,</w:t>
      </w:r>
      <w:r>
        <w:t xml:space="preserve"> 62. 62.</w:t>
      </w:r>
    </w:p>
  </w:footnote>
  <w:footnote w:id="250">
    <w:p w14:paraId="2781826F" w14:textId="52AF0D1E" w:rsidR="000438B1" w:rsidRDefault="000438B1">
      <w:pPr>
        <w:pStyle w:val="FootnoteText"/>
      </w:pPr>
      <w:r>
        <w:rPr>
          <w:rStyle w:val="FootnoteReference"/>
        </w:rPr>
        <w:footnoteRef/>
      </w:r>
      <w:r>
        <w:t xml:space="preserve"> KSG.</w:t>
      </w:r>
    </w:p>
  </w:footnote>
  <w:footnote w:id="251">
    <w:p w14:paraId="2E759E90" w14:textId="0A74D45D" w:rsidR="000438B1" w:rsidRPr="00DB5A41" w:rsidRDefault="000438B1" w:rsidP="00DB5A41">
      <w:pPr>
        <w:pStyle w:val="FootnoteText"/>
      </w:pPr>
      <w:r>
        <w:rPr>
          <w:rStyle w:val="FootnoteReference"/>
        </w:rPr>
        <w:footnoteRef/>
      </w:r>
      <w:r>
        <w:t xml:space="preserve"> See e.g., Hamilton, </w:t>
      </w:r>
      <w:r>
        <w:rPr>
          <w:i/>
        </w:rPr>
        <w:t>Genesis 1—17</w:t>
      </w:r>
      <w:r>
        <w:t xml:space="preserve">, 444-45, Speiser, </w:t>
      </w:r>
      <w:r>
        <w:rPr>
          <w:i/>
        </w:rPr>
        <w:t>Genesis</w:t>
      </w:r>
      <w:r>
        <w:t xml:space="preserve">, 119-21. In Kenya, C. Shisanya says, when a man is sterile, close relatives similarly sire on his behalf, though secretly (“A Reflection on the Hagar Narratives in Genesis through the Eyes of a Kenyan Woman,” in M. Getui et al. (eds.), </w:t>
      </w:r>
      <w:r>
        <w:rPr>
          <w:i/>
        </w:rPr>
        <w:t xml:space="preserve">Interpreting the Old Testament in Africa </w:t>
      </w:r>
      <w:r>
        <w:t>(New York: Lang, 2001), 147-51 (147). D. R. Mbuwayesango gives a similar account of practice in Zimbabwe, “</w:t>
      </w:r>
      <w:r>
        <w:rPr>
          <w:rFonts w:asciiTheme="minorHAnsi" w:hAnsiTheme="minorHAnsi" w:cstheme="minorHAnsi"/>
          <w:bCs/>
        </w:rPr>
        <w:t>Childlessness a</w:t>
      </w:r>
      <w:r w:rsidRPr="00DB5A41">
        <w:rPr>
          <w:rFonts w:asciiTheme="minorHAnsi" w:hAnsiTheme="minorHAnsi" w:cstheme="minorHAnsi"/>
          <w:bCs/>
        </w:rPr>
        <w:t xml:space="preserve">nd Woman-To-Woman Relationships </w:t>
      </w:r>
      <w:r>
        <w:t>i</w:t>
      </w:r>
      <w:r>
        <w:rPr>
          <w:rFonts w:asciiTheme="minorHAnsi" w:hAnsiTheme="minorHAnsi" w:cstheme="minorHAnsi"/>
          <w:bCs/>
        </w:rPr>
        <w:t>n Genesis and i</w:t>
      </w:r>
      <w:r w:rsidRPr="00DB5A41">
        <w:rPr>
          <w:rFonts w:asciiTheme="minorHAnsi" w:hAnsiTheme="minorHAnsi" w:cstheme="minorHAnsi"/>
          <w:bCs/>
        </w:rPr>
        <w:t xml:space="preserve">n African Patriarcal </w:t>
      </w:r>
      <w:r>
        <w:rPr>
          <w:rFonts w:asciiTheme="minorHAnsi" w:hAnsiTheme="minorHAnsi" w:cstheme="minorHAnsi"/>
          <w:bCs/>
        </w:rPr>
        <w:t xml:space="preserve">[sic] </w:t>
      </w:r>
      <w:r w:rsidRPr="00DB5A41">
        <w:rPr>
          <w:rFonts w:asciiTheme="minorHAnsi" w:hAnsiTheme="minorHAnsi" w:cstheme="minorHAnsi"/>
          <w:bCs/>
        </w:rPr>
        <w:t>Society</w:t>
      </w:r>
      <w:r>
        <w:rPr>
          <w:rFonts w:asciiTheme="minorHAnsi" w:hAnsiTheme="minorHAnsi" w:cstheme="minorHAnsi"/>
          <w:bCs/>
        </w:rPr>
        <w:t xml:space="preserve">,” </w:t>
      </w:r>
      <w:r>
        <w:rPr>
          <w:rFonts w:asciiTheme="minorHAnsi" w:hAnsiTheme="minorHAnsi" w:cstheme="minorHAnsi"/>
          <w:bCs/>
          <w:i/>
        </w:rPr>
        <w:t xml:space="preserve">Semeia </w:t>
      </w:r>
      <w:r>
        <w:rPr>
          <w:rFonts w:asciiTheme="minorHAnsi" w:hAnsiTheme="minorHAnsi" w:cstheme="minorHAnsi"/>
          <w:bCs/>
        </w:rPr>
        <w:t>78 (1997): 27-36.</w:t>
      </w:r>
    </w:p>
  </w:footnote>
  <w:footnote w:id="252">
    <w:p w14:paraId="7150C3AA" w14:textId="0BC34BC9" w:rsidR="000438B1" w:rsidRPr="00AC3818" w:rsidRDefault="000438B1">
      <w:pPr>
        <w:pStyle w:val="FootnoteText"/>
      </w:pPr>
      <w:r>
        <w:rPr>
          <w:rStyle w:val="FootnoteReference"/>
        </w:rPr>
        <w:footnoteRef/>
      </w:r>
      <w:r>
        <w:t xml:space="preserve"> See P. R. Drey, “The Role of Hagar in Genesis 16,” </w:t>
      </w:r>
      <w:r>
        <w:rPr>
          <w:i/>
        </w:rPr>
        <w:t>AUSS</w:t>
      </w:r>
      <w:r>
        <w:t xml:space="preserve"> 40 (2002): 179-95 (186-89).</w:t>
      </w:r>
    </w:p>
  </w:footnote>
  <w:footnote w:id="253">
    <w:p w14:paraId="426F4A4B" w14:textId="77777777" w:rsidR="000438B1" w:rsidRPr="00D55F32" w:rsidRDefault="000438B1" w:rsidP="008C6494">
      <w:pPr>
        <w:pStyle w:val="FootnoteText"/>
      </w:pPr>
      <w:r>
        <w:rPr>
          <w:rStyle w:val="FootnoteReference"/>
        </w:rPr>
        <w:footnoteRef/>
      </w:r>
      <w:r>
        <w:t xml:space="preserve"> Against Reno, </w:t>
      </w:r>
      <w:r>
        <w:rPr>
          <w:i/>
        </w:rPr>
        <w:t>Genesis</w:t>
      </w:r>
      <w:r>
        <w:t>, 164.</w:t>
      </w:r>
    </w:p>
  </w:footnote>
  <w:footnote w:id="254">
    <w:p w14:paraId="160DD7BB" w14:textId="77777777" w:rsidR="000438B1" w:rsidRPr="00B62262" w:rsidRDefault="000438B1" w:rsidP="00F51B32">
      <w:pPr>
        <w:pStyle w:val="FootnoteText"/>
      </w:pPr>
      <w:r>
        <w:rPr>
          <w:rStyle w:val="FootnoteReference"/>
        </w:rPr>
        <w:footnoteRef/>
      </w:r>
      <w:r>
        <w:t xml:space="preserve"> Cf. Kaminsky, </w:t>
      </w:r>
      <w:proofErr w:type="gramStart"/>
      <w:r>
        <w:rPr>
          <w:i/>
        </w:rPr>
        <w:t>Yet</w:t>
      </w:r>
      <w:proofErr w:type="gramEnd"/>
      <w:r>
        <w:rPr>
          <w:i/>
        </w:rPr>
        <w:t xml:space="preserve"> I Loved Jacob</w:t>
      </w:r>
      <w:r>
        <w:t>, 32-33.</w:t>
      </w:r>
    </w:p>
  </w:footnote>
  <w:footnote w:id="255">
    <w:p w14:paraId="2C19DF33" w14:textId="77777777" w:rsidR="000438B1" w:rsidRPr="00D2592B" w:rsidRDefault="000438B1" w:rsidP="00F51B32">
      <w:pPr>
        <w:pStyle w:val="FootnoteText"/>
      </w:pPr>
      <w:r>
        <w:rPr>
          <w:rStyle w:val="FootnoteReference"/>
        </w:rPr>
        <w:footnoteRef/>
      </w:r>
      <w:r>
        <w:t xml:space="preserve"> Visotzky, </w:t>
      </w:r>
      <w:r>
        <w:rPr>
          <w:i/>
        </w:rPr>
        <w:t>Genesis of Ethics</w:t>
      </w:r>
      <w:r>
        <w:t>, 43.</w:t>
      </w:r>
    </w:p>
  </w:footnote>
  <w:footnote w:id="256">
    <w:p w14:paraId="0D15AB7F" w14:textId="77777777" w:rsidR="000438B1" w:rsidRPr="00DA38E8" w:rsidRDefault="000438B1">
      <w:pPr>
        <w:pStyle w:val="FootnoteText"/>
      </w:pPr>
      <w:r>
        <w:rPr>
          <w:rStyle w:val="FootnoteReference"/>
        </w:rPr>
        <w:footnoteRef/>
      </w:r>
      <w:r>
        <w:t xml:space="preserve"> Trible, </w:t>
      </w:r>
      <w:r>
        <w:rPr>
          <w:i/>
        </w:rPr>
        <w:t xml:space="preserve">Texts of Terror, </w:t>
      </w:r>
      <w:r>
        <w:t xml:space="preserve">11. </w:t>
      </w:r>
    </w:p>
  </w:footnote>
  <w:footnote w:id="257">
    <w:p w14:paraId="1360F225" w14:textId="77777777" w:rsidR="000438B1" w:rsidRDefault="000438B1">
      <w:pPr>
        <w:pStyle w:val="FootnoteText"/>
      </w:pPr>
      <w:r>
        <w:rPr>
          <w:rStyle w:val="FootnoteReference"/>
        </w:rPr>
        <w:footnoteRef/>
      </w:r>
      <w:r>
        <w:t xml:space="preserve"> </w:t>
      </w:r>
      <w:r w:rsidRPr="00543621">
        <w:t xml:space="preserve">Levenson, </w:t>
      </w:r>
      <w:r w:rsidRPr="00543621">
        <w:rPr>
          <w:i/>
        </w:rPr>
        <w:t>Death and Resurrection of the Beloved Son</w:t>
      </w:r>
      <w:r w:rsidRPr="00543621">
        <w:t>,</w:t>
      </w:r>
      <w:r>
        <w:t xml:space="preserve"> 90.</w:t>
      </w:r>
    </w:p>
  </w:footnote>
  <w:footnote w:id="258">
    <w:p w14:paraId="0936221A" w14:textId="77777777" w:rsidR="000438B1" w:rsidRPr="00214F65" w:rsidRDefault="000438B1">
      <w:pPr>
        <w:pStyle w:val="FootnoteText"/>
      </w:pPr>
      <w:r>
        <w:rPr>
          <w:rStyle w:val="FootnoteReference"/>
        </w:rPr>
        <w:footnoteRef/>
      </w:r>
      <w:r>
        <w:t xml:space="preserve"> De La Torre, </w:t>
      </w:r>
      <w:r>
        <w:rPr>
          <w:i/>
        </w:rPr>
        <w:t>Genesis</w:t>
      </w:r>
      <w:r>
        <w:t>, 173.</w:t>
      </w:r>
    </w:p>
  </w:footnote>
  <w:footnote w:id="259">
    <w:p w14:paraId="5C20868B" w14:textId="3AB5A682" w:rsidR="000438B1" w:rsidRDefault="000438B1">
      <w:pPr>
        <w:pStyle w:val="FootnoteText"/>
      </w:pPr>
      <w:r>
        <w:rPr>
          <w:rStyle w:val="FootnoteReference"/>
        </w:rPr>
        <w:footnoteRef/>
      </w:r>
      <w:r>
        <w:t xml:space="preserve"> See the comment there.</w:t>
      </w:r>
    </w:p>
  </w:footnote>
  <w:footnote w:id="260">
    <w:p w14:paraId="78DD8855" w14:textId="77777777" w:rsidR="000438B1" w:rsidRPr="00757023" w:rsidRDefault="000438B1">
      <w:pPr>
        <w:pStyle w:val="FootnoteText"/>
      </w:pPr>
      <w:r>
        <w:rPr>
          <w:rStyle w:val="FootnoteReference"/>
        </w:rPr>
        <w:footnoteRef/>
      </w:r>
      <w:r>
        <w:t xml:space="preserve"> D. C. Stancil, “Genesis 16:1-16; 21:8-21,” </w:t>
      </w:r>
      <w:r>
        <w:rPr>
          <w:i/>
        </w:rPr>
        <w:t>RevExp</w:t>
      </w:r>
      <w:r>
        <w:t xml:space="preserve"> 91 (1994): 393-400 (394).</w:t>
      </w:r>
    </w:p>
  </w:footnote>
  <w:footnote w:id="261">
    <w:p w14:paraId="65C41DE3" w14:textId="77777777" w:rsidR="000438B1" w:rsidRPr="00EF4341" w:rsidRDefault="000438B1">
      <w:pPr>
        <w:pStyle w:val="FootnoteText"/>
      </w:pPr>
      <w:r>
        <w:rPr>
          <w:rStyle w:val="FootnoteReference"/>
        </w:rPr>
        <w:footnoteRef/>
      </w:r>
      <w:r>
        <w:t xml:space="preserve"> Cf. Heard, </w:t>
      </w:r>
      <w:r>
        <w:rPr>
          <w:i/>
        </w:rPr>
        <w:t>Dynamics of Diselection</w:t>
      </w:r>
      <w:r>
        <w:t>, 65-66.</w:t>
      </w:r>
    </w:p>
  </w:footnote>
  <w:footnote w:id="262">
    <w:p w14:paraId="2FBB74CB" w14:textId="77777777" w:rsidR="000438B1" w:rsidRPr="000061D3" w:rsidRDefault="000438B1" w:rsidP="00861E13">
      <w:pPr>
        <w:pStyle w:val="FootnoteText"/>
      </w:pPr>
      <w:r>
        <w:rPr>
          <w:rStyle w:val="FootnoteReference"/>
        </w:rPr>
        <w:footnoteRef/>
      </w:r>
      <w:r>
        <w:t xml:space="preserve"> N. Rulon-Miller, “Hagar,” in Davies/Clines (eds.), </w:t>
      </w:r>
      <w:r>
        <w:rPr>
          <w:i/>
        </w:rPr>
        <w:t>World of Genesis</w:t>
      </w:r>
      <w:r>
        <w:t>, 60-89 (60).</w:t>
      </w:r>
    </w:p>
  </w:footnote>
  <w:footnote w:id="263">
    <w:p w14:paraId="457C55BB" w14:textId="77777777" w:rsidR="000438B1" w:rsidRPr="0026598B" w:rsidRDefault="000438B1">
      <w:pPr>
        <w:pStyle w:val="FootnoteText"/>
      </w:pPr>
      <w:r>
        <w:rPr>
          <w:rStyle w:val="FootnoteReference"/>
        </w:rPr>
        <w:footnoteRef/>
      </w:r>
      <w:r>
        <w:t xml:space="preserve"> See J. Splawn, “‘Reckless Eyeballing,” </w:t>
      </w:r>
      <w:r>
        <w:rPr>
          <w:i/>
        </w:rPr>
        <w:t xml:space="preserve">Feminist Theology </w:t>
      </w:r>
      <w:r>
        <w:t>21 (2012): 173-79.</w:t>
      </w:r>
    </w:p>
  </w:footnote>
  <w:footnote w:id="264">
    <w:p w14:paraId="4DF1B36F" w14:textId="77777777" w:rsidR="000438B1" w:rsidRPr="00DA38E8" w:rsidRDefault="000438B1" w:rsidP="001D1D0F">
      <w:pPr>
        <w:pStyle w:val="FootnoteText"/>
      </w:pPr>
      <w:r>
        <w:rPr>
          <w:rStyle w:val="FootnoteReference"/>
        </w:rPr>
        <w:footnoteRef/>
      </w:r>
      <w:r>
        <w:t xml:space="preserve"> Trible, </w:t>
      </w:r>
      <w:r>
        <w:rPr>
          <w:i/>
        </w:rPr>
        <w:t xml:space="preserve">Texts of Terror, </w:t>
      </w:r>
      <w:r>
        <w:t xml:space="preserve">13. </w:t>
      </w:r>
    </w:p>
  </w:footnote>
  <w:footnote w:id="265">
    <w:p w14:paraId="4C7D949F" w14:textId="77777777" w:rsidR="000438B1" w:rsidRPr="00EB62C4" w:rsidRDefault="000438B1">
      <w:pPr>
        <w:pStyle w:val="FootnoteText"/>
      </w:pPr>
      <w:r>
        <w:rPr>
          <w:rStyle w:val="FootnoteReference"/>
        </w:rPr>
        <w:footnoteRef/>
      </w:r>
      <w:r>
        <w:t xml:space="preserve"> Mbuvi, </w:t>
      </w:r>
      <w:r>
        <w:rPr>
          <w:i/>
        </w:rPr>
        <w:t>Belonging in Genesis</w:t>
      </w:r>
      <w:r>
        <w:t>, 116, 126.</w:t>
      </w:r>
    </w:p>
  </w:footnote>
  <w:footnote w:id="266">
    <w:p w14:paraId="08BB75CD" w14:textId="77777777" w:rsidR="000438B1" w:rsidRPr="000166FC" w:rsidRDefault="000438B1">
      <w:pPr>
        <w:pStyle w:val="FootnoteText"/>
      </w:pPr>
      <w:r>
        <w:rPr>
          <w:rStyle w:val="FootnoteReference"/>
        </w:rPr>
        <w:footnoteRef/>
      </w:r>
      <w:r>
        <w:t xml:space="preserve"> See </w:t>
      </w:r>
      <w:r>
        <w:rPr>
          <w:i/>
        </w:rPr>
        <w:t>ANET</w:t>
      </w:r>
      <w:r>
        <w:t xml:space="preserve">, 172; Hays, </w:t>
      </w:r>
      <w:r>
        <w:rPr>
          <w:i/>
        </w:rPr>
        <w:t>Hidden Riches</w:t>
      </w:r>
      <w:r>
        <w:t>, 126.</w:t>
      </w:r>
    </w:p>
  </w:footnote>
  <w:footnote w:id="267">
    <w:p w14:paraId="1AA2EB61" w14:textId="77777777" w:rsidR="000438B1" w:rsidRPr="00CF1B3F" w:rsidRDefault="000438B1">
      <w:pPr>
        <w:pStyle w:val="FootnoteText"/>
      </w:pPr>
      <w:r>
        <w:rPr>
          <w:rStyle w:val="FootnoteReference"/>
        </w:rPr>
        <w:footnoteRef/>
      </w:r>
      <w:r>
        <w:t xml:space="preserve"> Cf. Wenham, </w:t>
      </w:r>
      <w:r>
        <w:rPr>
          <w:i/>
        </w:rPr>
        <w:t>Genesis 16—50</w:t>
      </w:r>
      <w:r>
        <w:t>, 8.</w:t>
      </w:r>
    </w:p>
  </w:footnote>
  <w:footnote w:id="268">
    <w:p w14:paraId="772C9AA9" w14:textId="77777777" w:rsidR="000438B1" w:rsidRPr="007D0214" w:rsidRDefault="000438B1">
      <w:pPr>
        <w:pStyle w:val="FootnoteText"/>
      </w:pPr>
      <w:r>
        <w:rPr>
          <w:rStyle w:val="FootnoteReference"/>
        </w:rPr>
        <w:footnoteRef/>
      </w:r>
      <w:r>
        <w:t xml:space="preserve"> Gunkel, </w:t>
      </w:r>
      <w:r>
        <w:rPr>
          <w:i/>
        </w:rPr>
        <w:t>Genesis</w:t>
      </w:r>
      <w:r>
        <w:t>, 185.</w:t>
      </w:r>
    </w:p>
  </w:footnote>
  <w:footnote w:id="269">
    <w:p w14:paraId="05364EF7" w14:textId="77777777" w:rsidR="000438B1" w:rsidRPr="0029616F" w:rsidRDefault="000438B1" w:rsidP="002D0083">
      <w:pPr>
        <w:pStyle w:val="FootnoteText"/>
      </w:pPr>
      <w:r>
        <w:rPr>
          <w:rStyle w:val="FootnoteReference"/>
        </w:rPr>
        <w:footnoteRef/>
      </w:r>
      <w:r>
        <w:t xml:space="preserve"> Luther, </w:t>
      </w:r>
      <w:r>
        <w:rPr>
          <w:i/>
        </w:rPr>
        <w:t>Genesis 15—20</w:t>
      </w:r>
      <w:r>
        <w:t>, 53-54.</w:t>
      </w:r>
    </w:p>
  </w:footnote>
  <w:footnote w:id="270">
    <w:p w14:paraId="0F802017" w14:textId="77777777" w:rsidR="000438B1" w:rsidRPr="007D0214" w:rsidRDefault="000438B1" w:rsidP="00BE530E">
      <w:pPr>
        <w:pStyle w:val="FootnoteText"/>
      </w:pPr>
      <w:r>
        <w:rPr>
          <w:rStyle w:val="FootnoteReference"/>
        </w:rPr>
        <w:footnoteRef/>
      </w:r>
      <w:r>
        <w:t xml:space="preserve"> Gunkel, </w:t>
      </w:r>
      <w:r>
        <w:rPr>
          <w:i/>
        </w:rPr>
        <w:t>Genesis</w:t>
      </w:r>
      <w:r>
        <w:t>, 185.</w:t>
      </w:r>
    </w:p>
  </w:footnote>
  <w:footnote w:id="271">
    <w:p w14:paraId="415BDB56" w14:textId="77777777" w:rsidR="000438B1" w:rsidRDefault="000438B1">
      <w:pPr>
        <w:pStyle w:val="FootnoteText"/>
      </w:pPr>
      <w:r>
        <w:rPr>
          <w:rStyle w:val="FootnoteReference"/>
        </w:rPr>
        <w:footnoteRef/>
      </w:r>
      <w:r>
        <w:t xml:space="preserve"> Zimmerli, </w:t>
      </w:r>
      <w:r w:rsidRPr="00D61710">
        <w:rPr>
          <w:i/>
        </w:rPr>
        <w:t>1. Mose 12—25</w:t>
      </w:r>
      <w:r w:rsidRPr="00D61710">
        <w:t>,</w:t>
      </w:r>
      <w:r>
        <w:t xml:space="preserve"> 63.</w:t>
      </w:r>
    </w:p>
  </w:footnote>
  <w:footnote w:id="272">
    <w:p w14:paraId="7BFA48EE" w14:textId="77777777" w:rsidR="000438B1" w:rsidRPr="00CE505D" w:rsidRDefault="000438B1" w:rsidP="0019282C">
      <w:pPr>
        <w:pStyle w:val="FootnoteText"/>
      </w:pPr>
      <w:r>
        <w:rPr>
          <w:rStyle w:val="FootnoteReference"/>
        </w:rPr>
        <w:footnoteRef/>
      </w:r>
      <w:r>
        <w:t xml:space="preserve"> Cf. Jacobs, </w:t>
      </w:r>
      <w:r>
        <w:rPr>
          <w:i/>
        </w:rPr>
        <w:t>Gender, Power, and Persuasion</w:t>
      </w:r>
      <w:r>
        <w:t>, 139-40.</w:t>
      </w:r>
    </w:p>
  </w:footnote>
  <w:footnote w:id="273">
    <w:p w14:paraId="4BCCD8BB" w14:textId="77777777" w:rsidR="000438B1" w:rsidRDefault="000438B1">
      <w:pPr>
        <w:pStyle w:val="FootnoteText"/>
      </w:pPr>
      <w:r>
        <w:rPr>
          <w:rStyle w:val="FootnoteReference"/>
        </w:rPr>
        <w:footnoteRef/>
      </w:r>
      <w:r>
        <w:t xml:space="preserve"> </w:t>
      </w:r>
      <w:r w:rsidRPr="00E04481">
        <w:t xml:space="preserve">Gunkel, </w:t>
      </w:r>
      <w:r w:rsidRPr="00E04481">
        <w:rPr>
          <w:i/>
        </w:rPr>
        <w:t>Genesis</w:t>
      </w:r>
      <w:r w:rsidRPr="00E04481">
        <w:t>, 185</w:t>
      </w:r>
      <w:r>
        <w:t>.</w:t>
      </w:r>
    </w:p>
  </w:footnote>
  <w:footnote w:id="274">
    <w:p w14:paraId="0CA36AF5" w14:textId="77777777" w:rsidR="000438B1" w:rsidRPr="00417561" w:rsidRDefault="000438B1">
      <w:pPr>
        <w:pStyle w:val="FootnoteText"/>
      </w:pPr>
      <w:r>
        <w:rPr>
          <w:rStyle w:val="FootnoteReference"/>
        </w:rPr>
        <w:footnoteRef/>
      </w:r>
      <w:r>
        <w:t xml:space="preserve"> Cf. Fretheim, </w:t>
      </w:r>
      <w:r>
        <w:rPr>
          <w:i/>
        </w:rPr>
        <w:t>Abraham</w:t>
      </w:r>
      <w:r>
        <w:t>, 96.</w:t>
      </w:r>
    </w:p>
  </w:footnote>
  <w:footnote w:id="275">
    <w:p w14:paraId="744AF77E" w14:textId="77777777" w:rsidR="000438B1" w:rsidRPr="00214F65" w:rsidRDefault="000438B1">
      <w:pPr>
        <w:pStyle w:val="FootnoteText"/>
      </w:pPr>
      <w:r>
        <w:rPr>
          <w:rStyle w:val="FootnoteReference"/>
        </w:rPr>
        <w:footnoteRef/>
      </w:r>
      <w:r>
        <w:t xml:space="preserve"> De La Torre, </w:t>
      </w:r>
      <w:r>
        <w:rPr>
          <w:i/>
        </w:rPr>
        <w:t>Genesis</w:t>
      </w:r>
      <w:r>
        <w:t>, 175.</w:t>
      </w:r>
    </w:p>
  </w:footnote>
  <w:footnote w:id="276">
    <w:p w14:paraId="7B058957" w14:textId="77777777" w:rsidR="000438B1" w:rsidRPr="00D44342" w:rsidRDefault="000438B1" w:rsidP="0076417D">
      <w:pPr>
        <w:pStyle w:val="FootnoteText"/>
      </w:pPr>
      <w:r>
        <w:rPr>
          <w:rStyle w:val="FootnoteReference"/>
        </w:rPr>
        <w:footnoteRef/>
      </w:r>
      <w:r>
        <w:t xml:space="preserve"> Cf. M. Masenya, “</w:t>
      </w:r>
      <w:r>
        <w:rPr>
          <w:rFonts w:asciiTheme="minorHAnsi" w:eastAsiaTheme="minorHAnsi" w:hAnsiTheme="minorHAnsi" w:cs="TimesNewRomanPS-BoldMT"/>
          <w:bCs/>
        </w:rPr>
        <w:t>A Bosadi (Womanhood) R</w:t>
      </w:r>
      <w:r w:rsidRPr="00D44342">
        <w:rPr>
          <w:rFonts w:asciiTheme="minorHAnsi" w:eastAsiaTheme="minorHAnsi" w:hAnsiTheme="minorHAnsi" w:cs="TimesNewRomanPS-BoldMT"/>
          <w:bCs/>
        </w:rPr>
        <w:t>eading of Genesis 16</w:t>
      </w:r>
      <w:r>
        <w:rPr>
          <w:rFonts w:asciiTheme="minorHAnsi" w:eastAsiaTheme="minorHAnsi" w:hAnsiTheme="minorHAnsi" w:cs="TimesNewRomanPS-BoldMT"/>
          <w:bCs/>
        </w:rPr>
        <w:t xml:space="preserve">,” </w:t>
      </w:r>
      <w:r>
        <w:rPr>
          <w:rFonts w:asciiTheme="minorHAnsi" w:eastAsiaTheme="minorHAnsi" w:hAnsiTheme="minorHAnsi" w:cs="TimesNewRomanPS-BoldMT"/>
          <w:bCs/>
          <w:i/>
        </w:rPr>
        <w:t>OTE</w:t>
      </w:r>
      <w:r>
        <w:rPr>
          <w:rFonts w:asciiTheme="minorHAnsi" w:eastAsiaTheme="minorHAnsi" w:hAnsiTheme="minorHAnsi" w:cs="TimesNewRomanPS-BoldMT"/>
          <w:bCs/>
        </w:rPr>
        <w:t xml:space="preserve"> 11 (1998): 271-87 (282).</w:t>
      </w:r>
    </w:p>
  </w:footnote>
  <w:footnote w:id="277">
    <w:p w14:paraId="3699DFC1" w14:textId="77777777" w:rsidR="000438B1" w:rsidRPr="00CF1B3F" w:rsidRDefault="000438B1" w:rsidP="0097087F">
      <w:pPr>
        <w:pStyle w:val="FootnoteText"/>
      </w:pPr>
      <w:r>
        <w:rPr>
          <w:rStyle w:val="FootnoteReference"/>
        </w:rPr>
        <w:footnoteRef/>
      </w:r>
      <w:r>
        <w:t xml:space="preserve"> Wenham, </w:t>
      </w:r>
      <w:r>
        <w:rPr>
          <w:i/>
        </w:rPr>
        <w:t>Genesis 16—50</w:t>
      </w:r>
      <w:r>
        <w:t>, 9.</w:t>
      </w:r>
    </w:p>
  </w:footnote>
  <w:footnote w:id="278">
    <w:p w14:paraId="4829D11F" w14:textId="77777777" w:rsidR="000438B1" w:rsidRDefault="000438B1" w:rsidP="006E1DDC">
      <w:pPr>
        <w:pStyle w:val="FootnoteText"/>
      </w:pPr>
      <w:r>
        <w:rPr>
          <w:rStyle w:val="FootnoteReference"/>
        </w:rPr>
        <w:footnoteRef/>
      </w:r>
      <w:r>
        <w:t xml:space="preserve"> Cf. Willet, </w:t>
      </w:r>
      <w:r w:rsidRPr="00872711">
        <w:rPr>
          <w:i/>
        </w:rPr>
        <w:t>Hexapla in Genesin &amp; Exodum</w:t>
      </w:r>
      <w:r w:rsidRPr="00872711">
        <w:t>,</w:t>
      </w:r>
      <w:r>
        <w:t xml:space="preserve"> 155.</w:t>
      </w:r>
    </w:p>
  </w:footnote>
  <w:footnote w:id="279">
    <w:p w14:paraId="07485C38" w14:textId="77777777" w:rsidR="000438B1" w:rsidRPr="006E1DDC" w:rsidRDefault="000438B1">
      <w:pPr>
        <w:pStyle w:val="FootnoteText"/>
      </w:pPr>
      <w:r>
        <w:rPr>
          <w:rStyle w:val="FootnoteReference"/>
        </w:rPr>
        <w:footnoteRef/>
      </w:r>
      <w:r>
        <w:t xml:space="preserve"> Cf. Mbuvi, </w:t>
      </w:r>
      <w:r>
        <w:rPr>
          <w:i/>
        </w:rPr>
        <w:t>Belonging in Genesis</w:t>
      </w:r>
      <w:r>
        <w:t>, 127</w:t>
      </w:r>
    </w:p>
  </w:footnote>
  <w:footnote w:id="280">
    <w:p w14:paraId="2E5748B1" w14:textId="77777777" w:rsidR="000438B1" w:rsidRPr="0080069F" w:rsidRDefault="000438B1" w:rsidP="003E37DB">
      <w:pPr>
        <w:pStyle w:val="FootnoteText"/>
      </w:pPr>
      <w:r>
        <w:rPr>
          <w:rStyle w:val="FootnoteReference"/>
        </w:rPr>
        <w:footnoteRef/>
      </w:r>
      <w:r>
        <w:t xml:space="preserve"> Arnold, </w:t>
      </w:r>
      <w:r>
        <w:rPr>
          <w:i/>
        </w:rPr>
        <w:t>Genesis</w:t>
      </w:r>
      <w:r>
        <w:t>, 164.</w:t>
      </w:r>
    </w:p>
  </w:footnote>
  <w:footnote w:id="281">
    <w:p w14:paraId="5C96EE77" w14:textId="77777777" w:rsidR="000438B1" w:rsidRDefault="000438B1">
      <w:pPr>
        <w:pStyle w:val="FootnoteText"/>
      </w:pPr>
      <w:r>
        <w:rPr>
          <w:rStyle w:val="FootnoteReference"/>
        </w:rPr>
        <w:footnoteRef/>
      </w:r>
      <w:r>
        <w:t xml:space="preserve"> </w:t>
      </w:r>
      <w:r w:rsidRPr="00543621">
        <w:t xml:space="preserve">Levenson, </w:t>
      </w:r>
      <w:r w:rsidRPr="00543621">
        <w:rPr>
          <w:i/>
        </w:rPr>
        <w:t>Death and Resurrection of the Beloved Son</w:t>
      </w:r>
      <w:r w:rsidRPr="00543621">
        <w:t>,</w:t>
      </w:r>
      <w:r>
        <w:t xml:space="preserve"> 93.</w:t>
      </w:r>
    </w:p>
  </w:footnote>
  <w:footnote w:id="282">
    <w:p w14:paraId="25473D33" w14:textId="77777777" w:rsidR="000438B1" w:rsidRPr="003C46E7" w:rsidRDefault="000438B1">
      <w:pPr>
        <w:pStyle w:val="FootnoteText"/>
      </w:pPr>
      <w:r>
        <w:rPr>
          <w:rStyle w:val="FootnoteReference"/>
        </w:rPr>
        <w:footnoteRef/>
      </w:r>
      <w:r>
        <w:t xml:space="preserve"> B. L. Tanner, “My Sister Sarah,” in L. Day and C. Pressler (eds.), </w:t>
      </w:r>
      <w:r>
        <w:rPr>
          <w:i/>
        </w:rPr>
        <w:t xml:space="preserve">Engaging the Bible in a Gendered World </w:t>
      </w:r>
      <w:r>
        <w:t>(K. D. Sakenfeld Festschrift; Louisville: WJK, 2006), 60-72 (67-68).</w:t>
      </w:r>
    </w:p>
  </w:footnote>
  <w:footnote w:id="283">
    <w:p w14:paraId="39038B92" w14:textId="77777777" w:rsidR="000438B1" w:rsidRPr="00D6704F" w:rsidRDefault="000438B1">
      <w:pPr>
        <w:pStyle w:val="FootnoteText"/>
      </w:pPr>
      <w:r>
        <w:rPr>
          <w:rStyle w:val="FootnoteReference"/>
        </w:rPr>
        <w:footnoteRef/>
      </w:r>
      <w:r>
        <w:t xml:space="preserve"> Fretheim, </w:t>
      </w:r>
      <w:r>
        <w:rPr>
          <w:i/>
        </w:rPr>
        <w:t>Abraham</w:t>
      </w:r>
      <w:r>
        <w:t>, 105.</w:t>
      </w:r>
    </w:p>
  </w:footnote>
  <w:footnote w:id="284">
    <w:p w14:paraId="580E22CD" w14:textId="77777777" w:rsidR="000438B1" w:rsidRPr="00B1486D" w:rsidRDefault="000438B1">
      <w:pPr>
        <w:pStyle w:val="FootnoteText"/>
      </w:pPr>
      <w:r>
        <w:rPr>
          <w:rStyle w:val="FootnoteReference"/>
        </w:rPr>
        <w:footnoteRef/>
      </w:r>
      <w:r>
        <w:t xml:space="preserve"> Westermann, </w:t>
      </w:r>
      <w:r>
        <w:rPr>
          <w:i/>
        </w:rPr>
        <w:t>Genesis 12—36</w:t>
      </w:r>
      <w:r>
        <w:t>, 244.</w:t>
      </w:r>
    </w:p>
  </w:footnote>
  <w:footnote w:id="285">
    <w:p w14:paraId="3159E63E" w14:textId="77777777" w:rsidR="000438B1" w:rsidRDefault="000438B1" w:rsidP="00FA56BF">
      <w:pPr>
        <w:pStyle w:val="FootnoteText"/>
      </w:pPr>
      <w:r>
        <w:rPr>
          <w:rStyle w:val="FootnoteReference"/>
        </w:rPr>
        <w:footnoteRef/>
      </w:r>
      <w:r>
        <w:t xml:space="preserve"> See e.g., </w:t>
      </w:r>
      <w:r w:rsidRPr="00B31628">
        <w:t xml:space="preserve">Westermann, </w:t>
      </w:r>
      <w:r w:rsidRPr="00B31628">
        <w:rPr>
          <w:i/>
        </w:rPr>
        <w:t>Genesis 12—36</w:t>
      </w:r>
      <w:r>
        <w:t>, 245-46.</w:t>
      </w:r>
    </w:p>
  </w:footnote>
  <w:footnote w:id="286">
    <w:p w14:paraId="60E2B535" w14:textId="77777777" w:rsidR="000438B1" w:rsidRDefault="000438B1">
      <w:pPr>
        <w:pStyle w:val="FootnoteText"/>
      </w:pPr>
      <w:r>
        <w:rPr>
          <w:rStyle w:val="FootnoteReference"/>
        </w:rPr>
        <w:footnoteRef/>
      </w:r>
      <w:r>
        <w:t xml:space="preserve"> Cf. Willett, </w:t>
      </w:r>
      <w:r w:rsidRPr="00921816">
        <w:rPr>
          <w:i/>
        </w:rPr>
        <w:t>Hexapla in Genesin &amp; Exodum</w:t>
      </w:r>
      <w:r w:rsidRPr="00921816">
        <w:t>,</w:t>
      </w:r>
      <w:r>
        <w:t xml:space="preserve"> 155.</w:t>
      </w:r>
    </w:p>
  </w:footnote>
  <w:footnote w:id="287">
    <w:p w14:paraId="744EA68A" w14:textId="77777777" w:rsidR="000438B1" w:rsidRPr="00757023" w:rsidRDefault="000438B1">
      <w:pPr>
        <w:pStyle w:val="FootnoteText"/>
      </w:pPr>
      <w:r>
        <w:rPr>
          <w:rStyle w:val="FootnoteReference"/>
        </w:rPr>
        <w:footnoteRef/>
      </w:r>
      <w:r>
        <w:t xml:space="preserve"> Ibn Ezra, </w:t>
      </w:r>
      <w:r w:rsidRPr="00DE0B8D">
        <w:rPr>
          <w:i/>
        </w:rPr>
        <w:t>Genesis</w:t>
      </w:r>
      <w:r w:rsidRPr="00DE0B8D">
        <w:t>,</w:t>
      </w:r>
      <w:r>
        <w:t xml:space="preserve"> 180. The words are thus not inherently pejorative (cf. C. Heard, “On the Road to Paran,” </w:t>
      </w:r>
      <w:r>
        <w:rPr>
          <w:i/>
        </w:rPr>
        <w:t>Interpretation</w:t>
      </w:r>
      <w:r>
        <w:t xml:space="preserve"> 68 [2014]: 270-85 [277-79]).</w:t>
      </w:r>
    </w:p>
  </w:footnote>
  <w:footnote w:id="288">
    <w:p w14:paraId="0857F8BE" w14:textId="77777777" w:rsidR="000438B1" w:rsidRDefault="000438B1">
      <w:pPr>
        <w:pStyle w:val="FootnoteText"/>
      </w:pPr>
      <w:r>
        <w:rPr>
          <w:rStyle w:val="FootnoteReference"/>
        </w:rPr>
        <w:footnoteRef/>
      </w:r>
      <w:r>
        <w:t xml:space="preserve"> Cf. E. Noort, “Created in the Image of the Son,” in van Ruiten et al. (eds.), </w:t>
      </w:r>
      <w:r>
        <w:rPr>
          <w:i/>
        </w:rPr>
        <w:t>Abraham, the Nations, and the Hagarites</w:t>
      </w:r>
      <w:r>
        <w:t>, 33- 44 (35).</w:t>
      </w:r>
    </w:p>
  </w:footnote>
  <w:footnote w:id="289">
    <w:p w14:paraId="31EE4733" w14:textId="77777777" w:rsidR="000438B1" w:rsidRPr="00554FE7" w:rsidRDefault="000438B1" w:rsidP="00095BD6">
      <w:pPr>
        <w:pStyle w:val="FootnoteText"/>
      </w:pPr>
      <w:r>
        <w:rPr>
          <w:rStyle w:val="FootnoteReference"/>
        </w:rPr>
        <w:footnoteRef/>
      </w:r>
      <w:r>
        <w:t xml:space="preserve"> Cf. P. Trible, </w:t>
      </w:r>
      <w:r w:rsidRPr="001D1D0F">
        <w:rPr>
          <w:i/>
        </w:rPr>
        <w:t>Texts of Terror</w:t>
      </w:r>
      <w:r>
        <w:rPr>
          <w:i/>
        </w:rPr>
        <w:t xml:space="preserve"> </w:t>
      </w:r>
      <w:r>
        <w:t>(Philadelphia: Fortress, 1984)</w:t>
      </w:r>
      <w:r w:rsidRPr="001D1D0F">
        <w:rPr>
          <w:i/>
        </w:rPr>
        <w:t xml:space="preserve">, </w:t>
      </w:r>
      <w:r>
        <w:t xml:space="preserve">18. See further M. Egger, </w:t>
      </w:r>
      <w:r>
        <w:rPr>
          <w:i/>
        </w:rPr>
        <w:t xml:space="preserve">“Hagar” </w:t>
      </w:r>
      <w:r>
        <w:t>(Freiburg: Herder, 2011).</w:t>
      </w:r>
    </w:p>
  </w:footnote>
  <w:footnote w:id="290">
    <w:p w14:paraId="1D2E2F85" w14:textId="77777777" w:rsidR="000438B1" w:rsidRPr="00570B87" w:rsidRDefault="000438B1">
      <w:pPr>
        <w:pStyle w:val="FootnoteText"/>
      </w:pPr>
      <w:r>
        <w:rPr>
          <w:rStyle w:val="FootnoteReference"/>
        </w:rPr>
        <w:footnoteRef/>
      </w:r>
      <w:r>
        <w:t xml:space="preserve"> Cf. Westermann, </w:t>
      </w:r>
      <w:r>
        <w:rPr>
          <w:i/>
        </w:rPr>
        <w:t>Genesis 12—36</w:t>
      </w:r>
      <w:r>
        <w:t>, 247.</w:t>
      </w:r>
    </w:p>
  </w:footnote>
  <w:footnote w:id="291">
    <w:p w14:paraId="0FE1B971" w14:textId="77777777" w:rsidR="000438B1" w:rsidRPr="007C2149" w:rsidRDefault="000438B1">
      <w:pPr>
        <w:pStyle w:val="FootnoteText"/>
      </w:pPr>
      <w:r>
        <w:rPr>
          <w:rStyle w:val="FootnoteReference"/>
        </w:rPr>
        <w:footnoteRef/>
      </w:r>
      <w:r>
        <w:t xml:space="preserve"> Cf. Hamilton, </w:t>
      </w:r>
      <w:r>
        <w:rPr>
          <w:i/>
        </w:rPr>
        <w:t>Genesis 1—17</w:t>
      </w:r>
      <w:r>
        <w:t>, 458.</w:t>
      </w:r>
    </w:p>
  </w:footnote>
  <w:footnote w:id="292">
    <w:p w14:paraId="6193D966" w14:textId="77777777" w:rsidR="000438B1" w:rsidRPr="00456C3A" w:rsidRDefault="000438B1">
      <w:pPr>
        <w:pStyle w:val="FootnoteText"/>
      </w:pPr>
      <w:r>
        <w:rPr>
          <w:rStyle w:val="FootnoteReference"/>
        </w:rPr>
        <w:footnoteRef/>
      </w:r>
      <w:r>
        <w:t xml:space="preserve"> Coats, </w:t>
      </w:r>
      <w:r>
        <w:rPr>
          <w:i/>
        </w:rPr>
        <w:t>Genesis</w:t>
      </w:r>
      <w:r>
        <w:t>, 131.</w:t>
      </w:r>
    </w:p>
  </w:footnote>
  <w:footnote w:id="293">
    <w:p w14:paraId="66172881" w14:textId="77777777" w:rsidR="000438B1" w:rsidRPr="00DC51D1" w:rsidRDefault="000438B1" w:rsidP="00214784">
      <w:pPr>
        <w:pStyle w:val="FootnoteText"/>
      </w:pPr>
      <w:r>
        <w:rPr>
          <w:rStyle w:val="FootnoteReference"/>
        </w:rPr>
        <w:footnoteRef/>
      </w:r>
      <w:r>
        <w:t xml:space="preserve"> Cf. J. Magonet, </w:t>
      </w:r>
      <w:r>
        <w:rPr>
          <w:i/>
        </w:rPr>
        <w:t xml:space="preserve">Bible Lives </w:t>
      </w:r>
      <w:r>
        <w:t xml:space="preserve">(London: SCM, 1992), 25; R. Crotty (“The Near Sacrifice of Isaac,” in Cadwallader/Trudiger [eds.], </w:t>
      </w:r>
      <w:r>
        <w:rPr>
          <w:i/>
        </w:rPr>
        <w:t>Where the Wild Ox Roams</w:t>
      </w:r>
      <w:r>
        <w:t>, 192-209 [194]) neatly adds the genealogies in 11:10-32 and 25:18 to the structure, though the plausibility of this addition depends on seeing 23:1—24:67 as later additions.</w:t>
      </w:r>
    </w:p>
  </w:footnote>
  <w:footnote w:id="294">
    <w:p w14:paraId="2179D55A" w14:textId="77777777" w:rsidR="000438B1" w:rsidRDefault="000438B1" w:rsidP="00214784">
      <w:pPr>
        <w:pStyle w:val="FootnoteText"/>
      </w:pPr>
      <w:r>
        <w:rPr>
          <w:rStyle w:val="FootnoteReference"/>
        </w:rPr>
        <w:footnoteRef/>
      </w:r>
      <w:r>
        <w:t xml:space="preserve"> Cf. J. Goldingay, “The Place of Ishmael,” </w:t>
      </w:r>
      <w:r w:rsidRPr="00902BD5">
        <w:t xml:space="preserve">in Davies/Clines (eds.), </w:t>
      </w:r>
      <w:r w:rsidRPr="00902BD5">
        <w:rPr>
          <w:i/>
        </w:rPr>
        <w:t>World of Genesis</w:t>
      </w:r>
      <w:r w:rsidRPr="00902BD5">
        <w:t>,</w:t>
      </w:r>
      <w:r>
        <w:t xml:space="preserve"> </w:t>
      </w:r>
      <w:proofErr w:type="gramStart"/>
      <w:r>
        <w:t>146</w:t>
      </w:r>
      <w:proofErr w:type="gramEnd"/>
      <w:r>
        <w:t xml:space="preserve">-49. </w:t>
      </w:r>
    </w:p>
  </w:footnote>
  <w:footnote w:id="295">
    <w:p w14:paraId="59FA942B" w14:textId="77777777" w:rsidR="000438B1" w:rsidRPr="009852E9" w:rsidRDefault="000438B1" w:rsidP="00214784">
      <w:pPr>
        <w:pStyle w:val="FootnoteText"/>
      </w:pPr>
      <w:r>
        <w:rPr>
          <w:rStyle w:val="FootnoteReference"/>
        </w:rPr>
        <w:footnoteRef/>
      </w:r>
      <w:r>
        <w:t xml:space="preserve"> Brueggemann, </w:t>
      </w:r>
      <w:r>
        <w:rPr>
          <w:i/>
        </w:rPr>
        <w:t>Genesis</w:t>
      </w:r>
      <w:r>
        <w:t xml:space="preserve">, 153. Cf. N. M. Simopoulos, “Who Was Hagar?” in G. O. West (ed.), </w:t>
      </w:r>
      <w:r>
        <w:rPr>
          <w:i/>
        </w:rPr>
        <w:t xml:space="preserve">Reading Other-wise </w:t>
      </w:r>
      <w:r>
        <w:t xml:space="preserve">(Atlanta: SBL, 2007), 63-72. Contrast J. C. Okoye, “Sarah and Hagar,” </w:t>
      </w:r>
      <w:r>
        <w:rPr>
          <w:i/>
        </w:rPr>
        <w:t xml:space="preserve">JSOT </w:t>
      </w:r>
      <w:r>
        <w:t>32 (2007): 163-75.</w:t>
      </w:r>
    </w:p>
  </w:footnote>
  <w:footnote w:id="296">
    <w:p w14:paraId="6C140C30" w14:textId="77777777" w:rsidR="000438B1" w:rsidRPr="006505FA" w:rsidRDefault="000438B1" w:rsidP="0013052D">
      <w:pPr>
        <w:pStyle w:val="FootnoteText"/>
      </w:pPr>
      <w:r>
        <w:rPr>
          <w:rStyle w:val="FootnoteReference"/>
        </w:rPr>
        <w:footnoteRef/>
      </w:r>
      <w:r>
        <w:t xml:space="preserve"> Cf. H. Angel, “Sarah’s Treatment of Hagar,” </w:t>
      </w:r>
      <w:r>
        <w:rPr>
          <w:i/>
        </w:rPr>
        <w:t>JBQ</w:t>
      </w:r>
      <w:r>
        <w:t xml:space="preserve"> 41 (2013): 211-18.</w:t>
      </w:r>
    </w:p>
  </w:footnote>
  <w:footnote w:id="297">
    <w:p w14:paraId="58247822" w14:textId="77777777" w:rsidR="000438B1" w:rsidRPr="00FB4C9D" w:rsidRDefault="000438B1" w:rsidP="0013052D">
      <w:pPr>
        <w:pStyle w:val="FootnoteText"/>
      </w:pPr>
      <w:r>
        <w:rPr>
          <w:rStyle w:val="FootnoteReference"/>
        </w:rPr>
        <w:footnoteRef/>
      </w:r>
      <w:r>
        <w:t xml:space="preserve"> Westermann, </w:t>
      </w:r>
      <w:r>
        <w:rPr>
          <w:i/>
        </w:rPr>
        <w:t>Genesis 12—36</w:t>
      </w:r>
      <w:r>
        <w:t>, 250.</w:t>
      </w:r>
    </w:p>
  </w:footnote>
  <w:footnote w:id="298">
    <w:p w14:paraId="0008047C" w14:textId="77777777" w:rsidR="000438B1" w:rsidRPr="00FB779F" w:rsidRDefault="000438B1" w:rsidP="0046712F">
      <w:pPr>
        <w:pStyle w:val="FootnoteText"/>
      </w:pPr>
      <w:r>
        <w:rPr>
          <w:rStyle w:val="FootnoteReference"/>
        </w:rPr>
        <w:footnoteRef/>
      </w:r>
      <w:r>
        <w:t xml:space="preserve"> See D. T. Adamo and E. F. Eghwubare, “The African Wife of Abraham,” in Brenner et al. (eds.), </w:t>
      </w:r>
      <w:r>
        <w:rPr>
          <w:i/>
        </w:rPr>
        <w:t>Genesis</w:t>
      </w:r>
      <w:r>
        <w:t>, 275-92.</w:t>
      </w:r>
    </w:p>
  </w:footnote>
  <w:footnote w:id="299">
    <w:p w14:paraId="4EA0C823" w14:textId="77777777" w:rsidR="000438B1" w:rsidRPr="00A978F7" w:rsidRDefault="000438B1">
      <w:pPr>
        <w:pStyle w:val="FootnoteText"/>
      </w:pPr>
      <w:r>
        <w:rPr>
          <w:rStyle w:val="FootnoteReference"/>
        </w:rPr>
        <w:footnoteRef/>
      </w:r>
      <w:r>
        <w:t xml:space="preserve"> Williams, </w:t>
      </w:r>
      <w:r w:rsidRPr="00A978F7">
        <w:rPr>
          <w:i/>
        </w:rPr>
        <w:t>Sisters in the Wilderness</w:t>
      </w:r>
      <w:r>
        <w:t>, 2.</w:t>
      </w:r>
    </w:p>
  </w:footnote>
  <w:footnote w:id="300">
    <w:p w14:paraId="3237CE38" w14:textId="77777777" w:rsidR="000438B1" w:rsidRPr="00A6680C" w:rsidRDefault="000438B1" w:rsidP="0013052D">
      <w:pPr>
        <w:pStyle w:val="FootnoteText"/>
        <w:rPr>
          <w:i/>
        </w:rPr>
      </w:pPr>
      <w:r>
        <w:rPr>
          <w:rStyle w:val="FootnoteReference"/>
        </w:rPr>
        <w:footnoteRef/>
      </w:r>
      <w:r>
        <w:t xml:space="preserve"> Cf. D. S. Williams, </w:t>
      </w:r>
      <w:r>
        <w:rPr>
          <w:i/>
        </w:rPr>
        <w:t xml:space="preserve">Sisters in the Wilderness </w:t>
      </w:r>
      <w:r>
        <w:t xml:space="preserve">(Maryknoll, NY: Orbis, 1993), 4 (see further15-33); also De La Torre, </w:t>
      </w:r>
      <w:r w:rsidRPr="00D81529">
        <w:rPr>
          <w:i/>
        </w:rPr>
        <w:t>Genesis</w:t>
      </w:r>
      <w:r>
        <w:t xml:space="preserve">, 171; Trible, </w:t>
      </w:r>
      <w:r>
        <w:rPr>
          <w:i/>
        </w:rPr>
        <w:t>Texts of Terror</w:t>
      </w:r>
      <w:r>
        <w:t xml:space="preserve">, 9-35; Y. Sherwood, “Hagar and Ishmael,” </w:t>
      </w:r>
      <w:r>
        <w:rPr>
          <w:i/>
        </w:rPr>
        <w:t xml:space="preserve">Interpretation </w:t>
      </w:r>
      <w:r>
        <w:t xml:space="preserve">68 (2014): 286-304; S. R. Andrews, “Genesis 16:1-16,” </w:t>
      </w:r>
      <w:r>
        <w:rPr>
          <w:i/>
        </w:rPr>
        <w:t>Interpretation</w:t>
      </w:r>
      <w:r>
        <w:t xml:space="preserve"> 68 (2014): 305-7. E. Durant (“It’s Complicated,” </w:t>
      </w:r>
      <w:r>
        <w:rPr>
          <w:i/>
        </w:rPr>
        <w:t xml:space="preserve">Conversations with the Biblical World </w:t>
      </w:r>
      <w:r>
        <w:t xml:space="preserve">35 [2015]: 78-93) reflects on the task of interpreting the text when one does not belong to the margins. </w:t>
      </w:r>
    </w:p>
  </w:footnote>
  <w:footnote w:id="301">
    <w:p w14:paraId="21EF1156" w14:textId="77777777" w:rsidR="000438B1" w:rsidRPr="00A6680C" w:rsidRDefault="000438B1" w:rsidP="0013052D">
      <w:pPr>
        <w:pStyle w:val="FootnoteText"/>
        <w:rPr>
          <w:i/>
        </w:rPr>
      </w:pPr>
      <w:r>
        <w:rPr>
          <w:rStyle w:val="FootnoteReference"/>
        </w:rPr>
        <w:footnoteRef/>
      </w:r>
      <w:r>
        <w:t xml:space="preserve"> Schneider, </w:t>
      </w:r>
      <w:r w:rsidRPr="00A6680C">
        <w:rPr>
          <w:i/>
        </w:rPr>
        <w:t>Mothers of Promise</w:t>
      </w:r>
      <w:r>
        <w:t>, 103.</w:t>
      </w:r>
    </w:p>
  </w:footnote>
  <w:footnote w:id="302">
    <w:p w14:paraId="47D3AAC6" w14:textId="2C0CBDE9" w:rsidR="000438B1" w:rsidRPr="000D2F32" w:rsidRDefault="000438B1" w:rsidP="00214784">
      <w:pPr>
        <w:pStyle w:val="FootnoteText"/>
      </w:pPr>
      <w:r>
        <w:rPr>
          <w:rStyle w:val="FootnoteReference"/>
        </w:rPr>
        <w:footnoteRef/>
      </w:r>
      <w:r>
        <w:t xml:space="preserve"> For Africa itself, see C. Shisanya, “A reflection on the Hagar Narratives in Genesis through the Eyes of a Kenyan Woman,” in M. Getui et al. (eds.), </w:t>
      </w:r>
      <w:r>
        <w:rPr>
          <w:i/>
        </w:rPr>
        <w:t>Interpreting the Old Testament in Africa</w:t>
      </w:r>
      <w:r>
        <w:t xml:space="preserve"> (New York: Lang, 2001), 147-51; and for Iraq, Sherwood, “Hagar and Ishmael,” 302.</w:t>
      </w:r>
    </w:p>
  </w:footnote>
  <w:footnote w:id="303">
    <w:p w14:paraId="6A111A57" w14:textId="77777777" w:rsidR="000438B1" w:rsidRPr="0027472B" w:rsidRDefault="000438B1" w:rsidP="0013052D">
      <w:pPr>
        <w:pStyle w:val="FootnoteText"/>
      </w:pPr>
      <w:r>
        <w:rPr>
          <w:rStyle w:val="FootnoteReference"/>
        </w:rPr>
        <w:footnoteRef/>
      </w:r>
      <w:r>
        <w:t xml:space="preserve"> D. S. Williams, </w:t>
      </w:r>
      <w:r>
        <w:rPr>
          <w:i/>
        </w:rPr>
        <w:t>Sisters in the Wilderness</w:t>
      </w:r>
      <w:r>
        <w:t xml:space="preserve"> (Maryknoll, NY: Orbis, 1993), 199.</w:t>
      </w:r>
    </w:p>
  </w:footnote>
  <w:footnote w:id="304">
    <w:p w14:paraId="39F6F1F5" w14:textId="77777777" w:rsidR="000438B1" w:rsidRPr="0027472B" w:rsidRDefault="000438B1" w:rsidP="00214784">
      <w:pPr>
        <w:pStyle w:val="FootnoteText"/>
      </w:pPr>
      <w:r>
        <w:rPr>
          <w:rStyle w:val="FootnoteReference"/>
        </w:rPr>
        <w:footnoteRef/>
      </w:r>
      <w:r>
        <w:t xml:space="preserve"> K. D. Sakenfeld, </w:t>
      </w:r>
      <w:r>
        <w:rPr>
          <w:i/>
        </w:rPr>
        <w:t>Just Wives</w:t>
      </w:r>
      <w:r>
        <w:t xml:space="preserve"> (Louisville: WJK, 2003), 7-25 (7, 21-22).</w:t>
      </w:r>
    </w:p>
  </w:footnote>
  <w:footnote w:id="305">
    <w:p w14:paraId="6A05AFCC" w14:textId="37E56D3B" w:rsidR="000438B1" w:rsidRPr="00EB47EA" w:rsidRDefault="000438B1">
      <w:pPr>
        <w:pStyle w:val="FootnoteText"/>
      </w:pPr>
      <w:r>
        <w:rPr>
          <w:rStyle w:val="FootnoteReference"/>
        </w:rPr>
        <w:footnoteRef/>
      </w:r>
      <w:r>
        <w:t xml:space="preserve"> Wenham, </w:t>
      </w:r>
      <w:r>
        <w:rPr>
          <w:i/>
        </w:rPr>
        <w:t>Genesis 16—50</w:t>
      </w:r>
      <w:r>
        <w:t>, 16. But the discussion of “Hagar and Ismael” above notes that the concentric structure of Gen 12—22 works against that suggestion.</w:t>
      </w:r>
    </w:p>
  </w:footnote>
  <w:footnote w:id="306">
    <w:p w14:paraId="773612F4" w14:textId="77777777" w:rsidR="000438B1" w:rsidRPr="001B3D2E" w:rsidRDefault="000438B1">
      <w:pPr>
        <w:pStyle w:val="FootnoteText"/>
      </w:pPr>
      <w:r>
        <w:rPr>
          <w:rStyle w:val="FootnoteReference"/>
        </w:rPr>
        <w:footnoteRef/>
      </w:r>
      <w:r>
        <w:t xml:space="preserve"> A cohortative follows on the imperative—you bind yourself to acting and I then bind myself to acting (cf. </w:t>
      </w:r>
      <w:r>
        <w:rPr>
          <w:i/>
        </w:rPr>
        <w:t xml:space="preserve">IBHS </w:t>
      </w:r>
      <w:r>
        <w:t>34.6).</w:t>
      </w:r>
    </w:p>
  </w:footnote>
  <w:footnote w:id="307">
    <w:p w14:paraId="7081FF6B" w14:textId="77777777" w:rsidR="000438B1" w:rsidRPr="0014500E" w:rsidRDefault="000438B1">
      <w:pPr>
        <w:pStyle w:val="FootnoteText"/>
      </w:pPr>
      <w:r>
        <w:rPr>
          <w:rStyle w:val="FootnoteReference"/>
        </w:rPr>
        <w:footnoteRef/>
      </w:r>
      <w:r>
        <w:t xml:space="preserve"> The performative/declaratory qatal suggests a speech act, “I hereby make you” (cf. Seebass, </w:t>
      </w:r>
      <w:r w:rsidRPr="00CD3E96">
        <w:rPr>
          <w:i/>
        </w:rPr>
        <w:t>Genesis</w:t>
      </w:r>
      <w:r>
        <w:t xml:space="preserve"> 2/1:97), followed by </w:t>
      </w:r>
      <w:r>
        <w:rPr>
          <w:i/>
        </w:rPr>
        <w:t>waw</w:t>
      </w:r>
      <w:r>
        <w:t>-consecutives; the sequence recurs in vv. 16 and 20.</w:t>
      </w:r>
    </w:p>
  </w:footnote>
  <w:footnote w:id="308">
    <w:p w14:paraId="4630918C" w14:textId="77777777" w:rsidR="000438B1" w:rsidRDefault="000438B1" w:rsidP="0090352B">
      <w:pPr>
        <w:pStyle w:val="FootnoteText"/>
      </w:pPr>
      <w:r>
        <w:rPr>
          <w:rStyle w:val="FootnoteReference"/>
        </w:rPr>
        <w:footnoteRef/>
      </w:r>
      <w:r>
        <w:t xml:space="preserve"> MT moves to plural “you” at this point; LXX has singular here but plural later in the verse.</w:t>
      </w:r>
    </w:p>
  </w:footnote>
  <w:footnote w:id="309">
    <w:p w14:paraId="504C946E" w14:textId="2A7B859F" w:rsidR="000438B1" w:rsidRPr="0079652A" w:rsidRDefault="000438B1" w:rsidP="00422FE4">
      <w:pPr>
        <w:pStyle w:val="FootnoteText"/>
      </w:pPr>
      <w:r>
        <w:rPr>
          <w:rStyle w:val="FootnoteReference"/>
        </w:rPr>
        <w:footnoteRef/>
      </w:r>
      <w:r>
        <w:t xml:space="preserve"> For </w:t>
      </w:r>
      <w:r>
        <w:rPr>
          <w:i/>
        </w:rPr>
        <w:t>lākem</w:t>
      </w:r>
      <w:r>
        <w:t xml:space="preserve"> LXX, Vg have “[every male] of you,” but the word order suggests something more like </w:t>
      </w:r>
      <w:r>
        <w:rPr>
          <w:i/>
        </w:rPr>
        <w:t>lᵉ</w:t>
      </w:r>
      <w:r>
        <w:t xml:space="preserve"> of agency as in 14:17; 31:15 (cf. BDB 514a; R. Althann, “</w:t>
      </w:r>
      <w:r>
        <w:rPr>
          <w:i/>
        </w:rPr>
        <w:t>mwl</w:t>
      </w:r>
      <w:r>
        <w:t xml:space="preserve">, ‘Circumcise,’ with the </w:t>
      </w:r>
      <w:r>
        <w:rPr>
          <w:i/>
        </w:rPr>
        <w:t xml:space="preserve">lamedh </w:t>
      </w:r>
      <w:r>
        <w:t xml:space="preserve">of Agency,” </w:t>
      </w:r>
      <w:r>
        <w:rPr>
          <w:i/>
        </w:rPr>
        <w:t xml:space="preserve">Biblica </w:t>
      </w:r>
      <w:r>
        <w:t>62 [1981]: 239-40).</w:t>
      </w:r>
    </w:p>
  </w:footnote>
  <w:footnote w:id="310">
    <w:p w14:paraId="24E7215F" w14:textId="77777777" w:rsidR="000438B1" w:rsidRDefault="000438B1">
      <w:pPr>
        <w:pStyle w:val="FootnoteText"/>
      </w:pPr>
      <w:r>
        <w:rPr>
          <w:rStyle w:val="FootnoteReference"/>
        </w:rPr>
        <w:footnoteRef/>
      </w:r>
      <w:r>
        <w:t xml:space="preserve"> On the form of the verb and the construction, see GK 67dd, 121d.</w:t>
      </w:r>
    </w:p>
  </w:footnote>
  <w:footnote w:id="311">
    <w:p w14:paraId="5CE2C611" w14:textId="116D6AD2" w:rsidR="000438B1" w:rsidRPr="002C251C" w:rsidRDefault="000438B1" w:rsidP="00A270D0">
      <w:pPr>
        <w:pStyle w:val="FootnoteText"/>
      </w:pPr>
      <w:r w:rsidRPr="002C251C">
        <w:rPr>
          <w:rStyle w:val="FootnoteReference"/>
        </w:rPr>
        <w:footnoteRef/>
      </w:r>
      <w:r>
        <w:t xml:space="preserve"> The infinitive</w:t>
      </w:r>
      <w:r w:rsidRPr="002C251C">
        <w:t xml:space="preserve"> precedes the finite verb for emphasis: </w:t>
      </w:r>
      <w:r>
        <w:t>literally, “with circumcising he is to be circumcised</w:t>
      </w:r>
      <w:r w:rsidRPr="002C251C">
        <w:t>.”</w:t>
      </w:r>
    </w:p>
  </w:footnote>
  <w:footnote w:id="312">
    <w:p w14:paraId="51F7F215" w14:textId="7B2C8131" w:rsidR="000438B1" w:rsidRPr="00604F14" w:rsidRDefault="000438B1" w:rsidP="00604F14">
      <w:pPr>
        <w:pStyle w:val="FootnoteText"/>
      </w:pPr>
      <w:r>
        <w:rPr>
          <w:rStyle w:val="FootnoteReference"/>
        </w:rPr>
        <w:footnoteRef/>
      </w:r>
      <w:r>
        <w:t xml:space="preserve"> LXX adds “on the eighth day,” which M. Thiessen (“</w:t>
      </w:r>
      <w:r w:rsidRPr="00604F14">
        <w:rPr>
          <w:bCs/>
        </w:rPr>
        <w:t>The Text of Genesis 17:14</w:t>
      </w:r>
      <w:r>
        <w:rPr>
          <w:bCs/>
        </w:rPr>
        <w:t xml:space="preserve">,” </w:t>
      </w:r>
      <w:r>
        <w:rPr>
          <w:bCs/>
          <w:i/>
        </w:rPr>
        <w:t>JBL</w:t>
      </w:r>
      <w:r>
        <w:rPr>
          <w:bCs/>
        </w:rPr>
        <w:t xml:space="preserve"> 128 [2009]: 625-42) suggests is the older reading.</w:t>
      </w:r>
    </w:p>
  </w:footnote>
  <w:footnote w:id="313">
    <w:p w14:paraId="300EEECA" w14:textId="77777777" w:rsidR="000438B1" w:rsidRPr="00121F4A" w:rsidRDefault="000438B1">
      <w:pPr>
        <w:pStyle w:val="FootnoteText"/>
      </w:pPr>
      <w:r>
        <w:rPr>
          <w:rStyle w:val="FootnoteReference"/>
        </w:rPr>
        <w:footnoteRef/>
      </w:r>
      <w:r>
        <w:t xml:space="preserve"> LXX “scattered,” Vg “made invalid,” EVV “broken” over-translate. </w:t>
      </w:r>
      <w:r>
        <w:rPr>
          <w:i/>
        </w:rPr>
        <w:t>Pārar</w:t>
      </w:r>
      <w:r>
        <w:t xml:space="preserve"> hiphil is the opposite of </w:t>
      </w:r>
      <w:r>
        <w:rPr>
          <w:i/>
        </w:rPr>
        <w:t>šāmar</w:t>
      </w:r>
      <w:r>
        <w:t xml:space="preserve"> (v. 9), not the opposite of </w:t>
      </w:r>
      <w:r>
        <w:rPr>
          <w:i/>
        </w:rPr>
        <w:t>qûm</w:t>
      </w:r>
      <w:r>
        <w:t xml:space="preserve"> hiphil (cf. Skinner, </w:t>
      </w:r>
      <w:r>
        <w:rPr>
          <w:i/>
        </w:rPr>
        <w:t>Genesis</w:t>
      </w:r>
      <w:r>
        <w:t>, 293).</w:t>
      </w:r>
    </w:p>
  </w:footnote>
  <w:footnote w:id="314">
    <w:p w14:paraId="31F6D255" w14:textId="77777777" w:rsidR="000438B1" w:rsidRPr="00A26094" w:rsidRDefault="000438B1">
      <w:pPr>
        <w:pStyle w:val="FootnoteText"/>
      </w:pPr>
      <w:r>
        <w:rPr>
          <w:rStyle w:val="FootnoteReference"/>
        </w:rPr>
        <w:footnoteRef/>
      </w:r>
      <w:r>
        <w:t xml:space="preserve"> More literally, “she will be nations; kings of peoples from her will be”—complementary clauses that work by parataxis in abb’a’ order. In v. 16b some LXX mss, Vg have “bless him… he will become… from him” (cf. Tal, </w:t>
      </w:r>
      <w:r>
        <w:rPr>
          <w:i/>
        </w:rPr>
        <w:t>Genesis</w:t>
      </w:r>
      <w:r>
        <w:t>, 120*).</w:t>
      </w:r>
    </w:p>
  </w:footnote>
  <w:footnote w:id="315">
    <w:p w14:paraId="64EFC957" w14:textId="77777777" w:rsidR="000438B1" w:rsidRDefault="000438B1">
      <w:pPr>
        <w:pStyle w:val="FootnoteText"/>
      </w:pPr>
      <w:r>
        <w:rPr>
          <w:rStyle w:val="FootnoteReference"/>
        </w:rPr>
        <w:footnoteRef/>
      </w:r>
      <w:r>
        <w:t xml:space="preserve"> </w:t>
      </w:r>
      <w:r w:rsidRPr="008D04D9">
        <w:rPr>
          <w:i/>
        </w:rPr>
        <w:t>Jub</w:t>
      </w:r>
      <w:r>
        <w:rPr>
          <w:i/>
        </w:rPr>
        <w:t xml:space="preserve"> </w:t>
      </w:r>
      <w:r>
        <w:t xml:space="preserve">15:17 and </w:t>
      </w:r>
      <w:proofErr w:type="gramStart"/>
      <w:r>
        <w:t>Tg</w:t>
      </w:r>
      <w:proofErr w:type="gramEnd"/>
      <w:r>
        <w:t xml:space="preserve"> have “rejoiced” or “wondered.”</w:t>
      </w:r>
    </w:p>
  </w:footnote>
  <w:footnote w:id="316">
    <w:p w14:paraId="5E0BECDD" w14:textId="77777777" w:rsidR="000438B1" w:rsidRDefault="000438B1">
      <w:pPr>
        <w:pStyle w:val="FootnoteText"/>
      </w:pPr>
      <w:r>
        <w:rPr>
          <w:rStyle w:val="FootnoteReference"/>
        </w:rPr>
        <w:footnoteRef/>
      </w:r>
      <w:r>
        <w:t xml:space="preserve"> The double question is formulated in an odd way, highlighting the expression of incredulity (GK 150g).</w:t>
      </w:r>
    </w:p>
  </w:footnote>
  <w:footnote w:id="317">
    <w:p w14:paraId="0A8AC776" w14:textId="77777777" w:rsidR="000438B1" w:rsidRPr="007F178A" w:rsidRDefault="000438B1">
      <w:pPr>
        <w:pStyle w:val="FootnoteText"/>
      </w:pPr>
      <w:r>
        <w:rPr>
          <w:rStyle w:val="FootnoteReference"/>
        </w:rPr>
        <w:footnoteRef/>
      </w:r>
      <w:r>
        <w:t xml:space="preserve"> LXX, Vg translate </w:t>
      </w:r>
      <w:r>
        <w:rPr>
          <w:i/>
        </w:rPr>
        <w:t>wayya‘al</w:t>
      </w:r>
      <w:r>
        <w:t xml:space="preserve"> more literally, “went up,” but the verb can refer (e.g.) to enemies withdrawing (e.g., 1 Kings 15:19), and it does not imply God going up into the heavens—God did not come down from there (v. 1). God “appears” rather than “comes down,” except in connection with Sinai.</w:t>
      </w:r>
    </w:p>
  </w:footnote>
  <w:footnote w:id="318">
    <w:p w14:paraId="674B98F1" w14:textId="174F4E75" w:rsidR="000438B1" w:rsidRPr="0064460D" w:rsidRDefault="000438B1">
      <w:pPr>
        <w:pStyle w:val="FootnoteText"/>
      </w:pPr>
      <w:r>
        <w:rPr>
          <w:rStyle w:val="FootnoteReference"/>
        </w:rPr>
        <w:footnoteRef/>
      </w:r>
      <w:r>
        <w:t xml:space="preserve"> The </w:t>
      </w:r>
      <w:r>
        <w:rPr>
          <w:i/>
        </w:rPr>
        <w:t>’</w:t>
      </w:r>
      <w:proofErr w:type="gramStart"/>
      <w:r>
        <w:rPr>
          <w:i/>
        </w:rPr>
        <w:t>et</w:t>
      </w:r>
      <w:proofErr w:type="gramEnd"/>
      <w:r>
        <w:rPr>
          <w:i/>
        </w:rPr>
        <w:t xml:space="preserve"> </w:t>
      </w:r>
      <w:r>
        <w:t>which appears in vv. 11, 14, 25 does not appear here (SP supplies it).</w:t>
      </w:r>
    </w:p>
  </w:footnote>
  <w:footnote w:id="319">
    <w:p w14:paraId="09129FEF" w14:textId="77777777" w:rsidR="000438B1" w:rsidRPr="00C50FEB" w:rsidRDefault="000438B1">
      <w:pPr>
        <w:pStyle w:val="FootnoteText"/>
      </w:pPr>
      <w:r>
        <w:rPr>
          <w:rStyle w:val="FootnoteReference"/>
        </w:rPr>
        <w:footnoteRef/>
      </w:r>
      <w:r>
        <w:t xml:space="preserve"> Cf. e.g., Westermann, </w:t>
      </w:r>
      <w:r>
        <w:rPr>
          <w:i/>
        </w:rPr>
        <w:t>Genesis 12—36</w:t>
      </w:r>
      <w:r>
        <w:t>, 254.</w:t>
      </w:r>
    </w:p>
  </w:footnote>
  <w:footnote w:id="320">
    <w:p w14:paraId="2A8E51CB" w14:textId="77777777" w:rsidR="000438B1" w:rsidRPr="00E64244" w:rsidRDefault="000438B1">
      <w:pPr>
        <w:pStyle w:val="FootnoteText"/>
      </w:pPr>
      <w:r>
        <w:rPr>
          <w:rStyle w:val="FootnoteReference"/>
        </w:rPr>
        <w:footnoteRef/>
      </w:r>
      <w:r>
        <w:t xml:space="preserve"> Cf. Coats, </w:t>
      </w:r>
      <w:r>
        <w:rPr>
          <w:i/>
        </w:rPr>
        <w:t>Genesis</w:t>
      </w:r>
      <w:r>
        <w:t>, 136.</w:t>
      </w:r>
    </w:p>
  </w:footnote>
  <w:footnote w:id="321">
    <w:p w14:paraId="30E4948A" w14:textId="77777777" w:rsidR="000438B1" w:rsidRPr="00076512" w:rsidRDefault="000438B1">
      <w:pPr>
        <w:pStyle w:val="FootnoteText"/>
      </w:pPr>
      <w:r>
        <w:rPr>
          <w:rStyle w:val="FootnoteReference"/>
        </w:rPr>
        <w:footnoteRef/>
      </w:r>
      <w:r>
        <w:t xml:space="preserve"> Cf. Gunkel, </w:t>
      </w:r>
      <w:r>
        <w:rPr>
          <w:i/>
        </w:rPr>
        <w:t>Genesis</w:t>
      </w:r>
      <w:r>
        <w:t>, 263.</w:t>
      </w:r>
    </w:p>
  </w:footnote>
  <w:footnote w:id="322">
    <w:p w14:paraId="4C234A06" w14:textId="77777777" w:rsidR="000438B1" w:rsidRPr="00604C91" w:rsidRDefault="000438B1">
      <w:pPr>
        <w:pStyle w:val="FootnoteText"/>
      </w:pPr>
      <w:r>
        <w:rPr>
          <w:rStyle w:val="FootnoteReference"/>
        </w:rPr>
        <w:footnoteRef/>
      </w:r>
      <w:r>
        <w:t xml:space="preserve"> Wenham further details the development in the promises (</w:t>
      </w:r>
      <w:r>
        <w:rPr>
          <w:i/>
        </w:rPr>
        <w:t>Genesis 16—50</w:t>
      </w:r>
      <w:r>
        <w:t>, 16-17).</w:t>
      </w:r>
    </w:p>
  </w:footnote>
  <w:footnote w:id="323">
    <w:p w14:paraId="2E993D8A" w14:textId="3CA2A4CF" w:rsidR="000438B1" w:rsidRDefault="000438B1">
      <w:pPr>
        <w:pStyle w:val="FootnoteText"/>
      </w:pPr>
      <w:r>
        <w:rPr>
          <w:rStyle w:val="FootnoteReference"/>
        </w:rPr>
        <w:footnoteRef/>
      </w:r>
      <w:r>
        <w:t xml:space="preserve"> Cf. the discussion of “The Promise of Land” at the end of the comments on Gen 15 above.</w:t>
      </w:r>
    </w:p>
  </w:footnote>
  <w:footnote w:id="324">
    <w:p w14:paraId="00DBA47F" w14:textId="77777777" w:rsidR="000438B1" w:rsidRPr="00DB4DE1" w:rsidRDefault="000438B1" w:rsidP="00F159BF">
      <w:pPr>
        <w:pStyle w:val="FootnoteText"/>
      </w:pPr>
      <w:r>
        <w:rPr>
          <w:rStyle w:val="FootnoteReference"/>
        </w:rPr>
        <w:footnoteRef/>
      </w:r>
      <w:r>
        <w:t xml:space="preserve"> And see the extensive expansion of Gen 17 in </w:t>
      </w:r>
      <w:r>
        <w:rPr>
          <w:i/>
        </w:rPr>
        <w:t>Jub</w:t>
      </w:r>
      <w:r>
        <w:t xml:space="preserve"> 15 (see e.g., Segal, </w:t>
      </w:r>
      <w:r>
        <w:rPr>
          <w:i/>
        </w:rPr>
        <w:t xml:space="preserve">The Book of Jubilees, </w:t>
      </w:r>
      <w:r>
        <w:t xml:space="preserve">229-45; van Ruiten, </w:t>
      </w:r>
      <w:r>
        <w:rPr>
          <w:i/>
        </w:rPr>
        <w:t>Abraham in the Book of Jubilees</w:t>
      </w:r>
      <w:r>
        <w:t>,</w:t>
      </w:r>
      <w:r>
        <w:rPr>
          <w:i/>
        </w:rPr>
        <w:t xml:space="preserve"> </w:t>
      </w:r>
      <w:r>
        <w:t>137-67).</w:t>
      </w:r>
    </w:p>
  </w:footnote>
  <w:footnote w:id="325">
    <w:p w14:paraId="05424739" w14:textId="77777777" w:rsidR="000438B1" w:rsidRPr="00E74B3D" w:rsidRDefault="000438B1">
      <w:pPr>
        <w:pStyle w:val="FootnoteText"/>
      </w:pPr>
      <w:r>
        <w:rPr>
          <w:rStyle w:val="FootnoteReference"/>
        </w:rPr>
        <w:footnoteRef/>
      </w:r>
      <w:r>
        <w:t xml:space="preserve"> Cf. van Dijk-Hemmes, </w:t>
      </w:r>
      <w:r>
        <w:rPr>
          <w:i/>
        </w:rPr>
        <w:t>The Double Voice of Her Desire</w:t>
      </w:r>
      <w:r>
        <w:t>, 46.</w:t>
      </w:r>
    </w:p>
  </w:footnote>
  <w:footnote w:id="326">
    <w:p w14:paraId="5AB31A31" w14:textId="152C8BA2" w:rsidR="000438B1" w:rsidRPr="00716726" w:rsidRDefault="000438B1">
      <w:pPr>
        <w:pStyle w:val="FootnoteText"/>
      </w:pPr>
      <w:r>
        <w:rPr>
          <w:rStyle w:val="FootnoteReference"/>
        </w:rPr>
        <w:footnoteRef/>
      </w:r>
      <w:r>
        <w:t xml:space="preserve"> But it’s also been suggested that the original P version of the story lacked the rule about circumcision in vv. 9-14: see Seebass, </w:t>
      </w:r>
      <w:r w:rsidRPr="00CD3E96">
        <w:rPr>
          <w:i/>
        </w:rPr>
        <w:t>Genesis</w:t>
      </w:r>
      <w:r>
        <w:t xml:space="preserve"> 2/1:111-12.</w:t>
      </w:r>
    </w:p>
  </w:footnote>
  <w:footnote w:id="327">
    <w:p w14:paraId="2400AFE3" w14:textId="77777777" w:rsidR="000438B1" w:rsidRPr="00A01FAF" w:rsidRDefault="000438B1" w:rsidP="00E53F28">
      <w:pPr>
        <w:pStyle w:val="FootnoteText"/>
      </w:pPr>
      <w:r>
        <w:rPr>
          <w:rStyle w:val="FootnoteReference"/>
        </w:rPr>
        <w:footnoteRef/>
      </w:r>
      <w:r>
        <w:t xml:space="preserve"> Origen, </w:t>
      </w:r>
      <w:r>
        <w:rPr>
          <w:i/>
        </w:rPr>
        <w:t>Genesis and Exodus</w:t>
      </w:r>
      <w:r>
        <w:t>, 92.</w:t>
      </w:r>
    </w:p>
  </w:footnote>
  <w:footnote w:id="328">
    <w:p w14:paraId="49686923" w14:textId="77777777" w:rsidR="000438B1" w:rsidRPr="00C86AB5" w:rsidRDefault="000438B1" w:rsidP="00E53F28">
      <w:pPr>
        <w:pStyle w:val="FootnoteText"/>
      </w:pPr>
      <w:r>
        <w:rPr>
          <w:rStyle w:val="FootnoteReference"/>
        </w:rPr>
        <w:footnoteRef/>
      </w:r>
      <w:r>
        <w:t xml:space="preserve"> Cf. Speiser, </w:t>
      </w:r>
      <w:r>
        <w:rPr>
          <w:i/>
        </w:rPr>
        <w:t>Genesis</w:t>
      </w:r>
      <w:r>
        <w:t>, 126.</w:t>
      </w:r>
    </w:p>
  </w:footnote>
  <w:footnote w:id="329">
    <w:p w14:paraId="45963D1B" w14:textId="7E84A900" w:rsidR="000438B1" w:rsidRPr="00DF2DC1" w:rsidRDefault="000438B1">
      <w:pPr>
        <w:pStyle w:val="FootnoteText"/>
      </w:pPr>
      <w:r>
        <w:rPr>
          <w:rStyle w:val="FootnoteReference"/>
        </w:rPr>
        <w:footnoteRef/>
      </w:r>
      <w:r>
        <w:t xml:space="preserve"> Cf. Seebass, </w:t>
      </w:r>
      <w:r w:rsidRPr="00CD3E96">
        <w:rPr>
          <w:i/>
        </w:rPr>
        <w:t>Genesis</w:t>
      </w:r>
      <w:r>
        <w:t xml:space="preserve"> 2/1:100. But also see further the comments on 49:25a.</w:t>
      </w:r>
    </w:p>
  </w:footnote>
  <w:footnote w:id="330">
    <w:p w14:paraId="2FB30309" w14:textId="77777777" w:rsidR="000438B1" w:rsidRPr="00C035A6" w:rsidRDefault="000438B1">
      <w:pPr>
        <w:pStyle w:val="FootnoteText"/>
      </w:pPr>
      <w:r>
        <w:rPr>
          <w:rStyle w:val="FootnoteReference"/>
        </w:rPr>
        <w:footnoteRef/>
      </w:r>
      <w:r>
        <w:t xml:space="preserve"> Cf. Driver, </w:t>
      </w:r>
      <w:r>
        <w:rPr>
          <w:i/>
        </w:rPr>
        <w:t>Genesis</w:t>
      </w:r>
      <w:r>
        <w:t>, 185.</w:t>
      </w:r>
    </w:p>
  </w:footnote>
  <w:footnote w:id="331">
    <w:p w14:paraId="01883C07" w14:textId="77777777" w:rsidR="000438B1" w:rsidRPr="00AD53C1" w:rsidRDefault="000438B1">
      <w:pPr>
        <w:pStyle w:val="FootnoteText"/>
      </w:pPr>
      <w:r>
        <w:rPr>
          <w:rStyle w:val="FootnoteReference"/>
        </w:rPr>
        <w:footnoteRef/>
      </w:r>
      <w:r>
        <w:t xml:space="preserve"> Andrew of Saint Victor, </w:t>
      </w:r>
      <w:r>
        <w:rPr>
          <w:i/>
        </w:rPr>
        <w:t>Exposition on Genesis</w:t>
      </w:r>
      <w:r>
        <w:t>,</w:t>
      </w:r>
      <w:r>
        <w:rPr>
          <w:i/>
        </w:rPr>
        <w:t xml:space="preserve"> </w:t>
      </w:r>
      <w:r>
        <w:t xml:space="preserve">as quoted in Schroeder, </w:t>
      </w:r>
      <w:r>
        <w:rPr>
          <w:i/>
        </w:rPr>
        <w:t>Genesis</w:t>
      </w:r>
      <w:r>
        <w:t>, 144.</w:t>
      </w:r>
    </w:p>
  </w:footnote>
  <w:footnote w:id="332">
    <w:p w14:paraId="62737E28" w14:textId="1332410A" w:rsidR="000438B1" w:rsidRPr="00C353BE" w:rsidRDefault="000438B1">
      <w:pPr>
        <w:pStyle w:val="FootnoteText"/>
      </w:pPr>
      <w:r>
        <w:rPr>
          <w:rStyle w:val="FootnoteReference"/>
        </w:rPr>
        <w:footnoteRef/>
      </w:r>
      <w:r>
        <w:t xml:space="preserve"> Westermann, </w:t>
      </w:r>
      <w:r>
        <w:rPr>
          <w:i/>
        </w:rPr>
        <w:t>Genesis 12—36</w:t>
      </w:r>
      <w:r>
        <w:t>, 259. See further the comments on 9:9.</w:t>
      </w:r>
    </w:p>
  </w:footnote>
  <w:footnote w:id="333">
    <w:p w14:paraId="03BBA56B" w14:textId="77777777" w:rsidR="000438B1" w:rsidRDefault="000438B1">
      <w:pPr>
        <w:pStyle w:val="FootnoteText"/>
      </w:pPr>
      <w:r>
        <w:rPr>
          <w:rStyle w:val="FootnoteReference"/>
        </w:rPr>
        <w:footnoteRef/>
      </w:r>
      <w:r>
        <w:t xml:space="preserve"> Rashi, </w:t>
      </w:r>
      <w:r w:rsidRPr="00C823F3">
        <w:rPr>
          <w:i/>
        </w:rPr>
        <w:t>Br’šyt</w:t>
      </w:r>
      <w:r w:rsidRPr="00C823F3">
        <w:t>,</w:t>
      </w:r>
      <w:r>
        <w:t xml:space="preserve"> 161.</w:t>
      </w:r>
    </w:p>
  </w:footnote>
  <w:footnote w:id="334">
    <w:p w14:paraId="50C5B37E" w14:textId="77777777" w:rsidR="000438B1" w:rsidRPr="00A63519" w:rsidRDefault="000438B1">
      <w:pPr>
        <w:pStyle w:val="FootnoteText"/>
      </w:pPr>
      <w:r>
        <w:rPr>
          <w:rStyle w:val="FootnoteReference"/>
        </w:rPr>
        <w:footnoteRef/>
      </w:r>
      <w:r>
        <w:t xml:space="preserve"> Blenkinsopp, </w:t>
      </w:r>
      <w:r>
        <w:rPr>
          <w:i/>
        </w:rPr>
        <w:t>Abraham</w:t>
      </w:r>
      <w:r>
        <w:t>, 104.</w:t>
      </w:r>
    </w:p>
  </w:footnote>
  <w:footnote w:id="335">
    <w:p w14:paraId="4B83B666" w14:textId="77777777" w:rsidR="000438B1" w:rsidRPr="00076512" w:rsidRDefault="000438B1" w:rsidP="00C353BE">
      <w:pPr>
        <w:pStyle w:val="FootnoteText"/>
      </w:pPr>
      <w:r>
        <w:rPr>
          <w:rStyle w:val="FootnoteReference"/>
        </w:rPr>
        <w:footnoteRef/>
      </w:r>
      <w:r>
        <w:t xml:space="preserve"> Gunkel, </w:t>
      </w:r>
      <w:r>
        <w:rPr>
          <w:i/>
        </w:rPr>
        <w:t>Genesis</w:t>
      </w:r>
      <w:r>
        <w:t>, 263.</w:t>
      </w:r>
    </w:p>
  </w:footnote>
  <w:footnote w:id="336">
    <w:p w14:paraId="16F947CA" w14:textId="77777777" w:rsidR="000438B1" w:rsidRPr="00957D6A" w:rsidRDefault="000438B1" w:rsidP="007D2CC1">
      <w:pPr>
        <w:pStyle w:val="FootnoteText"/>
      </w:pPr>
      <w:r>
        <w:rPr>
          <w:rStyle w:val="FootnoteReference"/>
        </w:rPr>
        <w:footnoteRef/>
      </w:r>
      <w:r>
        <w:t xml:space="preserve"> Cf. J. Niehaus, “God’s Covenant with Abraham,” </w:t>
      </w:r>
      <w:r>
        <w:rPr>
          <w:i/>
        </w:rPr>
        <w:t>JETS</w:t>
      </w:r>
      <w:r>
        <w:t xml:space="preserve"> 56 (2013): 249-71.</w:t>
      </w:r>
    </w:p>
  </w:footnote>
  <w:footnote w:id="337">
    <w:p w14:paraId="7443D6F6" w14:textId="77777777" w:rsidR="000438B1" w:rsidRPr="00A87EF7" w:rsidRDefault="000438B1">
      <w:pPr>
        <w:pStyle w:val="FootnoteText"/>
      </w:pPr>
      <w:r>
        <w:rPr>
          <w:rStyle w:val="FootnoteReference"/>
        </w:rPr>
        <w:footnoteRef/>
      </w:r>
      <w:r>
        <w:t xml:space="preserve"> Cf. Sarna, </w:t>
      </w:r>
      <w:r>
        <w:rPr>
          <w:i/>
        </w:rPr>
        <w:t>Genesis</w:t>
      </w:r>
      <w:r>
        <w:t>, 124.</w:t>
      </w:r>
    </w:p>
  </w:footnote>
  <w:footnote w:id="338">
    <w:p w14:paraId="699A9F9D" w14:textId="77777777" w:rsidR="000438B1" w:rsidRPr="009D7E92" w:rsidRDefault="000438B1">
      <w:pPr>
        <w:pStyle w:val="FootnoteText"/>
      </w:pPr>
      <w:r>
        <w:rPr>
          <w:rStyle w:val="FootnoteReference"/>
        </w:rPr>
        <w:footnoteRef/>
      </w:r>
      <w:r>
        <w:t xml:space="preserve"> Cf. von Rad, </w:t>
      </w:r>
      <w:r>
        <w:rPr>
          <w:i/>
        </w:rPr>
        <w:t>Genesis,</w:t>
      </w:r>
      <w:r>
        <w:t xml:space="preserve"> 194-95.</w:t>
      </w:r>
    </w:p>
  </w:footnote>
  <w:footnote w:id="339">
    <w:p w14:paraId="6BEA3ACD" w14:textId="77777777" w:rsidR="000438B1" w:rsidRPr="006C1AD3" w:rsidRDefault="000438B1">
      <w:pPr>
        <w:pStyle w:val="FootnoteText"/>
      </w:pPr>
      <w:r>
        <w:rPr>
          <w:rStyle w:val="FootnoteReference"/>
        </w:rPr>
        <w:footnoteRef/>
      </w:r>
      <w:r>
        <w:t xml:space="preserve"> See e.g., </w:t>
      </w:r>
      <w:r>
        <w:rPr>
          <w:i/>
        </w:rPr>
        <w:t>HALOT</w:t>
      </w:r>
      <w:r>
        <w:t>.</w:t>
      </w:r>
    </w:p>
  </w:footnote>
  <w:footnote w:id="340">
    <w:p w14:paraId="13DEB27A" w14:textId="77777777" w:rsidR="000438B1" w:rsidRPr="00DF2DC1" w:rsidRDefault="000438B1">
      <w:pPr>
        <w:pStyle w:val="FootnoteText"/>
      </w:pPr>
      <w:r>
        <w:rPr>
          <w:rStyle w:val="FootnoteReference"/>
        </w:rPr>
        <w:footnoteRef/>
      </w:r>
      <w:r>
        <w:t xml:space="preserve"> Cf. Coats, </w:t>
      </w:r>
      <w:r>
        <w:rPr>
          <w:i/>
        </w:rPr>
        <w:t>Genesis</w:t>
      </w:r>
      <w:r>
        <w:t>, 134.</w:t>
      </w:r>
    </w:p>
  </w:footnote>
  <w:footnote w:id="341">
    <w:p w14:paraId="6171AA4A" w14:textId="77777777" w:rsidR="000438B1" w:rsidRPr="00AC7606" w:rsidRDefault="000438B1">
      <w:pPr>
        <w:pStyle w:val="FootnoteText"/>
        <w:rPr>
          <w:i/>
        </w:rPr>
      </w:pPr>
      <w:r>
        <w:rPr>
          <w:rStyle w:val="FootnoteReference"/>
        </w:rPr>
        <w:footnoteRef/>
      </w:r>
      <w:r>
        <w:t xml:space="preserve"> Zimmerli, </w:t>
      </w:r>
      <w:r w:rsidRPr="00AC7606">
        <w:rPr>
          <w:i/>
        </w:rPr>
        <w:t>1. Mose 12—25</w:t>
      </w:r>
      <w:r w:rsidRPr="00AC7606">
        <w:t>,</w:t>
      </w:r>
      <w:r>
        <w:t xml:space="preserve"> 70.</w:t>
      </w:r>
    </w:p>
  </w:footnote>
  <w:footnote w:id="342">
    <w:p w14:paraId="609ECD05" w14:textId="77777777" w:rsidR="000438B1" w:rsidRDefault="000438B1" w:rsidP="00CB6156">
      <w:pPr>
        <w:pStyle w:val="FootnoteText"/>
      </w:pPr>
      <w:r>
        <w:rPr>
          <w:rStyle w:val="FootnoteReference"/>
        </w:rPr>
        <w:footnoteRef/>
      </w:r>
      <w:r>
        <w:t xml:space="preserve"> Fretheim, “Genesis,” 459.</w:t>
      </w:r>
    </w:p>
  </w:footnote>
  <w:footnote w:id="343">
    <w:p w14:paraId="472C277C" w14:textId="77777777" w:rsidR="000438B1" w:rsidRPr="00BD11BB" w:rsidRDefault="000438B1">
      <w:pPr>
        <w:pStyle w:val="FootnoteText"/>
      </w:pPr>
      <w:r>
        <w:rPr>
          <w:rStyle w:val="FootnoteReference"/>
        </w:rPr>
        <w:footnoteRef/>
      </w:r>
      <w:r>
        <w:t xml:space="preserve"> See D. S. Diffey, “The Royal Promise in Genesis,” </w:t>
      </w:r>
      <w:r>
        <w:rPr>
          <w:i/>
        </w:rPr>
        <w:t>TynB</w:t>
      </w:r>
      <w:r>
        <w:t xml:space="preserve"> 62 (2011): 313-16.</w:t>
      </w:r>
    </w:p>
  </w:footnote>
  <w:footnote w:id="344">
    <w:p w14:paraId="03F3A4C1" w14:textId="77777777" w:rsidR="000438B1" w:rsidRPr="00121F4A" w:rsidRDefault="000438B1">
      <w:pPr>
        <w:pStyle w:val="FootnoteText"/>
      </w:pPr>
      <w:r>
        <w:rPr>
          <w:rStyle w:val="FootnoteReference"/>
        </w:rPr>
        <w:footnoteRef/>
      </w:r>
      <w:r>
        <w:t xml:space="preserve"> Cf. Skinner, </w:t>
      </w:r>
      <w:r>
        <w:rPr>
          <w:i/>
        </w:rPr>
        <w:t>Genesis</w:t>
      </w:r>
      <w:r>
        <w:t>, 293.</w:t>
      </w:r>
    </w:p>
  </w:footnote>
  <w:footnote w:id="345">
    <w:p w14:paraId="35043863" w14:textId="77777777" w:rsidR="000438B1" w:rsidRPr="00A87EF7" w:rsidRDefault="000438B1">
      <w:pPr>
        <w:pStyle w:val="FootnoteText"/>
      </w:pPr>
      <w:r>
        <w:rPr>
          <w:rStyle w:val="FootnoteReference"/>
        </w:rPr>
        <w:footnoteRef/>
      </w:r>
      <w:r>
        <w:t xml:space="preserve"> Cf. Sarna, </w:t>
      </w:r>
      <w:r>
        <w:rPr>
          <w:i/>
        </w:rPr>
        <w:t>Genesis</w:t>
      </w:r>
      <w:r>
        <w:t>, 125.</w:t>
      </w:r>
    </w:p>
  </w:footnote>
  <w:footnote w:id="346">
    <w:p w14:paraId="7DF3F13F" w14:textId="77777777" w:rsidR="000438B1" w:rsidRPr="00E91B26" w:rsidRDefault="000438B1">
      <w:pPr>
        <w:pStyle w:val="FootnoteText"/>
      </w:pPr>
      <w:r>
        <w:rPr>
          <w:rStyle w:val="FootnoteReference"/>
        </w:rPr>
        <w:footnoteRef/>
      </w:r>
      <w:r>
        <w:t xml:space="preserve"> Hamilton, </w:t>
      </w:r>
      <w:r>
        <w:rPr>
          <w:i/>
        </w:rPr>
        <w:t>Genesis 1—17</w:t>
      </w:r>
      <w:r>
        <w:t>, 470.</w:t>
      </w:r>
    </w:p>
  </w:footnote>
  <w:footnote w:id="347">
    <w:p w14:paraId="448DF098" w14:textId="77777777" w:rsidR="000438B1" w:rsidRPr="00F65256" w:rsidRDefault="000438B1" w:rsidP="002608AD">
      <w:pPr>
        <w:pStyle w:val="FootnoteText"/>
      </w:pPr>
      <w:r>
        <w:rPr>
          <w:rStyle w:val="FootnoteReference"/>
        </w:rPr>
        <w:footnoteRef/>
      </w:r>
      <w:r>
        <w:t xml:space="preserve"> R. H. Sohn, in Eskenazi/Weiss (</w:t>
      </w:r>
      <w:proofErr w:type="gramStart"/>
      <w:r>
        <w:t>eds</w:t>
      </w:r>
      <w:proofErr w:type="gramEnd"/>
      <w:r>
        <w:t xml:space="preserve">.). </w:t>
      </w:r>
      <w:r>
        <w:rPr>
          <w:i/>
        </w:rPr>
        <w:t>The Torah: A Women’s Commentary</w:t>
      </w:r>
      <w:r>
        <w:t>, 80.</w:t>
      </w:r>
    </w:p>
  </w:footnote>
  <w:footnote w:id="348">
    <w:p w14:paraId="127B0270" w14:textId="77777777" w:rsidR="000438B1" w:rsidRPr="001D7539" w:rsidRDefault="000438B1" w:rsidP="00E25763">
      <w:pPr>
        <w:pStyle w:val="FootnoteText"/>
      </w:pPr>
      <w:r>
        <w:rPr>
          <w:rStyle w:val="FootnoteReference"/>
        </w:rPr>
        <w:footnoteRef/>
      </w:r>
      <w:r>
        <w:t xml:space="preserve"> Kidner, </w:t>
      </w:r>
      <w:r>
        <w:rPr>
          <w:i/>
        </w:rPr>
        <w:t>Genesis</w:t>
      </w:r>
      <w:r>
        <w:t>, 129.</w:t>
      </w:r>
    </w:p>
  </w:footnote>
  <w:footnote w:id="349">
    <w:p w14:paraId="1419429B" w14:textId="77777777" w:rsidR="000438B1" w:rsidRPr="00B252CB" w:rsidRDefault="000438B1">
      <w:pPr>
        <w:pStyle w:val="FootnoteText"/>
      </w:pPr>
      <w:r>
        <w:rPr>
          <w:rStyle w:val="FootnoteReference"/>
        </w:rPr>
        <w:footnoteRef/>
      </w:r>
      <w:r>
        <w:t xml:space="preserve"> See H. Eilberg-Schwartz, </w:t>
      </w:r>
      <w:r>
        <w:rPr>
          <w:i/>
        </w:rPr>
        <w:t>The Savage in Judaism</w:t>
      </w:r>
      <w:r>
        <w:t xml:space="preserve"> (Bloomington: Indiana UP, 1990), 141-76 for this emphasis on the significance of circumcision.</w:t>
      </w:r>
    </w:p>
  </w:footnote>
  <w:footnote w:id="350">
    <w:p w14:paraId="281CE577" w14:textId="77777777" w:rsidR="000438B1" w:rsidRDefault="000438B1">
      <w:pPr>
        <w:pStyle w:val="FootnoteText"/>
      </w:pPr>
      <w:r>
        <w:rPr>
          <w:rStyle w:val="FootnoteReference"/>
        </w:rPr>
        <w:footnoteRef/>
      </w:r>
      <w:r>
        <w:t xml:space="preserve"> See the comments on 15:16.</w:t>
      </w:r>
    </w:p>
  </w:footnote>
  <w:footnote w:id="351">
    <w:p w14:paraId="779BBFB3" w14:textId="77777777" w:rsidR="000438B1" w:rsidRPr="00DD5208" w:rsidRDefault="000438B1">
      <w:pPr>
        <w:pStyle w:val="FootnoteText"/>
      </w:pPr>
      <w:r>
        <w:rPr>
          <w:rStyle w:val="FootnoteReference"/>
        </w:rPr>
        <w:footnoteRef/>
      </w:r>
      <w:r>
        <w:t xml:space="preserve"> Cf. Ibn Ezra, </w:t>
      </w:r>
      <w:r>
        <w:rPr>
          <w:i/>
        </w:rPr>
        <w:t>Genesis</w:t>
      </w:r>
      <w:r>
        <w:t>, 186.</w:t>
      </w:r>
    </w:p>
  </w:footnote>
  <w:footnote w:id="352">
    <w:p w14:paraId="2D161C15" w14:textId="77777777" w:rsidR="000438B1" w:rsidRPr="008106B6" w:rsidRDefault="000438B1">
      <w:pPr>
        <w:pStyle w:val="FootnoteText"/>
      </w:pPr>
      <w:r>
        <w:rPr>
          <w:rStyle w:val="FootnoteReference"/>
        </w:rPr>
        <w:footnoteRef/>
      </w:r>
      <w:r>
        <w:t xml:space="preserve"> Hamilton, </w:t>
      </w:r>
      <w:r>
        <w:rPr>
          <w:i/>
        </w:rPr>
        <w:t>Genesis 1—17</w:t>
      </w:r>
      <w:r>
        <w:t>, 473.</w:t>
      </w:r>
    </w:p>
  </w:footnote>
  <w:footnote w:id="353">
    <w:p w14:paraId="44401464" w14:textId="77777777" w:rsidR="000438B1" w:rsidRDefault="000438B1">
      <w:pPr>
        <w:pStyle w:val="FootnoteText"/>
      </w:pPr>
      <w:r>
        <w:rPr>
          <w:rStyle w:val="FootnoteReference"/>
        </w:rPr>
        <w:footnoteRef/>
      </w:r>
      <w:r>
        <w:t xml:space="preserve"> R. S. Sabbath, “Sacred Tropes,” in </w:t>
      </w:r>
      <w:r w:rsidRPr="00333BDB">
        <w:t xml:space="preserve">R. S. Sabbath (ed.), </w:t>
      </w:r>
      <w:r w:rsidRPr="00333BDB">
        <w:rPr>
          <w:i/>
        </w:rPr>
        <w:t>Sacred Tropes</w:t>
      </w:r>
      <w:r w:rsidRPr="00333BDB">
        <w:t xml:space="preserve"> (Leiden: Brill, 2009),</w:t>
      </w:r>
      <w:r>
        <w:t xml:space="preserve"> 349-60 (359).</w:t>
      </w:r>
    </w:p>
  </w:footnote>
  <w:footnote w:id="354">
    <w:p w14:paraId="695B1419" w14:textId="77777777" w:rsidR="000438B1" w:rsidRPr="00203D86" w:rsidRDefault="000438B1">
      <w:pPr>
        <w:pStyle w:val="FootnoteText"/>
      </w:pPr>
      <w:r>
        <w:rPr>
          <w:rStyle w:val="FootnoteReference"/>
        </w:rPr>
        <w:footnoteRef/>
      </w:r>
      <w:r>
        <w:t xml:space="preserve"> Kidner, </w:t>
      </w:r>
      <w:r>
        <w:rPr>
          <w:i/>
        </w:rPr>
        <w:t>Genesis</w:t>
      </w:r>
      <w:r>
        <w:t>, 130.</w:t>
      </w:r>
    </w:p>
  </w:footnote>
  <w:footnote w:id="355">
    <w:p w14:paraId="661EDFC4" w14:textId="77777777" w:rsidR="000438B1" w:rsidRDefault="000438B1">
      <w:pPr>
        <w:pStyle w:val="FootnoteText"/>
      </w:pPr>
      <w:r>
        <w:rPr>
          <w:rStyle w:val="FootnoteReference"/>
        </w:rPr>
        <w:footnoteRef/>
      </w:r>
      <w:r>
        <w:t xml:space="preserve"> See the comments on 15:18 on “with” and “for”; and </w:t>
      </w:r>
      <w:r>
        <w:rPr>
          <w:i/>
        </w:rPr>
        <w:t>DCH</w:t>
      </w:r>
      <w:r>
        <w:t xml:space="preserve">, 266b on the possible implications of the “for.” </w:t>
      </w:r>
    </w:p>
  </w:footnote>
  <w:footnote w:id="356">
    <w:p w14:paraId="497B567E" w14:textId="77777777" w:rsidR="000438B1" w:rsidRPr="00122FC5" w:rsidRDefault="000438B1">
      <w:pPr>
        <w:pStyle w:val="FootnoteText"/>
      </w:pPr>
      <w:r>
        <w:rPr>
          <w:rStyle w:val="FootnoteReference"/>
        </w:rPr>
        <w:footnoteRef/>
      </w:r>
      <w:r>
        <w:t xml:space="preserve"> Cf. Alter, </w:t>
      </w:r>
      <w:r>
        <w:rPr>
          <w:i/>
        </w:rPr>
        <w:t>Genesis</w:t>
      </w:r>
      <w:r>
        <w:t>, 75.</w:t>
      </w:r>
    </w:p>
  </w:footnote>
  <w:footnote w:id="357">
    <w:p w14:paraId="2FDF4DF0" w14:textId="77777777" w:rsidR="000438B1" w:rsidRPr="00B1080D" w:rsidRDefault="000438B1" w:rsidP="00B571CD">
      <w:pPr>
        <w:pStyle w:val="FootnoteText"/>
      </w:pPr>
      <w:r>
        <w:rPr>
          <w:rStyle w:val="FootnoteReference"/>
        </w:rPr>
        <w:footnoteRef/>
      </w:r>
      <w:r>
        <w:t xml:space="preserve"> Cf. Barth, </w:t>
      </w:r>
      <w:r>
        <w:rPr>
          <w:i/>
        </w:rPr>
        <w:t>Dogmatics</w:t>
      </w:r>
      <w:r>
        <w:t xml:space="preserve"> II, 2:355.</w:t>
      </w:r>
    </w:p>
  </w:footnote>
  <w:footnote w:id="358">
    <w:p w14:paraId="1BB1F605" w14:textId="77777777" w:rsidR="000438B1" w:rsidRPr="00A26094" w:rsidRDefault="000438B1">
      <w:pPr>
        <w:pStyle w:val="FootnoteText"/>
      </w:pPr>
      <w:r>
        <w:rPr>
          <w:rStyle w:val="FootnoteReference"/>
        </w:rPr>
        <w:footnoteRef/>
      </w:r>
      <w:r>
        <w:t xml:space="preserve"> Von Rad, </w:t>
      </w:r>
      <w:r>
        <w:rPr>
          <w:i/>
        </w:rPr>
        <w:t>Genesis</w:t>
      </w:r>
      <w:r>
        <w:t>, 198.</w:t>
      </w:r>
    </w:p>
  </w:footnote>
  <w:footnote w:id="359">
    <w:p w14:paraId="1537D3EB" w14:textId="77777777" w:rsidR="000438B1" w:rsidRDefault="000438B1">
      <w:pPr>
        <w:pStyle w:val="FootnoteText"/>
      </w:pPr>
      <w:r>
        <w:rPr>
          <w:rStyle w:val="FootnoteReference"/>
        </w:rPr>
        <w:footnoteRef/>
      </w:r>
      <w:r>
        <w:t xml:space="preserve"> Cf. Brayford, </w:t>
      </w:r>
      <w:r w:rsidRPr="00EE7A94">
        <w:rPr>
          <w:i/>
        </w:rPr>
        <w:t>Genesis</w:t>
      </w:r>
      <w:r w:rsidRPr="00EE7A94">
        <w:t>,</w:t>
      </w:r>
      <w:r>
        <w:t xml:space="preserve"> 310.</w:t>
      </w:r>
    </w:p>
  </w:footnote>
  <w:footnote w:id="360">
    <w:p w14:paraId="19C99765" w14:textId="77777777" w:rsidR="000438B1" w:rsidRDefault="000438B1" w:rsidP="00526CB0">
      <w:pPr>
        <w:pStyle w:val="FootnoteText"/>
      </w:pPr>
      <w:r>
        <w:rPr>
          <w:rStyle w:val="FootnoteReference"/>
        </w:rPr>
        <w:footnoteRef/>
      </w:r>
      <w:r>
        <w:t xml:space="preserve"> Against </w:t>
      </w:r>
      <w:r w:rsidRPr="00AC4A45">
        <w:t xml:space="preserve">Fretheim, </w:t>
      </w:r>
      <w:r w:rsidRPr="00AC4A45">
        <w:rPr>
          <w:i/>
        </w:rPr>
        <w:t>Abraham</w:t>
      </w:r>
      <w:r>
        <w:t>, 45.</w:t>
      </w:r>
    </w:p>
  </w:footnote>
  <w:footnote w:id="361">
    <w:p w14:paraId="65C1B9EF" w14:textId="77777777" w:rsidR="000438B1" w:rsidRPr="00CD2894" w:rsidRDefault="000438B1" w:rsidP="00526CB0">
      <w:pPr>
        <w:pStyle w:val="FootnoteText"/>
      </w:pPr>
      <w:r>
        <w:rPr>
          <w:rStyle w:val="FootnoteReference"/>
        </w:rPr>
        <w:footnoteRef/>
      </w:r>
      <w:r>
        <w:t xml:space="preserve"> Cf. e.g., K. Grünwaldt, </w:t>
      </w:r>
      <w:r w:rsidRPr="00CD2894">
        <w:rPr>
          <w:i/>
        </w:rPr>
        <w:t>Exil und Identität</w:t>
      </w:r>
      <w:r>
        <w:rPr>
          <w:i/>
        </w:rPr>
        <w:t xml:space="preserve"> </w:t>
      </w:r>
      <w:r>
        <w:t>(Frankfurt: Hain, 1992), 9-70; the description is Brett’s (</w:t>
      </w:r>
      <w:r>
        <w:rPr>
          <w:i/>
        </w:rPr>
        <w:t>Genesis</w:t>
      </w:r>
      <w:r>
        <w:t>, 63-64).</w:t>
      </w:r>
    </w:p>
  </w:footnote>
  <w:footnote w:id="362">
    <w:p w14:paraId="5406E129" w14:textId="77777777" w:rsidR="000438B1" w:rsidRPr="0064387F" w:rsidRDefault="000438B1">
      <w:pPr>
        <w:pStyle w:val="FootnoteText"/>
      </w:pPr>
      <w:r>
        <w:rPr>
          <w:rStyle w:val="FootnoteReference"/>
        </w:rPr>
        <w:footnoteRef/>
      </w:r>
      <w:r>
        <w:t xml:space="preserve"> Cf. Hamilton, </w:t>
      </w:r>
      <w:r>
        <w:rPr>
          <w:i/>
        </w:rPr>
        <w:t>Genesis 1—17</w:t>
      </w:r>
      <w:r>
        <w:t>, 480.</w:t>
      </w:r>
    </w:p>
  </w:footnote>
  <w:footnote w:id="363">
    <w:p w14:paraId="26F8CBD8" w14:textId="77777777" w:rsidR="000438B1" w:rsidRPr="0093077D" w:rsidRDefault="000438B1">
      <w:pPr>
        <w:pStyle w:val="FootnoteText"/>
      </w:pPr>
      <w:r>
        <w:rPr>
          <w:rStyle w:val="FootnoteReference"/>
        </w:rPr>
        <w:footnoteRef/>
      </w:r>
      <w:r>
        <w:t xml:space="preserve"> Cf. De La Torre, </w:t>
      </w:r>
      <w:r>
        <w:rPr>
          <w:i/>
        </w:rPr>
        <w:t>Genesis</w:t>
      </w:r>
      <w:r>
        <w:t>, 180.</w:t>
      </w:r>
    </w:p>
  </w:footnote>
  <w:footnote w:id="364">
    <w:p w14:paraId="31B0F12A" w14:textId="77777777" w:rsidR="000438B1" w:rsidRDefault="000438B1" w:rsidP="00CB6156">
      <w:pPr>
        <w:pStyle w:val="FootnoteText"/>
      </w:pPr>
      <w:r>
        <w:rPr>
          <w:rStyle w:val="FootnoteReference"/>
        </w:rPr>
        <w:footnoteRef/>
      </w:r>
      <w:r>
        <w:t xml:space="preserve"> Cf. Fretheim, “Genesis,” 459, 460.</w:t>
      </w:r>
    </w:p>
  </w:footnote>
  <w:footnote w:id="365">
    <w:p w14:paraId="6C20ADF9" w14:textId="77777777" w:rsidR="000438B1" w:rsidRPr="008F6BCE" w:rsidRDefault="000438B1" w:rsidP="001F5FC5">
      <w:pPr>
        <w:pStyle w:val="FootnoteText"/>
      </w:pPr>
      <w:r>
        <w:rPr>
          <w:rStyle w:val="FootnoteReference"/>
        </w:rPr>
        <w:footnoteRef/>
      </w:r>
      <w:r>
        <w:t xml:space="preserve"> Fretheim, </w:t>
      </w:r>
      <w:r>
        <w:rPr>
          <w:i/>
        </w:rPr>
        <w:t>Abraham</w:t>
      </w:r>
      <w:r>
        <w:t>, 43.</w:t>
      </w:r>
    </w:p>
  </w:footnote>
  <w:footnote w:id="366">
    <w:p w14:paraId="11219D41" w14:textId="77777777" w:rsidR="000438B1" w:rsidRDefault="000438B1" w:rsidP="00C71328">
      <w:pPr>
        <w:pStyle w:val="FootnoteText"/>
      </w:pPr>
      <w:r>
        <w:rPr>
          <w:rStyle w:val="FootnoteReference"/>
        </w:rPr>
        <w:footnoteRef/>
      </w:r>
      <w:r>
        <w:t xml:space="preserve"> See the comments on 15:6.</w:t>
      </w:r>
    </w:p>
  </w:footnote>
  <w:footnote w:id="367">
    <w:p w14:paraId="3CBF21DE" w14:textId="77777777" w:rsidR="000438B1" w:rsidRPr="00A01FAF" w:rsidRDefault="000438B1" w:rsidP="006573D4">
      <w:pPr>
        <w:pStyle w:val="FootnoteText"/>
      </w:pPr>
      <w:r>
        <w:rPr>
          <w:rStyle w:val="FootnoteReference"/>
        </w:rPr>
        <w:footnoteRef/>
      </w:r>
      <w:r>
        <w:t xml:space="preserve"> Willet, </w:t>
      </w:r>
      <w:r w:rsidRPr="00A01FAF">
        <w:rPr>
          <w:i/>
        </w:rPr>
        <w:t>Hexapla in Genesin &amp; Exodum</w:t>
      </w:r>
      <w:r>
        <w:t>, 166.</w:t>
      </w:r>
    </w:p>
  </w:footnote>
  <w:footnote w:id="368">
    <w:p w14:paraId="0B831798" w14:textId="77777777" w:rsidR="000438B1" w:rsidRPr="00F57869" w:rsidRDefault="000438B1" w:rsidP="00BD69A6">
      <w:pPr>
        <w:pStyle w:val="FootnoteText"/>
        <w:rPr>
          <w:u w:val="single"/>
        </w:rPr>
      </w:pPr>
      <w:r>
        <w:rPr>
          <w:rStyle w:val="FootnoteReference"/>
        </w:rPr>
        <w:footnoteRef/>
      </w:r>
      <w:r>
        <w:t xml:space="preserve"> Reno, </w:t>
      </w:r>
      <w:r>
        <w:rPr>
          <w:i/>
        </w:rPr>
        <w:t>Genesis</w:t>
      </w:r>
      <w:r>
        <w:t>, 178.</w:t>
      </w:r>
    </w:p>
  </w:footnote>
  <w:footnote w:id="369">
    <w:p w14:paraId="3F2CE2CF" w14:textId="77777777" w:rsidR="000438B1" w:rsidRPr="003F4937" w:rsidRDefault="000438B1" w:rsidP="00BD69A6">
      <w:pPr>
        <w:pStyle w:val="FootnoteText"/>
      </w:pPr>
      <w:r>
        <w:rPr>
          <w:rStyle w:val="FootnoteReference"/>
        </w:rPr>
        <w:footnoteRef/>
      </w:r>
      <w:r>
        <w:t xml:space="preserve"> Ambrose, </w:t>
      </w:r>
      <w:r>
        <w:rPr>
          <w:i/>
        </w:rPr>
        <w:t>On Abraham</w:t>
      </w:r>
      <w:r>
        <w:t xml:space="preserve"> 2.11.78-79 as quoted in Sheridan (ed.), </w:t>
      </w:r>
      <w:r>
        <w:rPr>
          <w:i/>
        </w:rPr>
        <w:t>Genesis 12—50</w:t>
      </w:r>
      <w:r>
        <w:t xml:space="preserve">, 55. Cf. Philo, </w:t>
      </w:r>
      <w:r w:rsidRPr="003F4937">
        <w:rPr>
          <w:i/>
        </w:rPr>
        <w:t>Questions and Answers on Genesis</w:t>
      </w:r>
      <w:r>
        <w:t xml:space="preserve"> 3:47.</w:t>
      </w:r>
    </w:p>
  </w:footnote>
  <w:footnote w:id="370">
    <w:p w14:paraId="3805E8B4" w14:textId="77777777" w:rsidR="000438B1" w:rsidRDefault="000438B1" w:rsidP="00BD69A6">
      <w:pPr>
        <w:pStyle w:val="FootnoteText"/>
      </w:pPr>
      <w:r>
        <w:rPr>
          <w:rStyle w:val="FootnoteReference"/>
        </w:rPr>
        <w:footnoteRef/>
      </w:r>
      <w:r>
        <w:t xml:space="preserve"> See J. </w:t>
      </w:r>
      <w:r w:rsidRPr="00371B40">
        <w:t xml:space="preserve">Goldingay, </w:t>
      </w:r>
      <w:r>
        <w:t>“</w:t>
      </w:r>
      <w:r w:rsidRPr="00371B40">
        <w:t>The Significance of Circumcision,</w:t>
      </w:r>
      <w:r>
        <w:t>”</w:t>
      </w:r>
      <w:r w:rsidRPr="00371B40">
        <w:t xml:space="preserve"> </w:t>
      </w:r>
      <w:r w:rsidRPr="00371B40">
        <w:rPr>
          <w:i/>
          <w:iCs/>
        </w:rPr>
        <w:t xml:space="preserve">JSOT </w:t>
      </w:r>
      <w:r w:rsidRPr="00371B40">
        <w:t>88 (2000): 3–18.</w:t>
      </w:r>
    </w:p>
  </w:footnote>
  <w:footnote w:id="371">
    <w:p w14:paraId="55BD227F" w14:textId="77777777" w:rsidR="000438B1" w:rsidRPr="00F57869" w:rsidRDefault="000438B1" w:rsidP="00F33473">
      <w:pPr>
        <w:pStyle w:val="FootnoteText"/>
        <w:rPr>
          <w:u w:val="single"/>
        </w:rPr>
      </w:pPr>
      <w:r>
        <w:rPr>
          <w:rStyle w:val="FootnoteReference"/>
        </w:rPr>
        <w:footnoteRef/>
      </w:r>
      <w:r>
        <w:t xml:space="preserve"> Reno, </w:t>
      </w:r>
      <w:r>
        <w:rPr>
          <w:i/>
        </w:rPr>
        <w:t>Genesis</w:t>
      </w:r>
      <w:r>
        <w:t>, 179.</w:t>
      </w:r>
    </w:p>
  </w:footnote>
  <w:footnote w:id="372">
    <w:p w14:paraId="53E14B8F" w14:textId="77777777" w:rsidR="000438B1" w:rsidRPr="00C036E8" w:rsidRDefault="000438B1" w:rsidP="00337A39">
      <w:pPr>
        <w:pStyle w:val="FootnoteText"/>
      </w:pPr>
      <w:r>
        <w:rPr>
          <w:rStyle w:val="FootnoteReference"/>
        </w:rPr>
        <w:footnoteRef/>
      </w:r>
      <w:r>
        <w:t xml:space="preserve"> W. Brueggemann, “Genesis 17:1-22,” </w:t>
      </w:r>
      <w:r>
        <w:rPr>
          <w:i/>
        </w:rPr>
        <w:t>Interpretation</w:t>
      </w:r>
      <w:r>
        <w:t xml:space="preserve"> 45 (1991): 55-59 (56).</w:t>
      </w:r>
    </w:p>
  </w:footnote>
  <w:footnote w:id="373">
    <w:p w14:paraId="051C9C99" w14:textId="77777777" w:rsidR="000438B1" w:rsidRPr="00871422" w:rsidRDefault="000438B1" w:rsidP="00337A39">
      <w:pPr>
        <w:pStyle w:val="FootnoteText"/>
      </w:pPr>
      <w:r>
        <w:rPr>
          <w:rStyle w:val="FootnoteReference"/>
        </w:rPr>
        <w:footnoteRef/>
      </w:r>
      <w:r>
        <w:t xml:space="preserve"> Cf. J. Fleischman, “On the Significance of a Name Change and Circumcision in </w:t>
      </w:r>
      <w:r w:rsidRPr="00871422">
        <w:rPr>
          <w:rStyle w:val="Strong"/>
          <w:b w:val="0"/>
        </w:rPr>
        <w:t>Genesis</w:t>
      </w:r>
      <w:r>
        <w:t xml:space="preserve"> 17,” </w:t>
      </w:r>
      <w:r>
        <w:rPr>
          <w:i/>
        </w:rPr>
        <w:t xml:space="preserve">JANES </w:t>
      </w:r>
      <w:r>
        <w:t>28 (2001): 19-32.</w:t>
      </w:r>
    </w:p>
  </w:footnote>
  <w:footnote w:id="374">
    <w:p w14:paraId="0226C222" w14:textId="77777777" w:rsidR="000438B1" w:rsidRPr="00076CC0" w:rsidRDefault="000438B1" w:rsidP="00321C42">
      <w:pPr>
        <w:pStyle w:val="FootnoteText"/>
      </w:pPr>
      <w:r>
        <w:rPr>
          <w:rStyle w:val="FootnoteReference"/>
        </w:rPr>
        <w:footnoteRef/>
      </w:r>
      <w:r>
        <w:t xml:space="preserve"> See T. W. Martin, “The Covenant of Circumcision,” </w:t>
      </w:r>
      <w:r>
        <w:rPr>
          <w:i/>
        </w:rPr>
        <w:t>JBL</w:t>
      </w:r>
      <w:r>
        <w:t xml:space="preserve"> 122 (2003): 111-25.</w:t>
      </w:r>
    </w:p>
  </w:footnote>
  <w:footnote w:id="375">
    <w:p w14:paraId="457DE1A9" w14:textId="77777777" w:rsidR="000438B1" w:rsidRDefault="000438B1" w:rsidP="00952340">
      <w:pPr>
        <w:pStyle w:val="FootnoteText"/>
      </w:pPr>
      <w:r>
        <w:rPr>
          <w:rStyle w:val="FootnoteReference"/>
        </w:rPr>
        <w:footnoteRef/>
      </w:r>
      <w:r>
        <w:t xml:space="preserve"> Ironically, given Paul’s polemic elsewhere (</w:t>
      </w:r>
      <w:r w:rsidRPr="00DD5208">
        <w:t xml:space="preserve">Brueggemann, </w:t>
      </w:r>
      <w:r w:rsidRPr="00DD5208">
        <w:rPr>
          <w:i/>
        </w:rPr>
        <w:t>Genesis</w:t>
      </w:r>
      <w:r>
        <w:t>, 155-56)</w:t>
      </w:r>
      <w:r w:rsidRPr="00DD5208">
        <w:t>.</w:t>
      </w:r>
    </w:p>
  </w:footnote>
  <w:footnote w:id="376">
    <w:p w14:paraId="7DEE6FFC" w14:textId="20C5F63B" w:rsidR="000438B1" w:rsidRPr="0050597E" w:rsidRDefault="000438B1">
      <w:pPr>
        <w:pStyle w:val="FootnoteText"/>
      </w:pPr>
      <w:r>
        <w:rPr>
          <w:rStyle w:val="FootnoteReference"/>
        </w:rPr>
        <w:footnoteRef/>
      </w:r>
      <w:r>
        <w:t xml:space="preserve"> Calvin (</w:t>
      </w:r>
      <w:r>
        <w:rPr>
          <w:i/>
        </w:rPr>
        <w:t xml:space="preserve">Genesis </w:t>
      </w:r>
      <w:r>
        <w:t>1:468) considers this possibility, though he then “prefers” to see these events as subsequent to the previous revelation.</w:t>
      </w:r>
    </w:p>
  </w:footnote>
  <w:footnote w:id="377">
    <w:p w14:paraId="3F4B23C9" w14:textId="77777777" w:rsidR="000438B1" w:rsidRPr="00DF7679" w:rsidRDefault="000438B1">
      <w:pPr>
        <w:pStyle w:val="FootnoteText"/>
      </w:pPr>
      <w:r>
        <w:rPr>
          <w:rStyle w:val="FootnoteReference"/>
        </w:rPr>
        <w:footnoteRef/>
      </w:r>
      <w:r>
        <w:t xml:space="preserve"> Cf. Luther, </w:t>
      </w:r>
      <w:r>
        <w:rPr>
          <w:i/>
        </w:rPr>
        <w:t>Genesis 15—20</w:t>
      </w:r>
      <w:r>
        <w:t>, 177.</w:t>
      </w:r>
    </w:p>
  </w:footnote>
  <w:footnote w:id="378">
    <w:p w14:paraId="6FB53862" w14:textId="60FF60E1" w:rsidR="000438B1" w:rsidRDefault="000438B1" w:rsidP="001864A6">
      <w:pPr>
        <w:pStyle w:val="FootnoteText"/>
      </w:pPr>
      <w:r>
        <w:rPr>
          <w:rStyle w:val="FootnoteReference"/>
        </w:rPr>
        <w:footnoteRef/>
      </w:r>
      <w:r>
        <w:t xml:space="preserve"> Not naming Abraham at the beginning of the chapter suggests continuity with what precedes and fits with the idea that 18:1-15 is another account of the same incident as Gen 17 (see the comment).</w:t>
      </w:r>
    </w:p>
  </w:footnote>
  <w:footnote w:id="379">
    <w:p w14:paraId="24B40279" w14:textId="2E7F4D87" w:rsidR="000438B1" w:rsidRPr="0085675A" w:rsidRDefault="000438B1">
      <w:pPr>
        <w:pStyle w:val="FootnoteText"/>
      </w:pPr>
      <w:r>
        <w:rPr>
          <w:rStyle w:val="FootnoteReference"/>
        </w:rPr>
        <w:footnoteRef/>
      </w:r>
      <w:r>
        <w:t xml:space="preserve"> </w:t>
      </w:r>
      <w:r>
        <w:rPr>
          <w:i/>
        </w:rPr>
        <w:t>’Ădōnāy</w:t>
      </w:r>
      <w:r>
        <w:t xml:space="preserve"> is the form for addressing “the Lord” (cf. vv. 27, 30, 31, 32), and</w:t>
      </w:r>
      <w:r w:rsidRPr="005143FF">
        <w:t xml:space="preserve"> </w:t>
      </w:r>
      <w:r>
        <w:t>“</w:t>
      </w:r>
      <w:r w:rsidRPr="005143FF">
        <w:t>you</w:t>
      </w:r>
      <w:r>
        <w:t>”</w:t>
      </w:r>
      <w:r w:rsidRPr="005143FF">
        <w:t xml:space="preserve"> </w:t>
      </w:r>
      <w:r>
        <w:t>in the rest of v. 3 is singular; the spelling</w:t>
      </w:r>
      <w:r w:rsidRPr="005143FF">
        <w:t xml:space="preserve"> </w:t>
      </w:r>
      <w:r>
        <w:t xml:space="preserve">reminds the audience that </w:t>
      </w:r>
      <w:r w:rsidRPr="005143FF">
        <w:t xml:space="preserve">Abraham is </w:t>
      </w:r>
      <w:r>
        <w:t xml:space="preserve">addressing “the Lord.” But vv. 1-15 as a whole give the impression that he doesn’t know it yet, and a switch between plural and singular recurs through the section. In 19:2 Lot uses </w:t>
      </w:r>
      <w:r>
        <w:rPr>
          <w:i/>
        </w:rPr>
        <w:t>’ădōna</w:t>
      </w:r>
      <w:r w:rsidRPr="005143FF">
        <w:rPr>
          <w:i/>
        </w:rPr>
        <w:t>y</w:t>
      </w:r>
      <w:r w:rsidRPr="005143FF">
        <w:t xml:space="preserve"> </w:t>
      </w:r>
      <w:r>
        <w:t xml:space="preserve">as the form of address to the two “men” (LXX, Vg, </w:t>
      </w:r>
      <w:proofErr w:type="gramStart"/>
      <w:r>
        <w:t>Tg</w:t>
      </w:r>
      <w:proofErr w:type="gramEnd"/>
      <w:r>
        <w:t xml:space="preserve"> switch there from “Lord” to “lords”). When </w:t>
      </w:r>
      <w:r>
        <w:rPr>
          <w:i/>
        </w:rPr>
        <w:t>’ă</w:t>
      </w:r>
      <w:r w:rsidRPr="005143FF">
        <w:rPr>
          <w:i/>
        </w:rPr>
        <w:t>dōnāy</w:t>
      </w:r>
      <w:r>
        <w:t xml:space="preserve"> recurs in 19:18 it is in pause, which might explain the </w:t>
      </w:r>
      <w:r w:rsidRPr="008074CF">
        <w:t>po</w:t>
      </w:r>
      <w:r>
        <w:t>inting; it could be understood as “Lord” or “lords.” The short spelling (</w:t>
      </w:r>
      <w:r>
        <w:rPr>
          <w:i/>
        </w:rPr>
        <w:t>ō</w:t>
      </w:r>
      <w:r>
        <w:t xml:space="preserve"> not </w:t>
      </w:r>
      <w:r>
        <w:rPr>
          <w:i/>
        </w:rPr>
        <w:t>ô</w:t>
      </w:r>
      <w:r>
        <w:t xml:space="preserve">), in all three verses, is the form usual in references to God rather than to human lords. But conversely, Judg 13:8 has the long spelling </w:t>
      </w:r>
      <w:r>
        <w:rPr>
          <w:i/>
        </w:rPr>
        <w:t>’ădônā</w:t>
      </w:r>
      <w:r w:rsidRPr="0085675A">
        <w:rPr>
          <w:i/>
        </w:rPr>
        <w:t>y</w:t>
      </w:r>
      <w:r>
        <w:t xml:space="preserve"> in address to Yahweh.</w:t>
      </w:r>
    </w:p>
  </w:footnote>
  <w:footnote w:id="380">
    <w:p w14:paraId="28CF9A86" w14:textId="77777777" w:rsidR="000438B1" w:rsidRPr="0030406B" w:rsidRDefault="000438B1">
      <w:pPr>
        <w:pStyle w:val="FootnoteText"/>
      </w:pPr>
      <w:r>
        <w:rPr>
          <w:rStyle w:val="FootnoteReference"/>
        </w:rPr>
        <w:footnoteRef/>
      </w:r>
      <w:r>
        <w:t xml:space="preserve"> We don’t know the size of a “measure” (</w:t>
      </w:r>
      <w:r>
        <w:rPr>
          <w:i/>
        </w:rPr>
        <w:t>sᵉ’āh</w:t>
      </w:r>
      <w:r>
        <w:t>).</w:t>
      </w:r>
    </w:p>
  </w:footnote>
  <w:footnote w:id="381">
    <w:p w14:paraId="3F67D3DB" w14:textId="2F194BD0" w:rsidR="000438B1" w:rsidRPr="001B4E08" w:rsidRDefault="000438B1">
      <w:pPr>
        <w:pStyle w:val="FootnoteText"/>
      </w:pPr>
      <w:r>
        <w:rPr>
          <w:rStyle w:val="FootnoteReference"/>
        </w:rPr>
        <w:footnoteRef/>
      </w:r>
      <w:r>
        <w:t xml:space="preserve"> Or perhaps “a boy” (cf. GK 126r). Otherwise, it might almost make one think of Ishmael (cf. Qimchi’s comment, </w:t>
      </w:r>
      <w:r>
        <w:rPr>
          <w:i/>
        </w:rPr>
        <w:t>Genesis</w:t>
      </w:r>
      <w:r>
        <w:t>, on the verse).</w:t>
      </w:r>
    </w:p>
  </w:footnote>
  <w:footnote w:id="382">
    <w:p w14:paraId="0D3755D9" w14:textId="2F2BF8CF" w:rsidR="000438B1" w:rsidRPr="000C67FA" w:rsidRDefault="000438B1">
      <w:pPr>
        <w:pStyle w:val="FootnoteText"/>
      </w:pPr>
      <w:r>
        <w:rPr>
          <w:rStyle w:val="FootnoteReference"/>
        </w:rPr>
        <w:footnoteRef/>
      </w:r>
      <w:r>
        <w:t xml:space="preserve"> Taking </w:t>
      </w:r>
      <w:r>
        <w:rPr>
          <w:i/>
        </w:rPr>
        <w:t xml:space="preserve">ḥayyāh </w:t>
      </w:r>
      <w:r>
        <w:t xml:space="preserve">as the noun meaning “life” (cf. Vg, TgOnq, TgPsJ?); it might alternatively be a feminine adjective (thus “the time [when she is] alive/pregnant/recovering [after giving birth]”): see e.g., Sarna, </w:t>
      </w:r>
      <w:r>
        <w:rPr>
          <w:i/>
        </w:rPr>
        <w:t>Genesis</w:t>
      </w:r>
      <w:r>
        <w:t xml:space="preserve">, 130; </w:t>
      </w:r>
      <w:r>
        <w:rPr>
          <w:i/>
        </w:rPr>
        <w:t>DTT</w:t>
      </w:r>
      <w:r>
        <w:t xml:space="preserve">, 451-52). LXX lets the allusive expression be a vaguer reference to “next year.” </w:t>
      </w:r>
    </w:p>
  </w:footnote>
  <w:footnote w:id="383">
    <w:p w14:paraId="1EE51EC8" w14:textId="77777777" w:rsidR="000438B1" w:rsidRDefault="000438B1">
      <w:pPr>
        <w:pStyle w:val="FootnoteText"/>
      </w:pPr>
      <w:r>
        <w:rPr>
          <w:rStyle w:val="FootnoteReference"/>
        </w:rPr>
        <w:footnoteRef/>
      </w:r>
      <w:r>
        <w:t xml:space="preserve"> The verb is qatal. See GK 106n.</w:t>
      </w:r>
    </w:p>
  </w:footnote>
  <w:footnote w:id="384">
    <w:p w14:paraId="56DA93EE" w14:textId="4AEC6F73" w:rsidR="000438B1" w:rsidRPr="008A5334" w:rsidRDefault="000438B1">
      <w:pPr>
        <w:pStyle w:val="FootnoteText"/>
      </w:pPr>
      <w:r>
        <w:rPr>
          <w:rStyle w:val="FootnoteReference"/>
        </w:rPr>
        <w:footnoteRef/>
      </w:r>
      <w:r>
        <w:t xml:space="preserve"> Vg translates the hapax </w:t>
      </w:r>
      <w:r>
        <w:rPr>
          <w:i/>
        </w:rPr>
        <w:t>‘ednāh</w:t>
      </w:r>
      <w:r>
        <w:t xml:space="preserve"> “pleasure,” but etymological considerations rather suggest something like abundance and a link with </w:t>
      </w:r>
      <w:r w:rsidRPr="008A5334">
        <w:rPr>
          <w:i/>
        </w:rPr>
        <w:t>’ēden</w:t>
      </w:r>
      <w:r>
        <w:t xml:space="preserve"> (see the comment on 2:8) and thus hint that Sarah is asking whether there could be any possibility of recapturing Eden (cf. A. R. Davis, “Eden Revisited,” </w:t>
      </w:r>
      <w:r w:rsidRPr="008A5334">
        <w:rPr>
          <w:i/>
        </w:rPr>
        <w:t>CBQ</w:t>
      </w:r>
      <w:r w:rsidRPr="008A5334">
        <w:t xml:space="preserve"> </w:t>
      </w:r>
      <w:r w:rsidRPr="008A5334">
        <w:rPr>
          <w:i/>
        </w:rPr>
        <w:t xml:space="preserve"> </w:t>
      </w:r>
      <w:r>
        <w:t xml:space="preserve">78 </w:t>
      </w:r>
      <w:r w:rsidRPr="008A5334">
        <w:t xml:space="preserve">(2016): </w:t>
      </w:r>
      <w:r>
        <w:t>611-31.</w:t>
      </w:r>
    </w:p>
  </w:footnote>
  <w:footnote w:id="385">
    <w:p w14:paraId="1A69F0EC" w14:textId="77777777" w:rsidR="000438B1" w:rsidRPr="002B1252" w:rsidRDefault="000438B1">
      <w:pPr>
        <w:pStyle w:val="FootnoteText"/>
      </w:pPr>
      <w:r>
        <w:rPr>
          <w:rStyle w:val="FootnoteReference"/>
        </w:rPr>
        <w:footnoteRef/>
      </w:r>
      <w:r>
        <w:t xml:space="preserve"> Unusually, </w:t>
      </w:r>
      <w:r w:rsidRPr="003D10D0">
        <w:t xml:space="preserve">to refer to her husband </w:t>
      </w:r>
      <w:r>
        <w:t xml:space="preserve">Sarah uses the word for “lord” instead of the more usual expression </w:t>
      </w:r>
      <w:r>
        <w:rPr>
          <w:i/>
        </w:rPr>
        <w:t>’îšî</w:t>
      </w:r>
      <w:r>
        <w:t xml:space="preserve">, literally “my man” (e.g., 29:32). </w:t>
      </w:r>
    </w:p>
  </w:footnote>
  <w:footnote w:id="386">
    <w:p w14:paraId="29A0E40C" w14:textId="6DDF6DED" w:rsidR="000438B1" w:rsidRDefault="000438B1" w:rsidP="00B571CD">
      <w:pPr>
        <w:pStyle w:val="FootnoteText"/>
      </w:pPr>
      <w:r>
        <w:rPr>
          <w:rStyle w:val="FootnoteReference"/>
        </w:rPr>
        <w:footnoteRef/>
      </w:r>
      <w:r>
        <w:t xml:space="preserve"> On </w:t>
      </w:r>
      <w:r>
        <w:rPr>
          <w:i/>
        </w:rPr>
        <w:t>w-</w:t>
      </w:r>
      <w:r>
        <w:t>clauses in Genesis followed by a pronoun or noun preceding the verb, with such an implication, see Osborne, “Anteriority and Justification.”</w:t>
      </w:r>
    </w:p>
  </w:footnote>
  <w:footnote w:id="387">
    <w:p w14:paraId="6D4C50F1" w14:textId="77777777" w:rsidR="000438B1" w:rsidRPr="00BC6655" w:rsidRDefault="000438B1">
      <w:pPr>
        <w:pStyle w:val="FootnoteText"/>
      </w:pPr>
      <w:r>
        <w:rPr>
          <w:rStyle w:val="FootnoteReference"/>
        </w:rPr>
        <w:footnoteRef/>
      </w:r>
      <w:r>
        <w:t xml:space="preserve"> </w:t>
      </w:r>
      <w:r w:rsidRPr="0096306D">
        <w:t xml:space="preserve">The placing of the subject before the verb indicates that a new </w:t>
      </w:r>
      <w:r>
        <w:t>theme is being introduced here.</w:t>
      </w:r>
    </w:p>
  </w:footnote>
  <w:footnote w:id="388">
    <w:p w14:paraId="23CA2B22" w14:textId="3330BEE3" w:rsidR="000438B1" w:rsidRDefault="000438B1" w:rsidP="0091096F">
      <w:pPr>
        <w:pStyle w:val="FootnoteText"/>
      </w:pPr>
      <w:r>
        <w:rPr>
          <w:rStyle w:val="FootnoteReference"/>
        </w:rPr>
        <w:footnoteRef/>
      </w:r>
      <w:r>
        <w:t xml:space="preserve"> On the translation, see the footnote to 12:3.</w:t>
      </w:r>
    </w:p>
  </w:footnote>
  <w:footnote w:id="389">
    <w:p w14:paraId="78261E8A" w14:textId="7F077B73" w:rsidR="000438B1" w:rsidRPr="004A7FA2" w:rsidRDefault="000438B1" w:rsidP="00CD5094">
      <w:pPr>
        <w:pStyle w:val="FootnoteText"/>
      </w:pPr>
      <w:r>
        <w:rPr>
          <w:rStyle w:val="FootnoteReference"/>
        </w:rPr>
        <w:footnoteRef/>
      </w:r>
      <w:r>
        <w:t xml:space="preserve"> LXX, Vg “I know that” disregards the suffix “him” and the </w:t>
      </w:r>
      <w:r>
        <w:rPr>
          <w:i/>
        </w:rPr>
        <w:t>lᵉma‘an</w:t>
      </w:r>
      <w:r>
        <w:t xml:space="preserve">; more likely </w:t>
      </w:r>
      <w:proofErr w:type="gramStart"/>
      <w:r>
        <w:rPr>
          <w:i/>
        </w:rPr>
        <w:t>yāda‘</w:t>
      </w:r>
      <w:r>
        <w:t xml:space="preserve"> has</w:t>
      </w:r>
      <w:proofErr w:type="gramEnd"/>
      <w:r>
        <w:t xml:space="preserve"> its idiomatic meaning.</w:t>
      </w:r>
    </w:p>
  </w:footnote>
  <w:footnote w:id="390">
    <w:p w14:paraId="07B87C3D" w14:textId="77777777" w:rsidR="000438B1" w:rsidRPr="005A75DF" w:rsidRDefault="000438B1">
      <w:pPr>
        <w:pStyle w:val="FootnoteText"/>
      </w:pPr>
      <w:r>
        <w:rPr>
          <w:rStyle w:val="FootnoteReference"/>
        </w:rPr>
        <w:footnoteRef/>
      </w:r>
      <w:r>
        <w:t xml:space="preserve"> </w:t>
      </w:r>
      <w:r w:rsidRPr="004A7FA2">
        <w:rPr>
          <w:lang w:val="en-GB"/>
        </w:rPr>
        <w:t xml:space="preserve">E. J. van Wolde (“Outcry, Knowledge, and Judgment in Genesis 18—19,” in </w:t>
      </w:r>
      <w:r w:rsidRPr="004A7FA2">
        <w:t xml:space="preserve">Lipton [ed.], </w:t>
      </w:r>
      <w:r w:rsidRPr="004A7FA2">
        <w:rPr>
          <w:i/>
        </w:rPr>
        <w:t>Universalism and Particularism at Sodom and Gomorrah</w:t>
      </w:r>
      <w:r w:rsidRPr="004A7FA2">
        <w:t xml:space="preserve">, 71-100) </w:t>
      </w:r>
      <w:r>
        <w:rPr>
          <w:lang w:val="en-GB"/>
        </w:rPr>
        <w:t>argues for</w:t>
      </w:r>
      <w:r w:rsidRPr="004A7FA2">
        <w:rPr>
          <w:lang w:val="en-GB"/>
        </w:rPr>
        <w:t xml:space="preserve"> </w:t>
      </w:r>
      <w:r>
        <w:rPr>
          <w:lang w:val="en-GB"/>
        </w:rPr>
        <w:t xml:space="preserve">the more obvious translation </w:t>
      </w:r>
      <w:r w:rsidRPr="004A7FA2">
        <w:t xml:space="preserve">“the outcry </w:t>
      </w:r>
      <w:r w:rsidRPr="004A7FA2">
        <w:rPr>
          <w:i/>
        </w:rPr>
        <w:t>of</w:t>
      </w:r>
      <w:r w:rsidRPr="004A7FA2">
        <w:t xml:space="preserve"> </w:t>
      </w:r>
      <w:r w:rsidRPr="004A7FA2">
        <w:rPr>
          <w:lang w:val="en-GB"/>
        </w:rPr>
        <w:t>Sodom and Gomorrah</w:t>
      </w:r>
      <w:r>
        <w:t>,</w:t>
      </w:r>
      <w:r w:rsidRPr="004A7FA2">
        <w:t>”</w:t>
      </w:r>
      <w:r>
        <w:t xml:space="preserve"> but it is hard to make sense of, especially in 19:13. Commentators such as Driver (</w:t>
      </w:r>
      <w:r>
        <w:rPr>
          <w:i/>
        </w:rPr>
        <w:t>Genesis</w:t>
      </w:r>
      <w:r>
        <w:t>, 196) and Seebass (</w:t>
      </w:r>
      <w:r w:rsidRPr="00EF3C75">
        <w:rPr>
          <w:i/>
        </w:rPr>
        <w:t xml:space="preserve">Genesis </w:t>
      </w:r>
      <w:r>
        <w:t>2/1:117) thus argue for “</w:t>
      </w:r>
      <w:r w:rsidRPr="00D06DAC">
        <w:t xml:space="preserve">the outcry </w:t>
      </w:r>
      <w:r w:rsidRPr="00D06DAC">
        <w:rPr>
          <w:i/>
        </w:rPr>
        <w:t>about</w:t>
      </w:r>
      <w:r w:rsidRPr="00D06DAC">
        <w:t xml:space="preserve"> </w:t>
      </w:r>
      <w:r>
        <w:rPr>
          <w:lang w:val="en-GB"/>
        </w:rPr>
        <w:t>So</w:t>
      </w:r>
      <w:r w:rsidRPr="00D06DAC">
        <w:rPr>
          <w:lang w:val="en-GB"/>
        </w:rPr>
        <w:t>dom and Gomorrah</w:t>
      </w:r>
      <w:r>
        <w:rPr>
          <w:lang w:val="en-GB"/>
        </w:rPr>
        <w:t>.”</w:t>
      </w:r>
    </w:p>
  </w:footnote>
  <w:footnote w:id="391">
    <w:p w14:paraId="4B82F146" w14:textId="77777777" w:rsidR="000438B1" w:rsidRDefault="000438B1" w:rsidP="00103DCC">
      <w:pPr>
        <w:pStyle w:val="FootnoteText"/>
      </w:pPr>
      <w:r>
        <w:rPr>
          <w:rStyle w:val="FootnoteReference"/>
        </w:rPr>
        <w:footnoteRef/>
      </w:r>
      <w:r>
        <w:t xml:space="preserve"> Putting the subjects before the “because” gives them focus (Bandstra, “Word Order and Emphasis,” 121).</w:t>
      </w:r>
    </w:p>
  </w:footnote>
  <w:footnote w:id="392">
    <w:p w14:paraId="796EDE59" w14:textId="4C1FD036" w:rsidR="000438B1" w:rsidRPr="00984358" w:rsidRDefault="000438B1">
      <w:pPr>
        <w:pStyle w:val="FootnoteText"/>
      </w:pPr>
      <w:r>
        <w:rPr>
          <w:rStyle w:val="FootnoteReference"/>
        </w:rPr>
        <w:footnoteRef/>
      </w:r>
      <w:r>
        <w:t xml:space="preserve"> For the expression </w:t>
      </w:r>
      <w:r w:rsidRPr="00984358">
        <w:rPr>
          <w:i/>
        </w:rPr>
        <w:t>‘āśāh kālāh</w:t>
      </w:r>
      <w:r w:rsidRPr="00984358">
        <w:t xml:space="preserve"> </w:t>
      </w:r>
      <w:r>
        <w:t xml:space="preserve">see e.g., Jer 4:27; 5:10, though it usually refers to God’s bringing about such destruction (cf. </w:t>
      </w:r>
      <w:proofErr w:type="gramStart"/>
      <w:r>
        <w:t>Tg</w:t>
      </w:r>
      <w:proofErr w:type="gramEnd"/>
      <w:r>
        <w:t xml:space="preserve"> here). LXX, Vg imply that here alone it means “acted totally.”</w:t>
      </w:r>
    </w:p>
  </w:footnote>
  <w:footnote w:id="393">
    <w:p w14:paraId="2D54E6F5" w14:textId="60564DBB" w:rsidR="000438B1" w:rsidRPr="00572D1C" w:rsidRDefault="000438B1" w:rsidP="00673FC6">
      <w:pPr>
        <w:pStyle w:val="FootnoteText"/>
      </w:pPr>
      <w:r>
        <w:rPr>
          <w:rStyle w:val="FootnoteReference"/>
        </w:rPr>
        <w:footnoteRef/>
      </w:r>
      <w:r>
        <w:t xml:space="preserve"> See the footnote to v. 20—which had </w:t>
      </w:r>
      <w:r>
        <w:rPr>
          <w:i/>
        </w:rPr>
        <w:t>zᵉ‘āqāh</w:t>
      </w:r>
      <w:r>
        <w:t xml:space="preserve">, while v. 21 has </w:t>
      </w:r>
      <w:r>
        <w:rPr>
          <w:i/>
        </w:rPr>
        <w:t>ṣᵉ‘āqāh</w:t>
      </w:r>
      <w:r>
        <w:t>, but there seems to be no significance in the alternation.</w:t>
      </w:r>
    </w:p>
  </w:footnote>
  <w:footnote w:id="394">
    <w:p w14:paraId="2D2D0AC3" w14:textId="77777777" w:rsidR="000438B1" w:rsidRPr="00AB5358" w:rsidRDefault="000438B1">
      <w:pPr>
        <w:pStyle w:val="FootnoteText"/>
      </w:pPr>
      <w:r>
        <w:rPr>
          <w:rStyle w:val="FootnoteReference"/>
        </w:rPr>
        <w:footnoteRef/>
      </w:r>
      <w:r>
        <w:t xml:space="preserve"> According to a note in </w:t>
      </w:r>
      <w:r>
        <w:rPr>
          <w:i/>
        </w:rPr>
        <w:t>GenR</w:t>
      </w:r>
      <w:r>
        <w:t xml:space="preserve"> 49:7, the text originally read “Yahweh stood before Abraham”; scribes then thought this daring reading could not be right and emended it, and it is one of the eighteen such “corrections of the scribes” in the First Testament (see </w:t>
      </w:r>
      <w:r w:rsidRPr="00AB5358">
        <w:t>C. McCarthy,</w:t>
      </w:r>
      <w:r>
        <w:rPr>
          <w:i/>
        </w:rPr>
        <w:t xml:space="preserve"> The T</w:t>
      </w:r>
      <w:r w:rsidRPr="00AB5358">
        <w:rPr>
          <w:i/>
        </w:rPr>
        <w:t>iqqu</w:t>
      </w:r>
      <w:r>
        <w:rPr>
          <w:i/>
        </w:rPr>
        <w:t>ne S</w:t>
      </w:r>
      <w:r w:rsidRPr="00AB5358">
        <w:rPr>
          <w:i/>
        </w:rPr>
        <w:t>opherim</w:t>
      </w:r>
      <w:r>
        <w:t xml:space="preserve"> [Göttingen: Vandenhoeck, 1981]). “R</w:t>
      </w:r>
      <w:r w:rsidRPr="00E04FCF">
        <w:t>egardless of the original word order—Abraham standing before Yahweh or vice versa – the narrator’s voice here creates a slight pause in the action, as though Abraham were pondering whether or not to speak up</w:t>
      </w:r>
      <w:r>
        <w:t>” (</w:t>
      </w:r>
      <w:r w:rsidRPr="00E04FCF">
        <w:t xml:space="preserve">Arnold, </w:t>
      </w:r>
      <w:r w:rsidRPr="00E04FCF">
        <w:rPr>
          <w:i/>
        </w:rPr>
        <w:t>Genesis</w:t>
      </w:r>
      <w:r w:rsidRPr="00E04FCF">
        <w:t>, 182</w:t>
      </w:r>
      <w:r>
        <w:t>).</w:t>
      </w:r>
    </w:p>
  </w:footnote>
  <w:footnote w:id="395">
    <w:p w14:paraId="3402B8CD" w14:textId="77777777" w:rsidR="000438B1" w:rsidRDefault="000438B1">
      <w:pPr>
        <w:pStyle w:val="FootnoteText"/>
      </w:pPr>
      <w:r>
        <w:rPr>
          <w:rStyle w:val="FootnoteReference"/>
        </w:rPr>
        <w:footnoteRef/>
      </w:r>
      <w:r>
        <w:t xml:space="preserve"> </w:t>
      </w:r>
      <w:r>
        <w:rPr>
          <w:i/>
        </w:rPr>
        <w:t xml:space="preserve">Nāśā’ </w:t>
      </w:r>
      <w:r>
        <w:t xml:space="preserve">with an object such as waywardness can in effect mean “forgive,” but here the verb is followed by </w:t>
      </w:r>
      <w:r>
        <w:rPr>
          <w:i/>
        </w:rPr>
        <w:t xml:space="preserve">lᵉ </w:t>
      </w:r>
      <w:r>
        <w:t xml:space="preserve">(the two usages come together in Num 14:18-19). </w:t>
      </w:r>
      <w:r w:rsidRPr="00F94729">
        <w:t>Tg</w:t>
      </w:r>
      <w:r>
        <w:t>Onq</w:t>
      </w:r>
      <w:r>
        <w:rPr>
          <w:i/>
        </w:rPr>
        <w:t xml:space="preserve">, </w:t>
      </w:r>
      <w:r>
        <w:t>LXX have “let go,” Vg “spare” here.</w:t>
      </w:r>
    </w:p>
  </w:footnote>
  <w:footnote w:id="396">
    <w:p w14:paraId="677861C5" w14:textId="77777777" w:rsidR="000438B1" w:rsidRPr="00811B3E" w:rsidRDefault="000438B1">
      <w:pPr>
        <w:pStyle w:val="FootnoteText"/>
      </w:pPr>
      <w:r>
        <w:rPr>
          <w:rStyle w:val="FootnoteReference"/>
        </w:rPr>
        <w:footnoteRef/>
      </w:r>
      <w:r>
        <w:t xml:space="preserve"> “In no way” (LXX) or “far be it from you” (Vg) under-translate </w:t>
      </w:r>
      <w:r>
        <w:rPr>
          <w:i/>
        </w:rPr>
        <w:t>ḥālilāh</w:t>
      </w:r>
      <w:r>
        <w:t xml:space="preserve"> (see BDB).</w:t>
      </w:r>
    </w:p>
  </w:footnote>
  <w:footnote w:id="397">
    <w:p w14:paraId="104B9F7B" w14:textId="77777777" w:rsidR="000438B1" w:rsidRPr="005A75DF" w:rsidRDefault="000438B1" w:rsidP="000E42CD">
      <w:pPr>
        <w:autoSpaceDE w:val="0"/>
        <w:autoSpaceDN w:val="0"/>
        <w:adjustRightInd w:val="0"/>
        <w:rPr>
          <w:rFonts w:ascii="Courier" w:eastAsiaTheme="minorHAnsi" w:hAnsi="Courier" w:cs="Courier"/>
          <w:sz w:val="14"/>
          <w:szCs w:val="14"/>
        </w:rPr>
      </w:pPr>
      <w:r>
        <w:rPr>
          <w:rStyle w:val="FootnoteReference"/>
        </w:rPr>
        <w:footnoteRef/>
      </w:r>
      <w:r>
        <w:t xml:space="preserve"> </w:t>
      </w:r>
      <w:r w:rsidRPr="0050433E">
        <w:rPr>
          <w:sz w:val="20"/>
          <w:szCs w:val="20"/>
        </w:rPr>
        <w:t xml:space="preserve">EVV have something like </w:t>
      </w:r>
      <w:r>
        <w:rPr>
          <w:sz w:val="20"/>
          <w:szCs w:val="20"/>
        </w:rPr>
        <w:t>“</w:t>
      </w:r>
      <w:r w:rsidRPr="0050433E">
        <w:rPr>
          <w:sz w:val="20"/>
          <w:szCs w:val="20"/>
        </w:rPr>
        <w:t>Isn’t the one who exercises authority… to act justly,</w:t>
      </w:r>
      <w:r>
        <w:rPr>
          <w:sz w:val="20"/>
          <w:szCs w:val="20"/>
        </w:rPr>
        <w:t>”</w:t>
      </w:r>
      <w:r w:rsidRPr="0050433E">
        <w:rPr>
          <w:sz w:val="20"/>
          <w:szCs w:val="20"/>
        </w:rPr>
        <w:t xml:space="preserve"> but th</w:t>
      </w:r>
      <w:r>
        <w:rPr>
          <w:sz w:val="20"/>
          <w:szCs w:val="20"/>
        </w:rPr>
        <w:t xml:space="preserve">is translation obscures </w:t>
      </w:r>
      <w:r w:rsidRPr="0050433E">
        <w:rPr>
          <w:sz w:val="20"/>
          <w:szCs w:val="20"/>
        </w:rPr>
        <w:t>Abraham</w:t>
      </w:r>
      <w:r>
        <w:rPr>
          <w:sz w:val="20"/>
          <w:szCs w:val="20"/>
        </w:rPr>
        <w:t>’s use of</w:t>
      </w:r>
      <w:r w:rsidRPr="0050433E">
        <w:rPr>
          <w:sz w:val="20"/>
          <w:szCs w:val="20"/>
        </w:rPr>
        <w:t xml:space="preserve"> the verb </w:t>
      </w:r>
      <w:r w:rsidRPr="0050433E">
        <w:rPr>
          <w:i/>
          <w:sz w:val="20"/>
          <w:szCs w:val="20"/>
        </w:rPr>
        <w:t>šāpaṭ</w:t>
      </w:r>
      <w:r w:rsidRPr="0050433E">
        <w:rPr>
          <w:sz w:val="20"/>
          <w:szCs w:val="20"/>
        </w:rPr>
        <w:t xml:space="preserve"> and then the related noun </w:t>
      </w:r>
      <w:r w:rsidRPr="0050433E">
        <w:rPr>
          <w:i/>
          <w:sz w:val="20"/>
          <w:szCs w:val="20"/>
        </w:rPr>
        <w:t>mišpāṭ</w:t>
      </w:r>
      <w:r w:rsidRPr="0050433E">
        <w:rPr>
          <w:sz w:val="20"/>
          <w:szCs w:val="20"/>
        </w:rPr>
        <w:t xml:space="preserve">. </w:t>
      </w:r>
      <w:r>
        <w:rPr>
          <w:sz w:val="20"/>
          <w:szCs w:val="20"/>
        </w:rPr>
        <w:t>“</w:t>
      </w:r>
      <w:r w:rsidRPr="005A75DF">
        <w:rPr>
          <w:rFonts w:eastAsiaTheme="minorHAnsi" w:cs="Courier"/>
          <w:sz w:val="20"/>
          <w:szCs w:val="20"/>
        </w:rPr>
        <w:t>The Heb. is more pointed and forcible than the English:</w:t>
      </w:r>
      <w:r>
        <w:rPr>
          <w:rFonts w:eastAsiaTheme="minorHAnsi" w:cs="Courier"/>
          <w:sz w:val="20"/>
          <w:szCs w:val="20"/>
        </w:rPr>
        <w:t xml:space="preserve"> </w:t>
      </w:r>
      <w:r w:rsidRPr="005A75DF">
        <w:rPr>
          <w:rFonts w:eastAsiaTheme="minorHAnsi" w:cs="Courier"/>
          <w:sz w:val="20"/>
          <w:szCs w:val="20"/>
        </w:rPr>
        <w:t xml:space="preserve">'shall not the </w:t>
      </w:r>
      <w:r w:rsidRPr="005A75DF">
        <w:rPr>
          <w:rFonts w:eastAsiaTheme="minorHAnsi" w:cs="Courier"/>
          <w:i/>
          <w:sz w:val="20"/>
          <w:szCs w:val="20"/>
        </w:rPr>
        <w:t>judge</w:t>
      </w:r>
      <w:r w:rsidRPr="005A75DF">
        <w:rPr>
          <w:rFonts w:eastAsiaTheme="minorHAnsi" w:cs="Courier"/>
          <w:sz w:val="20"/>
          <w:szCs w:val="20"/>
        </w:rPr>
        <w:t xml:space="preserve"> of all the earth do </w:t>
      </w:r>
      <w:r w:rsidRPr="005A75DF">
        <w:rPr>
          <w:rFonts w:eastAsiaTheme="minorHAnsi" w:cs="Courier"/>
          <w:i/>
          <w:sz w:val="20"/>
          <w:szCs w:val="20"/>
        </w:rPr>
        <w:t>jud</w:t>
      </w:r>
      <w:r>
        <w:rPr>
          <w:rFonts w:eastAsiaTheme="minorHAnsi" w:cs="Courier"/>
          <w:i/>
          <w:sz w:val="20"/>
          <w:szCs w:val="20"/>
        </w:rPr>
        <w:t>gement</w:t>
      </w:r>
      <w:r>
        <w:rPr>
          <w:rFonts w:eastAsiaTheme="minorHAnsi" w:cs="Courier"/>
          <w:sz w:val="20"/>
          <w:szCs w:val="20"/>
        </w:rPr>
        <w:t>?’—</w:t>
      </w:r>
      <w:r w:rsidRPr="005A75DF">
        <w:rPr>
          <w:rFonts w:eastAsiaTheme="minorHAnsi" w:cs="Courier"/>
          <w:sz w:val="20"/>
          <w:szCs w:val="20"/>
        </w:rPr>
        <w:t xml:space="preserve">do what the title which He bears </w:t>
      </w:r>
      <w:r>
        <w:rPr>
          <w:rFonts w:eastAsiaTheme="minorHAnsi" w:cs="Courier"/>
          <w:sz w:val="20"/>
          <w:szCs w:val="20"/>
        </w:rPr>
        <w:t xml:space="preserve">implies” (Driver, </w:t>
      </w:r>
      <w:r>
        <w:rPr>
          <w:rFonts w:eastAsiaTheme="minorHAnsi" w:cs="Courier"/>
          <w:i/>
          <w:sz w:val="20"/>
          <w:szCs w:val="20"/>
        </w:rPr>
        <w:t>Genesis</w:t>
      </w:r>
      <w:r>
        <w:rPr>
          <w:rFonts w:eastAsiaTheme="minorHAnsi" w:cs="Courier"/>
          <w:sz w:val="20"/>
          <w:szCs w:val="20"/>
        </w:rPr>
        <w:t>, 197).</w:t>
      </w:r>
    </w:p>
  </w:footnote>
  <w:footnote w:id="398">
    <w:p w14:paraId="4031EE27" w14:textId="77777777" w:rsidR="000438B1" w:rsidRPr="00ED0239" w:rsidRDefault="000438B1">
      <w:pPr>
        <w:pStyle w:val="FootnoteText"/>
      </w:pPr>
      <w:r>
        <w:rPr>
          <w:rStyle w:val="FootnoteReference"/>
        </w:rPr>
        <w:footnoteRef/>
      </w:r>
      <w:r>
        <w:t xml:space="preserve"> </w:t>
      </w:r>
      <w:r>
        <w:rPr>
          <w:i/>
        </w:rPr>
        <w:t>‘Ānāh</w:t>
      </w:r>
      <w:r>
        <w:t xml:space="preserve"> usually means “respond,” but in some passages there is nothing to “respond” to and the verb can carry the connotation of avow or testify in a formal sense.</w:t>
      </w:r>
    </w:p>
  </w:footnote>
  <w:footnote w:id="399">
    <w:p w14:paraId="568A180C" w14:textId="77777777" w:rsidR="000438B1" w:rsidRPr="00DC5220" w:rsidRDefault="000438B1">
      <w:pPr>
        <w:pStyle w:val="FootnoteText"/>
      </w:pPr>
      <w:r>
        <w:rPr>
          <w:rStyle w:val="FootnoteReference"/>
        </w:rPr>
        <w:footnoteRef/>
      </w:r>
      <w:r>
        <w:t xml:space="preserve"> A hendiadys inspired by paronomasia (</w:t>
      </w:r>
      <w:r>
        <w:rPr>
          <w:i/>
        </w:rPr>
        <w:t>‘āpār wᵉ’ēper</w:t>
      </w:r>
      <w:r>
        <w:t>).</w:t>
      </w:r>
    </w:p>
  </w:footnote>
  <w:footnote w:id="400">
    <w:p w14:paraId="0AC961F3" w14:textId="77777777" w:rsidR="000438B1" w:rsidRPr="009F52D9" w:rsidRDefault="000438B1">
      <w:pPr>
        <w:pStyle w:val="FootnoteText"/>
      </w:pPr>
      <w:r>
        <w:rPr>
          <w:rStyle w:val="FootnoteReference"/>
        </w:rPr>
        <w:footnoteRef/>
      </w:r>
      <w:r>
        <w:t xml:space="preserve"> On the verb, see the comment on 4:1. But R. Pirson, for instance (“Does Lot Know about </w:t>
      </w:r>
      <w:r>
        <w:rPr>
          <w:i/>
        </w:rPr>
        <w:t>Yada‘</w:t>
      </w:r>
      <w:r>
        <w:t xml:space="preserve">,” in Lipton, </w:t>
      </w:r>
      <w:r w:rsidRPr="00361C04">
        <w:rPr>
          <w:i/>
        </w:rPr>
        <w:t>Universalism and Particularism at Sodom and Gomorrah</w:t>
      </w:r>
      <w:r w:rsidRPr="00361C04">
        <w:t>,</w:t>
      </w:r>
      <w:r>
        <w:t xml:space="preserve"> 203-13) thinks that </w:t>
      </w:r>
      <w:proofErr w:type="gramStart"/>
      <w:r>
        <w:rPr>
          <w:i/>
        </w:rPr>
        <w:t xml:space="preserve">yāda‘ </w:t>
      </w:r>
      <w:r>
        <w:t>is</w:t>
      </w:r>
      <w:proofErr w:type="gramEnd"/>
      <w:r>
        <w:t xml:space="preserve"> at least ambiguous here and does not clearly refer to sex, as it does in v. 8 as well as 4:1. Cf. B. Doyle, “The Sin of Sodom,” </w:t>
      </w:r>
      <w:r>
        <w:rPr>
          <w:i/>
        </w:rPr>
        <w:t>Theology and Sexuality</w:t>
      </w:r>
      <w:r>
        <w:t xml:space="preserve"> 9 (1998): 84-100; R. C. Bailey, “Why Do Readers Believe Lot?” </w:t>
      </w:r>
      <w:r>
        <w:rPr>
          <w:i/>
        </w:rPr>
        <w:t>OTE</w:t>
      </w:r>
      <w:r>
        <w:t xml:space="preserve"> 23 (2010): 519-48.</w:t>
      </w:r>
    </w:p>
  </w:footnote>
  <w:footnote w:id="401">
    <w:p w14:paraId="6ABF55BB" w14:textId="77777777" w:rsidR="000438B1" w:rsidRPr="00F84CBD" w:rsidRDefault="000438B1">
      <w:pPr>
        <w:pStyle w:val="FootnoteText"/>
      </w:pPr>
      <w:r>
        <w:rPr>
          <w:rStyle w:val="FootnoteReference"/>
        </w:rPr>
        <w:footnoteRef/>
      </w:r>
      <w:r>
        <w:t xml:space="preserve"> LXX, Vg have “get away over there,” but the use of the verb </w:t>
      </w:r>
      <w:r>
        <w:rPr>
          <w:i/>
        </w:rPr>
        <w:t>n</w:t>
      </w:r>
      <w:r>
        <w:rPr>
          <w:rFonts w:cs="Calibri"/>
          <w:i/>
        </w:rPr>
        <w:t>āgaš</w:t>
      </w:r>
      <w:r>
        <w:rPr>
          <w:rFonts w:cs="Calibri"/>
        </w:rPr>
        <w:t xml:space="preserve"> is then odd, and it has its regular meaning later in the verse (see C. Heard, “</w:t>
      </w:r>
      <w:r>
        <w:rPr>
          <w:rFonts w:asciiTheme="minorHAnsi" w:eastAsiaTheme="minorHAnsi" w:hAnsiTheme="minorHAnsi" w:cstheme="minorHAnsi"/>
          <w:bCs/>
        </w:rPr>
        <w:t>What Does the Mob Want Lot to Do i</w:t>
      </w:r>
      <w:r w:rsidRPr="00F84CBD">
        <w:rPr>
          <w:rFonts w:asciiTheme="minorHAnsi" w:eastAsiaTheme="minorHAnsi" w:hAnsiTheme="minorHAnsi" w:cstheme="minorHAnsi"/>
          <w:bCs/>
        </w:rPr>
        <w:t>n Genesis 19:9?</w:t>
      </w:r>
      <w:r>
        <w:rPr>
          <w:rFonts w:asciiTheme="minorHAnsi" w:eastAsiaTheme="minorHAnsi" w:hAnsiTheme="minorHAnsi" w:cstheme="minorHAnsi"/>
          <w:bCs/>
        </w:rPr>
        <w:t xml:space="preserve">” </w:t>
      </w:r>
      <w:r>
        <w:rPr>
          <w:rFonts w:asciiTheme="minorHAnsi" w:eastAsiaTheme="minorHAnsi" w:hAnsiTheme="minorHAnsi" w:cstheme="minorHAnsi"/>
          <w:bCs/>
          <w:i/>
        </w:rPr>
        <w:t>Hebrew Studies</w:t>
      </w:r>
      <w:r>
        <w:rPr>
          <w:rFonts w:asciiTheme="minorHAnsi" w:eastAsiaTheme="minorHAnsi" w:hAnsiTheme="minorHAnsi" w:cstheme="minorHAnsi"/>
          <w:bCs/>
        </w:rPr>
        <w:t xml:space="preserve"> 51 [2010]: 95-105).</w:t>
      </w:r>
    </w:p>
  </w:footnote>
  <w:footnote w:id="402">
    <w:p w14:paraId="23A68A3F" w14:textId="00228738" w:rsidR="000438B1" w:rsidRPr="002C251C" w:rsidRDefault="000438B1" w:rsidP="0082017C">
      <w:pPr>
        <w:pStyle w:val="FootnoteText"/>
      </w:pPr>
      <w:r w:rsidRPr="002C251C">
        <w:rPr>
          <w:rStyle w:val="FootnoteReference"/>
        </w:rPr>
        <w:footnoteRef/>
      </w:r>
      <w:r w:rsidRPr="002C251C">
        <w:t xml:space="preserve"> The infinit</w:t>
      </w:r>
      <w:r>
        <w:t xml:space="preserve">ive </w:t>
      </w:r>
      <w:r w:rsidRPr="002C251C">
        <w:t xml:space="preserve">precedes the finite verb for emphasis: </w:t>
      </w:r>
      <w:r>
        <w:t>l</w:t>
      </w:r>
      <w:r w:rsidRPr="002C251C">
        <w:t>iteral</w:t>
      </w:r>
      <w:r>
        <w:t>ly, “with judging he’s judging.”</w:t>
      </w:r>
    </w:p>
  </w:footnote>
  <w:footnote w:id="403">
    <w:p w14:paraId="4948D873" w14:textId="58656DD7" w:rsidR="000438B1" w:rsidRDefault="000438B1">
      <w:pPr>
        <w:pStyle w:val="FootnoteText"/>
      </w:pPr>
      <w:r>
        <w:rPr>
          <w:rStyle w:val="FootnoteReference"/>
        </w:rPr>
        <w:footnoteRef/>
      </w:r>
      <w:r>
        <w:t xml:space="preserve"> See the footnote to 18:20.</w:t>
      </w:r>
    </w:p>
  </w:footnote>
  <w:footnote w:id="404">
    <w:p w14:paraId="0AA494BD" w14:textId="77777777" w:rsidR="000438B1" w:rsidRDefault="000438B1" w:rsidP="00803B0B">
      <w:pPr>
        <w:pStyle w:val="FootnoteText"/>
      </w:pPr>
      <w:r>
        <w:rPr>
          <w:rStyle w:val="FootnoteReference"/>
        </w:rPr>
        <w:footnoteRef/>
      </w:r>
      <w:r>
        <w:t xml:space="preserve"> Cf. LXX, TgPsJ for the past translation of the participle; contrast Vg.</w:t>
      </w:r>
    </w:p>
  </w:footnote>
  <w:footnote w:id="405">
    <w:p w14:paraId="66EACBC8" w14:textId="4A50F3A2" w:rsidR="000438B1" w:rsidRDefault="000438B1">
      <w:pPr>
        <w:pStyle w:val="FootnoteText"/>
      </w:pPr>
      <w:r>
        <w:rPr>
          <w:rStyle w:val="FootnoteReference"/>
        </w:rPr>
        <w:footnoteRef/>
      </w:r>
      <w:r>
        <w:t xml:space="preserve"> See the footnote to 18:3.</w:t>
      </w:r>
    </w:p>
  </w:footnote>
  <w:footnote w:id="406">
    <w:p w14:paraId="5898AF8A" w14:textId="77777777" w:rsidR="000438B1" w:rsidRDefault="000438B1">
      <w:pPr>
        <w:pStyle w:val="FootnoteText"/>
      </w:pPr>
      <w:r>
        <w:rPr>
          <w:rStyle w:val="FootnoteReference"/>
        </w:rPr>
        <w:footnoteRef/>
      </w:r>
      <w:r>
        <w:t xml:space="preserve"> Literally, “I have lifted your face”; t</w:t>
      </w:r>
      <w:r w:rsidRPr="00AA1A22">
        <w:t xml:space="preserve">he declarative/performative </w:t>
      </w:r>
      <w:r>
        <w:t xml:space="preserve">qatal suggests a speech act, “I hereby accept.” </w:t>
      </w:r>
    </w:p>
  </w:footnote>
  <w:footnote w:id="407">
    <w:p w14:paraId="749332F2" w14:textId="77777777" w:rsidR="000438B1" w:rsidRDefault="000438B1">
      <w:pPr>
        <w:pStyle w:val="FootnoteText"/>
      </w:pPr>
      <w:r>
        <w:rPr>
          <w:rStyle w:val="FootnoteReference"/>
        </w:rPr>
        <w:footnoteRef/>
      </w:r>
      <w:r>
        <w:t xml:space="preserve"> The verb is singular, “one named.”</w:t>
      </w:r>
    </w:p>
  </w:footnote>
  <w:footnote w:id="408">
    <w:p w14:paraId="4E166ABE" w14:textId="77777777" w:rsidR="000438B1" w:rsidRDefault="000438B1">
      <w:pPr>
        <w:pStyle w:val="FootnoteText"/>
      </w:pPr>
      <w:r>
        <w:rPr>
          <w:rStyle w:val="FootnoteReference"/>
        </w:rPr>
        <w:footnoteRef/>
      </w:r>
      <w:r>
        <w:t xml:space="preserve"> Literally, “the cave” (see GK 126r).</w:t>
      </w:r>
    </w:p>
  </w:footnote>
  <w:footnote w:id="409">
    <w:p w14:paraId="4D09EC8A" w14:textId="77777777" w:rsidR="000438B1" w:rsidRPr="005B700D" w:rsidRDefault="000438B1">
      <w:pPr>
        <w:pStyle w:val="FootnoteText"/>
      </w:pPr>
      <w:r>
        <w:rPr>
          <w:rStyle w:val="FootnoteReference"/>
        </w:rPr>
        <w:footnoteRef/>
      </w:r>
      <w:r>
        <w:t xml:space="preserve"> In isolation, one might translate </w:t>
      </w:r>
      <w:r>
        <w:rPr>
          <w:i/>
        </w:rPr>
        <w:t xml:space="preserve">bā’āreṣ </w:t>
      </w:r>
      <w:r>
        <w:t xml:space="preserve">“in the region” (cf. v. 28), but </w:t>
      </w:r>
      <w:r>
        <w:rPr>
          <w:i/>
        </w:rPr>
        <w:t>hā’āreṣ</w:t>
      </w:r>
      <w:r>
        <w:t xml:space="preserve"> later in the sentence has to mean “world.”</w:t>
      </w:r>
    </w:p>
  </w:footnote>
  <w:footnote w:id="410">
    <w:p w14:paraId="39E5EACE" w14:textId="62EBCBD3" w:rsidR="000438B1" w:rsidRDefault="000438B1">
      <w:pPr>
        <w:pStyle w:val="FootnoteText"/>
      </w:pPr>
      <w:r>
        <w:rPr>
          <w:rStyle w:val="FootnoteReference"/>
        </w:rPr>
        <w:footnoteRef/>
      </w:r>
      <w:r>
        <w:t xml:space="preserve"> Literally, “to come on us.”</w:t>
      </w:r>
    </w:p>
  </w:footnote>
  <w:footnote w:id="411">
    <w:p w14:paraId="10C44B18" w14:textId="77777777" w:rsidR="000438B1" w:rsidRDefault="000438B1" w:rsidP="007F4A50">
      <w:pPr>
        <w:pStyle w:val="FootnoteText"/>
      </w:pPr>
      <w:r>
        <w:rPr>
          <w:rStyle w:val="FootnoteReference"/>
        </w:rPr>
        <w:footnoteRef/>
      </w:r>
      <w:r>
        <w:t xml:space="preserve"> Cf. </w:t>
      </w:r>
      <w:r w:rsidRPr="003F5CA3">
        <w:t xml:space="preserve">R. I. Letellier, </w:t>
      </w:r>
      <w:r w:rsidRPr="003F5CA3">
        <w:rPr>
          <w:i/>
        </w:rPr>
        <w:t>Day in Mamre, Night in Sodom</w:t>
      </w:r>
      <w:r>
        <w:t xml:space="preserve"> (Leiden: Br</w:t>
      </w:r>
      <w:r w:rsidRPr="003F5CA3">
        <w:t>ill, 1995).</w:t>
      </w:r>
    </w:p>
  </w:footnote>
  <w:footnote w:id="412">
    <w:p w14:paraId="63EC4D81" w14:textId="77777777" w:rsidR="000438B1" w:rsidRPr="00D6327D" w:rsidRDefault="000438B1" w:rsidP="00AE04D6">
      <w:pPr>
        <w:pStyle w:val="FootnoteText"/>
      </w:pPr>
      <w:r>
        <w:rPr>
          <w:rStyle w:val="FootnoteReference"/>
        </w:rPr>
        <w:footnoteRef/>
      </w:r>
      <w:r>
        <w:t xml:space="preserve"> Fretheim, </w:t>
      </w:r>
      <w:r>
        <w:rPr>
          <w:i/>
        </w:rPr>
        <w:t>Abraham</w:t>
      </w:r>
      <w:r>
        <w:t>, 74.</w:t>
      </w:r>
    </w:p>
  </w:footnote>
  <w:footnote w:id="413">
    <w:p w14:paraId="62C988E5" w14:textId="77777777" w:rsidR="000438B1" w:rsidRPr="00D6327D" w:rsidRDefault="000438B1" w:rsidP="00AE04D6">
      <w:pPr>
        <w:pStyle w:val="FootnoteText"/>
      </w:pPr>
      <w:r>
        <w:rPr>
          <w:rStyle w:val="FootnoteReference"/>
        </w:rPr>
        <w:footnoteRef/>
      </w:r>
      <w:r>
        <w:t xml:space="preserve"> Fretheim, </w:t>
      </w:r>
      <w:r>
        <w:rPr>
          <w:i/>
        </w:rPr>
        <w:t>Abraham</w:t>
      </w:r>
      <w:r>
        <w:t>, 74.</w:t>
      </w:r>
    </w:p>
  </w:footnote>
  <w:footnote w:id="414">
    <w:p w14:paraId="66050BFD" w14:textId="77777777" w:rsidR="000438B1" w:rsidRPr="004562EC" w:rsidRDefault="000438B1" w:rsidP="00DD623F">
      <w:pPr>
        <w:pStyle w:val="FootnoteText"/>
      </w:pPr>
      <w:r>
        <w:rPr>
          <w:rStyle w:val="FootnoteReference"/>
        </w:rPr>
        <w:footnoteRef/>
      </w:r>
      <w:r>
        <w:t xml:space="preserve"> Cf. Coats, </w:t>
      </w:r>
      <w:r>
        <w:rPr>
          <w:i/>
        </w:rPr>
        <w:t>Genesis</w:t>
      </w:r>
      <w:r>
        <w:t>, 142.</w:t>
      </w:r>
    </w:p>
  </w:footnote>
  <w:footnote w:id="415">
    <w:p w14:paraId="6AA9DAB9" w14:textId="77777777" w:rsidR="000438B1" w:rsidRDefault="000438B1">
      <w:pPr>
        <w:pStyle w:val="FootnoteText"/>
      </w:pPr>
      <w:r>
        <w:rPr>
          <w:rStyle w:val="FootnoteReference"/>
        </w:rPr>
        <w:footnoteRef/>
      </w:r>
      <w:r>
        <w:t xml:space="preserve"> Cf. e.g. Zimmerli, </w:t>
      </w:r>
      <w:r w:rsidRPr="00EB75F9">
        <w:rPr>
          <w:i/>
        </w:rPr>
        <w:t>1. Mose 12—25</w:t>
      </w:r>
      <w:r w:rsidRPr="00EB75F9">
        <w:t>,</w:t>
      </w:r>
      <w:r>
        <w:t xml:space="preserve"> 81-82.</w:t>
      </w:r>
    </w:p>
  </w:footnote>
  <w:footnote w:id="416">
    <w:p w14:paraId="13027870" w14:textId="77777777" w:rsidR="000438B1" w:rsidRPr="00673F22" w:rsidRDefault="000438B1" w:rsidP="00AE04D6">
      <w:pPr>
        <w:pStyle w:val="FootnoteText"/>
      </w:pPr>
      <w:r>
        <w:rPr>
          <w:rStyle w:val="FootnoteReference"/>
        </w:rPr>
        <w:footnoteRef/>
      </w:r>
      <w:r>
        <w:t xml:space="preserve"> See further e.g., W. J. Lyons, </w:t>
      </w:r>
      <w:r>
        <w:rPr>
          <w:i/>
        </w:rPr>
        <w:t>Canon and Exegesis</w:t>
      </w:r>
      <w:r>
        <w:t xml:space="preserve"> (London: Sheffield Academic Press, 2002), 137-50.</w:t>
      </w:r>
    </w:p>
  </w:footnote>
  <w:footnote w:id="417">
    <w:p w14:paraId="1138E80A" w14:textId="77777777" w:rsidR="000438B1" w:rsidRPr="00DA2A51" w:rsidRDefault="000438B1" w:rsidP="00DD623F">
      <w:pPr>
        <w:pStyle w:val="FootnoteText"/>
      </w:pPr>
      <w:r>
        <w:rPr>
          <w:rStyle w:val="FootnoteReference"/>
        </w:rPr>
        <w:footnoteRef/>
      </w:r>
      <w:r>
        <w:t xml:space="preserve"> Brueggemann, </w:t>
      </w:r>
      <w:r>
        <w:rPr>
          <w:i/>
        </w:rPr>
        <w:t>Genesis</w:t>
      </w:r>
      <w:r>
        <w:t>, 162 (most of both sentences is in italics).</w:t>
      </w:r>
    </w:p>
  </w:footnote>
  <w:footnote w:id="418">
    <w:p w14:paraId="4F2A92A3" w14:textId="77777777" w:rsidR="000438B1" w:rsidRPr="004562EC" w:rsidRDefault="000438B1" w:rsidP="00BF7892">
      <w:pPr>
        <w:pStyle w:val="FootnoteText"/>
      </w:pPr>
      <w:r>
        <w:rPr>
          <w:rStyle w:val="FootnoteReference"/>
        </w:rPr>
        <w:footnoteRef/>
      </w:r>
      <w:r>
        <w:t xml:space="preserve"> Cf. Coats, </w:t>
      </w:r>
      <w:r>
        <w:rPr>
          <w:i/>
        </w:rPr>
        <w:t>Genesis</w:t>
      </w:r>
      <w:r>
        <w:t>, 141.</w:t>
      </w:r>
    </w:p>
  </w:footnote>
  <w:footnote w:id="419">
    <w:p w14:paraId="2F484A3D" w14:textId="77777777" w:rsidR="000438B1" w:rsidRDefault="000438B1" w:rsidP="00BF7892">
      <w:pPr>
        <w:pStyle w:val="FootnoteText"/>
      </w:pPr>
      <w:r>
        <w:rPr>
          <w:rStyle w:val="FootnoteReference"/>
        </w:rPr>
        <w:footnoteRef/>
      </w:r>
      <w:r>
        <w:t xml:space="preserve"> Coats, </w:t>
      </w:r>
      <w:r w:rsidRPr="007B5101">
        <w:rPr>
          <w:i/>
        </w:rPr>
        <w:t>Genesis</w:t>
      </w:r>
      <w:r>
        <w:t>, 144.</w:t>
      </w:r>
    </w:p>
  </w:footnote>
  <w:footnote w:id="420">
    <w:p w14:paraId="0354C388" w14:textId="77777777" w:rsidR="000438B1" w:rsidRPr="00A7183C" w:rsidRDefault="000438B1" w:rsidP="00BF7892">
      <w:pPr>
        <w:pStyle w:val="FootnoteText"/>
      </w:pPr>
      <w:r>
        <w:rPr>
          <w:rStyle w:val="FootnoteReference"/>
        </w:rPr>
        <w:footnoteRef/>
      </w:r>
      <w:r>
        <w:t xml:space="preserve"> Reno, </w:t>
      </w:r>
      <w:r>
        <w:rPr>
          <w:i/>
        </w:rPr>
        <w:t>Genesis</w:t>
      </w:r>
      <w:r>
        <w:t xml:space="preserve">, 186; cf. Origen’s contrast, </w:t>
      </w:r>
      <w:r w:rsidRPr="00A7183C">
        <w:rPr>
          <w:i/>
        </w:rPr>
        <w:t>Genesis and Exodus</w:t>
      </w:r>
      <w:r>
        <w:t>, 103-4.</w:t>
      </w:r>
    </w:p>
  </w:footnote>
  <w:footnote w:id="421">
    <w:p w14:paraId="65DDE2D0" w14:textId="77777777" w:rsidR="000438B1" w:rsidRDefault="000438B1">
      <w:pPr>
        <w:pStyle w:val="FootnoteText"/>
      </w:pPr>
      <w:r>
        <w:rPr>
          <w:rStyle w:val="FootnoteReference"/>
        </w:rPr>
        <w:footnoteRef/>
      </w:r>
      <w:r>
        <w:t xml:space="preserve"> Cf. Seebass, Genesis 2/1:139.</w:t>
      </w:r>
    </w:p>
  </w:footnote>
  <w:footnote w:id="422">
    <w:p w14:paraId="0C533E6D" w14:textId="77777777" w:rsidR="000438B1" w:rsidRDefault="000438B1" w:rsidP="00CE1C5B">
      <w:pPr>
        <w:pStyle w:val="FootnoteText"/>
      </w:pPr>
      <w:r>
        <w:rPr>
          <w:rStyle w:val="FootnoteReference"/>
        </w:rPr>
        <w:footnoteRef/>
      </w:r>
      <w:r>
        <w:t xml:space="preserve"> </w:t>
      </w:r>
      <w:r w:rsidRPr="00007052">
        <w:rPr>
          <w:i/>
        </w:rPr>
        <w:t>Br’šyt</w:t>
      </w:r>
      <w:r w:rsidRPr="00007052">
        <w:t>,</w:t>
      </w:r>
      <w:r>
        <w:t xml:space="preserve"> 172.</w:t>
      </w:r>
    </w:p>
  </w:footnote>
  <w:footnote w:id="423">
    <w:p w14:paraId="708EA58D" w14:textId="77777777" w:rsidR="000438B1" w:rsidRPr="00D954AF" w:rsidRDefault="000438B1">
      <w:pPr>
        <w:pStyle w:val="FootnoteText"/>
      </w:pPr>
      <w:r>
        <w:rPr>
          <w:rStyle w:val="FootnoteReference"/>
        </w:rPr>
        <w:footnoteRef/>
      </w:r>
      <w:r>
        <w:t xml:space="preserve"> Cf. Sarna, </w:t>
      </w:r>
      <w:r>
        <w:rPr>
          <w:i/>
        </w:rPr>
        <w:t>Genesis</w:t>
      </w:r>
      <w:r>
        <w:t>, 128.</w:t>
      </w:r>
    </w:p>
  </w:footnote>
  <w:footnote w:id="424">
    <w:p w14:paraId="2B71F6C7" w14:textId="77777777" w:rsidR="000438B1" w:rsidRPr="00704E18" w:rsidRDefault="000438B1" w:rsidP="00CE1C5B">
      <w:pPr>
        <w:pStyle w:val="FootnoteText"/>
      </w:pPr>
      <w:r>
        <w:rPr>
          <w:rStyle w:val="FootnoteReference"/>
        </w:rPr>
        <w:footnoteRef/>
      </w:r>
      <w:r>
        <w:t xml:space="preserve"> Skinner, </w:t>
      </w:r>
      <w:r>
        <w:rPr>
          <w:i/>
        </w:rPr>
        <w:t>Genesis</w:t>
      </w:r>
      <w:r>
        <w:t>, 299.</w:t>
      </w:r>
    </w:p>
  </w:footnote>
  <w:footnote w:id="425">
    <w:p w14:paraId="4E150124" w14:textId="77777777" w:rsidR="000438B1" w:rsidRPr="007A5CB6" w:rsidRDefault="000438B1">
      <w:pPr>
        <w:pStyle w:val="FootnoteText"/>
      </w:pPr>
      <w:r>
        <w:rPr>
          <w:rStyle w:val="FootnoteReference"/>
        </w:rPr>
        <w:footnoteRef/>
      </w:r>
      <w:r>
        <w:t xml:space="preserve"> Cf. Gunkel, </w:t>
      </w:r>
      <w:r>
        <w:rPr>
          <w:i/>
        </w:rPr>
        <w:t>Genesis</w:t>
      </w:r>
      <w:r>
        <w:t>, 192.</w:t>
      </w:r>
    </w:p>
  </w:footnote>
  <w:footnote w:id="426">
    <w:p w14:paraId="16D99B8C" w14:textId="77777777" w:rsidR="000438B1" w:rsidRPr="008076E0" w:rsidRDefault="000438B1" w:rsidP="00CE1C5B">
      <w:pPr>
        <w:pStyle w:val="FootnoteText"/>
      </w:pPr>
      <w:r>
        <w:rPr>
          <w:rStyle w:val="FootnoteReference"/>
        </w:rPr>
        <w:footnoteRef/>
      </w:r>
      <w:r>
        <w:t xml:space="preserve"> Brayford, </w:t>
      </w:r>
      <w:r>
        <w:rPr>
          <w:i/>
        </w:rPr>
        <w:t>Genesis</w:t>
      </w:r>
      <w:r>
        <w:t>, 310.</w:t>
      </w:r>
    </w:p>
  </w:footnote>
  <w:footnote w:id="427">
    <w:p w14:paraId="3530F8B1" w14:textId="77777777" w:rsidR="000438B1" w:rsidRPr="001F224C" w:rsidRDefault="000438B1">
      <w:pPr>
        <w:pStyle w:val="FootnoteText"/>
      </w:pPr>
      <w:r>
        <w:rPr>
          <w:rStyle w:val="FootnoteReference"/>
        </w:rPr>
        <w:footnoteRef/>
      </w:r>
      <w:r>
        <w:t xml:space="preserve"> Cf. Hamilton, </w:t>
      </w:r>
      <w:r>
        <w:rPr>
          <w:i/>
        </w:rPr>
        <w:t xml:space="preserve">Genesis </w:t>
      </w:r>
      <w:r w:rsidRPr="001F224C">
        <w:rPr>
          <w:i/>
        </w:rPr>
        <w:t>18-50</w:t>
      </w:r>
      <w:r>
        <w:t>, 9.</w:t>
      </w:r>
    </w:p>
  </w:footnote>
  <w:footnote w:id="428">
    <w:p w14:paraId="32C165EF" w14:textId="77777777" w:rsidR="000438B1" w:rsidRDefault="000438B1" w:rsidP="00EE4CD1">
      <w:pPr>
        <w:pStyle w:val="FootnoteText"/>
      </w:pPr>
      <w:r>
        <w:rPr>
          <w:rStyle w:val="FootnoteReference"/>
        </w:rPr>
        <w:footnoteRef/>
      </w:r>
      <w:r>
        <w:t xml:space="preserve"> Cf. Zimmerli, </w:t>
      </w:r>
      <w:r w:rsidRPr="004E2C97">
        <w:rPr>
          <w:i/>
        </w:rPr>
        <w:t>1. Mose 12—25</w:t>
      </w:r>
      <w:r w:rsidRPr="004E2C97">
        <w:t>,</w:t>
      </w:r>
      <w:r>
        <w:t xml:space="preserve"> 79.</w:t>
      </w:r>
    </w:p>
  </w:footnote>
  <w:footnote w:id="429">
    <w:p w14:paraId="40704E2D" w14:textId="2D8B99B4" w:rsidR="000438B1" w:rsidRPr="00B512E8" w:rsidRDefault="000438B1" w:rsidP="00EE4CD1">
      <w:pPr>
        <w:pStyle w:val="FootnoteText"/>
      </w:pPr>
      <w:r>
        <w:rPr>
          <w:rStyle w:val="FootnoteReference"/>
        </w:rPr>
        <w:footnoteRef/>
      </w:r>
      <w:r>
        <w:t xml:space="preserve"> E.g., </w:t>
      </w:r>
      <w:r w:rsidRPr="00B512E8">
        <w:t xml:space="preserve">Keil/Delitzsch, </w:t>
      </w:r>
      <w:r w:rsidRPr="00B512E8">
        <w:rPr>
          <w:i/>
        </w:rPr>
        <w:t>Pentateuch</w:t>
      </w:r>
      <w:r>
        <w:t>, 228.</w:t>
      </w:r>
    </w:p>
  </w:footnote>
  <w:footnote w:id="430">
    <w:p w14:paraId="2F73F1B6" w14:textId="77777777" w:rsidR="000438B1" w:rsidRPr="00DB176B" w:rsidRDefault="000438B1">
      <w:pPr>
        <w:pStyle w:val="FootnoteText"/>
      </w:pPr>
      <w:r>
        <w:rPr>
          <w:rStyle w:val="FootnoteReference"/>
        </w:rPr>
        <w:footnoteRef/>
      </w:r>
      <w:r>
        <w:t xml:space="preserve"> Cf. Calvin, </w:t>
      </w:r>
      <w:r>
        <w:rPr>
          <w:i/>
        </w:rPr>
        <w:t>Genesis</w:t>
      </w:r>
      <w:r>
        <w:t xml:space="preserve"> 1:469.</w:t>
      </w:r>
    </w:p>
  </w:footnote>
  <w:footnote w:id="431">
    <w:p w14:paraId="0E0C9309" w14:textId="77777777" w:rsidR="000438B1" w:rsidRPr="004568A0" w:rsidRDefault="000438B1">
      <w:pPr>
        <w:pStyle w:val="FootnoteText"/>
      </w:pPr>
      <w:r>
        <w:rPr>
          <w:rStyle w:val="FootnoteReference"/>
        </w:rPr>
        <w:footnoteRef/>
      </w:r>
      <w:r>
        <w:t xml:space="preserve"> Cf. A. Abela, “The Inversion of Genesis 18:7a,” </w:t>
      </w:r>
      <w:r>
        <w:rPr>
          <w:i/>
        </w:rPr>
        <w:t xml:space="preserve">Bible Translator </w:t>
      </w:r>
      <w:r>
        <w:t>60 (2009): 1-4.</w:t>
      </w:r>
    </w:p>
  </w:footnote>
  <w:footnote w:id="432">
    <w:p w14:paraId="1371716D" w14:textId="77777777" w:rsidR="000438B1" w:rsidRPr="00C92DB6" w:rsidRDefault="000438B1" w:rsidP="002E489B">
      <w:pPr>
        <w:pStyle w:val="FootnoteText"/>
      </w:pPr>
      <w:r>
        <w:rPr>
          <w:rStyle w:val="FootnoteReference"/>
        </w:rPr>
        <w:footnoteRef/>
      </w:r>
      <w:r>
        <w:t xml:space="preserve"> Luther, </w:t>
      </w:r>
      <w:r>
        <w:rPr>
          <w:i/>
        </w:rPr>
        <w:t>Genesis 15—20</w:t>
      </w:r>
      <w:r>
        <w:t>, 183.</w:t>
      </w:r>
    </w:p>
  </w:footnote>
  <w:footnote w:id="433">
    <w:p w14:paraId="02191C12" w14:textId="77777777" w:rsidR="000438B1" w:rsidRPr="007443AD" w:rsidRDefault="000438B1">
      <w:pPr>
        <w:pStyle w:val="FootnoteText"/>
      </w:pPr>
      <w:r>
        <w:rPr>
          <w:rStyle w:val="FootnoteReference"/>
        </w:rPr>
        <w:footnoteRef/>
      </w:r>
      <w:r>
        <w:t xml:space="preserve"> Wenham, </w:t>
      </w:r>
      <w:r>
        <w:rPr>
          <w:i/>
        </w:rPr>
        <w:t>Genesis 16—50</w:t>
      </w:r>
      <w:r>
        <w:t>, 47.</w:t>
      </w:r>
    </w:p>
  </w:footnote>
  <w:footnote w:id="434">
    <w:p w14:paraId="18569E3B" w14:textId="77777777" w:rsidR="000438B1" w:rsidRDefault="000438B1">
      <w:pPr>
        <w:pStyle w:val="FootnoteText"/>
      </w:pPr>
      <w:r>
        <w:rPr>
          <w:rStyle w:val="FootnoteReference"/>
        </w:rPr>
        <w:footnoteRef/>
      </w:r>
      <w:r>
        <w:t xml:space="preserve"> Cf. the discussion in Ibn Ezra, </w:t>
      </w:r>
      <w:r w:rsidRPr="00115173">
        <w:rPr>
          <w:i/>
        </w:rPr>
        <w:t>Genesis</w:t>
      </w:r>
      <w:r>
        <w:t xml:space="preserve">, </w:t>
      </w:r>
      <w:proofErr w:type="gramStart"/>
      <w:r>
        <w:t>192</w:t>
      </w:r>
      <w:proofErr w:type="gramEnd"/>
      <w:r>
        <w:t>-94.</w:t>
      </w:r>
    </w:p>
  </w:footnote>
  <w:footnote w:id="435">
    <w:p w14:paraId="4E01000C" w14:textId="77777777" w:rsidR="000438B1" w:rsidRPr="00A6123A" w:rsidRDefault="000438B1">
      <w:pPr>
        <w:pStyle w:val="FootnoteText"/>
      </w:pPr>
      <w:r>
        <w:rPr>
          <w:rStyle w:val="FootnoteReference"/>
        </w:rPr>
        <w:footnoteRef/>
      </w:r>
      <w:r>
        <w:t xml:space="preserve"> Barth, </w:t>
      </w:r>
      <w:r>
        <w:rPr>
          <w:i/>
        </w:rPr>
        <w:t>Dogmatics</w:t>
      </w:r>
      <w:r>
        <w:t xml:space="preserve"> III, 4:666.</w:t>
      </w:r>
    </w:p>
  </w:footnote>
  <w:footnote w:id="436">
    <w:p w14:paraId="176BA933" w14:textId="77777777" w:rsidR="000438B1" w:rsidRPr="007038F5" w:rsidRDefault="000438B1" w:rsidP="000132E9">
      <w:pPr>
        <w:pStyle w:val="FootnoteText"/>
      </w:pPr>
      <w:r>
        <w:rPr>
          <w:rStyle w:val="FootnoteReference"/>
        </w:rPr>
        <w:footnoteRef/>
      </w:r>
      <w:r>
        <w:t xml:space="preserve"> Brueggemann, </w:t>
      </w:r>
      <w:r>
        <w:rPr>
          <w:i/>
        </w:rPr>
        <w:t>Genesis</w:t>
      </w:r>
      <w:r>
        <w:t>, 158, 159, 160.</w:t>
      </w:r>
    </w:p>
  </w:footnote>
  <w:footnote w:id="437">
    <w:p w14:paraId="1846BF07" w14:textId="77777777" w:rsidR="000438B1" w:rsidRPr="006226D5" w:rsidRDefault="000438B1">
      <w:pPr>
        <w:pStyle w:val="FootnoteText"/>
      </w:pPr>
      <w:r>
        <w:rPr>
          <w:rStyle w:val="FootnoteReference"/>
        </w:rPr>
        <w:footnoteRef/>
      </w:r>
      <w:r>
        <w:t xml:space="preserve"> Cf. Fretheim, </w:t>
      </w:r>
      <w:r>
        <w:rPr>
          <w:i/>
        </w:rPr>
        <w:t>Abraham</w:t>
      </w:r>
      <w:r>
        <w:t>, 116.</w:t>
      </w:r>
    </w:p>
  </w:footnote>
  <w:footnote w:id="438">
    <w:p w14:paraId="6D1B3D8A" w14:textId="77777777" w:rsidR="000438B1" w:rsidRPr="00AF0FF1" w:rsidRDefault="000438B1">
      <w:pPr>
        <w:pStyle w:val="FootnoteText"/>
      </w:pPr>
      <w:r>
        <w:rPr>
          <w:rStyle w:val="FootnoteReference"/>
        </w:rPr>
        <w:footnoteRef/>
      </w:r>
      <w:r>
        <w:t xml:space="preserve"> Cf. Wenham, </w:t>
      </w:r>
      <w:r>
        <w:rPr>
          <w:i/>
        </w:rPr>
        <w:t>Genesis 16—50</w:t>
      </w:r>
      <w:r>
        <w:t>, 50.</w:t>
      </w:r>
    </w:p>
  </w:footnote>
  <w:footnote w:id="439">
    <w:p w14:paraId="4914DAB5" w14:textId="77777777" w:rsidR="000438B1" w:rsidRDefault="000438B1">
      <w:pPr>
        <w:pStyle w:val="FootnoteText"/>
      </w:pPr>
      <w:r>
        <w:rPr>
          <w:rStyle w:val="FootnoteReference"/>
        </w:rPr>
        <w:footnoteRef/>
      </w:r>
      <w:r>
        <w:t xml:space="preserve"> </w:t>
      </w:r>
      <w:r w:rsidRPr="0047367A">
        <w:t xml:space="preserve">Cf. N. MacDonald, “Listening to Abraham—Listening to </w:t>
      </w:r>
      <w:proofErr w:type="gramStart"/>
      <w:r w:rsidRPr="0047367A">
        <w:t>Yhwh</w:t>
      </w:r>
      <w:proofErr w:type="gramEnd"/>
      <w:r w:rsidRPr="0047367A">
        <w:t xml:space="preserve">,” </w:t>
      </w:r>
      <w:r w:rsidRPr="0047367A">
        <w:rPr>
          <w:i/>
        </w:rPr>
        <w:t xml:space="preserve">CBQ </w:t>
      </w:r>
      <w:r>
        <w:t>66 (2004): 25-43</w:t>
      </w:r>
      <w:r w:rsidRPr="0047367A">
        <w:t>.</w:t>
      </w:r>
    </w:p>
  </w:footnote>
  <w:footnote w:id="440">
    <w:p w14:paraId="40172A18" w14:textId="77777777" w:rsidR="000438B1" w:rsidRPr="004123F3" w:rsidRDefault="000438B1" w:rsidP="004123F3">
      <w:pPr>
        <w:pStyle w:val="FootnoteText"/>
        <w:rPr>
          <w:rFonts w:asciiTheme="minorHAnsi" w:eastAsiaTheme="minorHAnsi" w:hAnsiTheme="minorHAnsi" w:cs="Code"/>
          <w:color w:val="000000"/>
        </w:rPr>
      </w:pPr>
      <w:r>
        <w:rPr>
          <w:rStyle w:val="FootnoteReference"/>
        </w:rPr>
        <w:footnoteRef/>
      </w:r>
      <w:r>
        <w:t xml:space="preserve"> See H. B. </w:t>
      </w:r>
      <w:r w:rsidRPr="004123F3">
        <w:rPr>
          <w:rFonts w:asciiTheme="minorHAnsi" w:eastAsiaTheme="minorHAnsi" w:hAnsiTheme="minorHAnsi" w:cs="Code"/>
          <w:color w:val="000000"/>
          <w:lang w:bidi="ar-SA"/>
        </w:rPr>
        <w:t xml:space="preserve">Huffmon, </w:t>
      </w:r>
      <w:r>
        <w:rPr>
          <w:rFonts w:asciiTheme="minorHAnsi" w:eastAsiaTheme="minorHAnsi" w:hAnsiTheme="minorHAnsi" w:cs="Code"/>
          <w:color w:val="000000"/>
          <w:lang w:bidi="ar-SA"/>
        </w:rPr>
        <w:t>“</w:t>
      </w:r>
      <w:r w:rsidRPr="004123F3">
        <w:rPr>
          <w:rFonts w:asciiTheme="minorHAnsi" w:eastAsiaTheme="minorHAnsi" w:hAnsiTheme="minorHAnsi" w:cs="Code"/>
          <w:color w:val="000000"/>
        </w:rPr>
        <w:t xml:space="preserve">The Treaty Background of Hebrew </w:t>
      </w:r>
      <w:r w:rsidRPr="004123F3">
        <w:rPr>
          <w:rFonts w:asciiTheme="minorHAnsi" w:eastAsiaTheme="minorHAnsi" w:hAnsiTheme="minorHAnsi" w:cs="Code"/>
          <w:i/>
          <w:color w:val="000000"/>
        </w:rPr>
        <w:t>Yāda‘</w:t>
      </w:r>
      <w:r w:rsidRPr="004123F3">
        <w:rPr>
          <w:rFonts w:asciiTheme="minorHAnsi" w:eastAsiaTheme="minorHAnsi" w:hAnsiTheme="minorHAnsi" w:cs="Code"/>
          <w:color w:val="000000"/>
        </w:rPr>
        <w:t>,</w:t>
      </w:r>
      <w:r>
        <w:rPr>
          <w:rFonts w:asciiTheme="minorHAnsi" w:eastAsiaTheme="minorHAnsi" w:hAnsiTheme="minorHAnsi" w:cs="Code"/>
          <w:color w:val="000000"/>
        </w:rPr>
        <w:t xml:space="preserve">” </w:t>
      </w:r>
      <w:r w:rsidRPr="004123F3">
        <w:rPr>
          <w:i/>
        </w:rPr>
        <w:t>Bulletin of the American Schools of Oriental Research</w:t>
      </w:r>
      <w:r>
        <w:t xml:space="preserve"> 181 (1966): 31-37.</w:t>
      </w:r>
    </w:p>
  </w:footnote>
  <w:footnote w:id="441">
    <w:p w14:paraId="53B6BA7A" w14:textId="77777777" w:rsidR="000438B1" w:rsidRDefault="000438B1">
      <w:pPr>
        <w:pStyle w:val="FootnoteText"/>
      </w:pPr>
      <w:r>
        <w:rPr>
          <w:rStyle w:val="FootnoteReference"/>
        </w:rPr>
        <w:footnoteRef/>
      </w:r>
      <w:r>
        <w:t xml:space="preserve"> Cf. M. Warner, “Keeping the Way of Yhwh,” </w:t>
      </w:r>
      <w:r w:rsidRPr="00E43876">
        <w:t xml:space="preserve">in Lipton (ed.), </w:t>
      </w:r>
      <w:r w:rsidRPr="00E43876">
        <w:rPr>
          <w:i/>
        </w:rPr>
        <w:t>Universalism and Particularism at Sodom and Gomorrah</w:t>
      </w:r>
      <w:r w:rsidRPr="00E43876">
        <w:t>,</w:t>
      </w:r>
      <w:r>
        <w:t xml:space="preserve"> 113-26.</w:t>
      </w:r>
    </w:p>
  </w:footnote>
  <w:footnote w:id="442">
    <w:p w14:paraId="241CB968" w14:textId="77777777" w:rsidR="000438B1" w:rsidRPr="0047367A" w:rsidRDefault="000438B1">
      <w:pPr>
        <w:pStyle w:val="FootnoteText"/>
      </w:pPr>
      <w:r>
        <w:rPr>
          <w:rStyle w:val="FootnoteReference"/>
        </w:rPr>
        <w:footnoteRef/>
      </w:r>
      <w:r>
        <w:t xml:space="preserve"> On the importance of that theme in Gen 19, see B. N. Peterson, “The Sin of Sodom Revisited,” </w:t>
      </w:r>
      <w:r>
        <w:rPr>
          <w:i/>
        </w:rPr>
        <w:t>JETS</w:t>
      </w:r>
      <w:r>
        <w:t xml:space="preserve"> 59 (2016): 17-31.</w:t>
      </w:r>
    </w:p>
  </w:footnote>
  <w:footnote w:id="443">
    <w:p w14:paraId="7D019183" w14:textId="77777777" w:rsidR="000438B1" w:rsidRPr="00F01AC6" w:rsidRDefault="000438B1" w:rsidP="00673FC6">
      <w:pPr>
        <w:pStyle w:val="FootnoteText"/>
      </w:pPr>
      <w:r>
        <w:rPr>
          <w:rStyle w:val="FootnoteReference"/>
        </w:rPr>
        <w:footnoteRef/>
      </w:r>
      <w:r>
        <w:t xml:space="preserve"> Gunkel, </w:t>
      </w:r>
      <w:r>
        <w:rPr>
          <w:i/>
        </w:rPr>
        <w:t>Genesis</w:t>
      </w:r>
      <w:r>
        <w:t>, 203.</w:t>
      </w:r>
    </w:p>
  </w:footnote>
  <w:footnote w:id="444">
    <w:p w14:paraId="40383A69" w14:textId="1AEBACFA" w:rsidR="000438B1" w:rsidRPr="00B512E8" w:rsidRDefault="000438B1" w:rsidP="00F525EC">
      <w:pPr>
        <w:pStyle w:val="FootnoteText"/>
      </w:pPr>
      <w:r>
        <w:rPr>
          <w:rStyle w:val="FootnoteReference"/>
        </w:rPr>
        <w:footnoteRef/>
      </w:r>
      <w:r>
        <w:t xml:space="preserve"> Cf. </w:t>
      </w:r>
      <w:r w:rsidRPr="00B512E8">
        <w:t xml:space="preserve">Keil/Delitzsch, </w:t>
      </w:r>
      <w:r w:rsidRPr="00B512E8">
        <w:rPr>
          <w:i/>
        </w:rPr>
        <w:t>Pentateuch</w:t>
      </w:r>
      <w:r>
        <w:t xml:space="preserve">, 230; contrast </w:t>
      </w:r>
      <w:r w:rsidRPr="00F525EC">
        <w:t>TgPsJ</w:t>
      </w:r>
      <w:r>
        <w:t>.</w:t>
      </w:r>
    </w:p>
  </w:footnote>
  <w:footnote w:id="445">
    <w:p w14:paraId="4825B6AB" w14:textId="77777777" w:rsidR="000438B1" w:rsidRPr="004746E4" w:rsidRDefault="000438B1">
      <w:pPr>
        <w:pStyle w:val="FootnoteText"/>
      </w:pPr>
      <w:r>
        <w:rPr>
          <w:rStyle w:val="FootnoteReference"/>
        </w:rPr>
        <w:footnoteRef/>
      </w:r>
      <w:r>
        <w:t xml:space="preserve"> Contrast the discussion in Lyons, </w:t>
      </w:r>
      <w:r>
        <w:rPr>
          <w:i/>
        </w:rPr>
        <w:t>Canon and Exegesis</w:t>
      </w:r>
      <w:r>
        <w:t>, 186-97.</w:t>
      </w:r>
    </w:p>
  </w:footnote>
  <w:footnote w:id="446">
    <w:p w14:paraId="69DDA6DE" w14:textId="77777777" w:rsidR="000438B1" w:rsidRPr="0007539D" w:rsidRDefault="000438B1" w:rsidP="004E6A48">
      <w:pPr>
        <w:pStyle w:val="FootnoteText"/>
      </w:pPr>
      <w:r>
        <w:rPr>
          <w:rStyle w:val="FootnoteReference"/>
        </w:rPr>
        <w:footnoteRef/>
      </w:r>
      <w:r>
        <w:t xml:space="preserve"> </w:t>
      </w:r>
      <w:r w:rsidRPr="0007539D">
        <w:t xml:space="preserve">Dershowitz, </w:t>
      </w:r>
      <w:r w:rsidRPr="0007539D">
        <w:rPr>
          <w:i/>
        </w:rPr>
        <w:t>Genesis of Justice</w:t>
      </w:r>
      <w:r>
        <w:t>, 86.</w:t>
      </w:r>
    </w:p>
  </w:footnote>
  <w:footnote w:id="447">
    <w:p w14:paraId="7757904D" w14:textId="77777777" w:rsidR="000438B1" w:rsidRPr="00437954" w:rsidRDefault="000438B1">
      <w:pPr>
        <w:pStyle w:val="FootnoteText"/>
      </w:pPr>
      <w:r>
        <w:rPr>
          <w:rStyle w:val="FootnoteReference"/>
        </w:rPr>
        <w:footnoteRef/>
      </w:r>
      <w:r>
        <w:t xml:space="preserve"> See McDonald, “</w:t>
      </w:r>
      <w:r w:rsidRPr="00F81F4C">
        <w:t xml:space="preserve">Listening to Abraham—Listening to </w:t>
      </w:r>
      <w:proofErr w:type="gramStart"/>
      <w:r w:rsidRPr="00F81F4C">
        <w:t>Yhwh</w:t>
      </w:r>
      <w:proofErr w:type="gramEnd"/>
      <w:r w:rsidRPr="00F81F4C">
        <w:t>,</w:t>
      </w:r>
      <w:r>
        <w:t xml:space="preserve">” 30-35; E. Bridge (“An Audacious Request,” </w:t>
      </w:r>
      <w:r>
        <w:rPr>
          <w:i/>
        </w:rPr>
        <w:t>JSOT</w:t>
      </w:r>
      <w:r>
        <w:t xml:space="preserve"> 40 [2016]: 281-96) considers the passage in light of “politeness theory.”</w:t>
      </w:r>
    </w:p>
  </w:footnote>
  <w:footnote w:id="448">
    <w:p w14:paraId="7547CB43" w14:textId="77777777" w:rsidR="000438B1" w:rsidRDefault="000438B1">
      <w:pPr>
        <w:pStyle w:val="FootnoteText"/>
      </w:pPr>
      <w:r>
        <w:rPr>
          <w:rStyle w:val="FootnoteReference"/>
        </w:rPr>
        <w:footnoteRef/>
      </w:r>
      <w:r>
        <w:t xml:space="preserve"> T</w:t>
      </w:r>
      <w:r w:rsidRPr="006174FC">
        <w:t xml:space="preserve">he verb there was piel rather than hiphil, but </w:t>
      </w:r>
      <w:r>
        <w:t xml:space="preserve">it was hiphil </w:t>
      </w:r>
      <w:r w:rsidRPr="006174FC">
        <w:t xml:space="preserve">in 6:13 </w:t>
      </w:r>
      <w:r>
        <w:t xml:space="preserve">and </w:t>
      </w:r>
      <w:r w:rsidRPr="006174FC">
        <w:t>the piel will recur here in 19:13, 29.</w:t>
      </w:r>
    </w:p>
  </w:footnote>
  <w:footnote w:id="449">
    <w:p w14:paraId="5E4DBBC1" w14:textId="77777777" w:rsidR="000438B1" w:rsidRPr="006C3525" w:rsidRDefault="000438B1">
      <w:pPr>
        <w:pStyle w:val="FootnoteText"/>
      </w:pPr>
      <w:r>
        <w:rPr>
          <w:rStyle w:val="FootnoteReference"/>
        </w:rPr>
        <w:footnoteRef/>
      </w:r>
      <w:r>
        <w:t xml:space="preserve"> Cf. Wenham, </w:t>
      </w:r>
      <w:r>
        <w:rPr>
          <w:i/>
        </w:rPr>
        <w:t>Genesis 16—50</w:t>
      </w:r>
      <w:r>
        <w:t xml:space="preserve">, 53. For other possible answers, </w:t>
      </w:r>
      <w:r w:rsidRPr="006C3525">
        <w:t xml:space="preserve">Lyons, </w:t>
      </w:r>
      <w:r w:rsidRPr="006C3525">
        <w:rPr>
          <w:i/>
        </w:rPr>
        <w:t>Canon and Exegesis</w:t>
      </w:r>
      <w:r>
        <w:t>, 211-14.</w:t>
      </w:r>
    </w:p>
  </w:footnote>
  <w:footnote w:id="450">
    <w:p w14:paraId="6728C309" w14:textId="77777777" w:rsidR="000438B1" w:rsidRDefault="000438B1">
      <w:pPr>
        <w:pStyle w:val="FootnoteText"/>
      </w:pPr>
      <w:r>
        <w:rPr>
          <w:rStyle w:val="FootnoteReference"/>
        </w:rPr>
        <w:footnoteRef/>
      </w:r>
      <w:r>
        <w:t xml:space="preserve"> Cf. Ibn Ezra, </w:t>
      </w:r>
      <w:r w:rsidRPr="00DF7679">
        <w:rPr>
          <w:i/>
        </w:rPr>
        <w:t>Genesis</w:t>
      </w:r>
      <w:r>
        <w:t>, 200.</w:t>
      </w:r>
    </w:p>
  </w:footnote>
  <w:footnote w:id="451">
    <w:p w14:paraId="21CF2E00" w14:textId="77777777" w:rsidR="000438B1" w:rsidRDefault="000438B1">
      <w:pPr>
        <w:pStyle w:val="FootnoteText"/>
      </w:pPr>
      <w:r>
        <w:rPr>
          <w:rStyle w:val="FootnoteReference"/>
        </w:rPr>
        <w:footnoteRef/>
      </w:r>
      <w:r>
        <w:t xml:space="preserve"> See further J. Blenkinsopp, “The Judge of All the Earth,” </w:t>
      </w:r>
      <w:r>
        <w:rPr>
          <w:i/>
        </w:rPr>
        <w:t>JJS</w:t>
      </w:r>
      <w:r>
        <w:t xml:space="preserve"> 41 (1990):1-12 (9-10).</w:t>
      </w:r>
    </w:p>
  </w:footnote>
  <w:footnote w:id="452">
    <w:p w14:paraId="242487E6" w14:textId="77777777" w:rsidR="000438B1" w:rsidRPr="005074CD" w:rsidRDefault="000438B1">
      <w:pPr>
        <w:pStyle w:val="FootnoteText"/>
        <w:rPr>
          <w:i/>
        </w:rPr>
      </w:pPr>
      <w:r>
        <w:rPr>
          <w:rStyle w:val="FootnoteReference"/>
        </w:rPr>
        <w:footnoteRef/>
      </w:r>
      <w:r>
        <w:t xml:space="preserve"> Cf. D. Lipton, “The Limits of Intercession,” in Lipton (ed.), </w:t>
      </w:r>
      <w:r w:rsidRPr="005074CD">
        <w:rPr>
          <w:i/>
        </w:rPr>
        <w:t>Universalism and Particularism at Sodom and Gomorrah</w:t>
      </w:r>
      <w:r w:rsidRPr="005074CD">
        <w:t>,</w:t>
      </w:r>
      <w:r>
        <w:t xml:space="preserve"> 25-41.</w:t>
      </w:r>
    </w:p>
  </w:footnote>
  <w:footnote w:id="453">
    <w:p w14:paraId="287E4A7D" w14:textId="383363E7" w:rsidR="000438B1" w:rsidRDefault="000438B1">
      <w:pPr>
        <w:pStyle w:val="FootnoteText"/>
      </w:pPr>
      <w:r>
        <w:rPr>
          <w:rStyle w:val="FootnoteReference"/>
        </w:rPr>
        <w:footnoteRef/>
      </w:r>
      <w:r>
        <w:t xml:space="preserve"> See the comment on 16:7.</w:t>
      </w:r>
    </w:p>
  </w:footnote>
  <w:footnote w:id="454">
    <w:p w14:paraId="0FFC5F46" w14:textId="6511BAB2" w:rsidR="000438B1" w:rsidRDefault="000438B1">
      <w:pPr>
        <w:pStyle w:val="FootnoteText"/>
      </w:pPr>
      <w:r>
        <w:rPr>
          <w:rStyle w:val="FootnoteReference"/>
        </w:rPr>
        <w:footnoteRef/>
      </w:r>
      <w:r>
        <w:t xml:space="preserve"> But see the footnote to 18:3.</w:t>
      </w:r>
    </w:p>
  </w:footnote>
  <w:footnote w:id="455">
    <w:p w14:paraId="5FDFCD4E" w14:textId="77777777" w:rsidR="000438B1" w:rsidRDefault="000438B1">
      <w:pPr>
        <w:pStyle w:val="FootnoteText"/>
      </w:pPr>
      <w:r>
        <w:rPr>
          <w:rStyle w:val="FootnoteReference"/>
        </w:rPr>
        <w:footnoteRef/>
      </w:r>
      <w:r>
        <w:t xml:space="preserve"> On Abraham and Lot as hosts, see Y. Peleg, “Was Lot a Good Host?” J. D. Safren, “Hospitality Compared,” and N. MacDonald, “Hospitality and Hostility,” in </w:t>
      </w:r>
      <w:r w:rsidRPr="00361C04">
        <w:t xml:space="preserve">Lipton (ed.), </w:t>
      </w:r>
      <w:r w:rsidRPr="00361C04">
        <w:rPr>
          <w:i/>
        </w:rPr>
        <w:t>Universalism and Particularism at Sodom and Gomorrah</w:t>
      </w:r>
      <w:r w:rsidRPr="00361C04">
        <w:t>, 129-56,</w:t>
      </w:r>
      <w:r>
        <w:t xml:space="preserve"> 157-78, 179-89. </w:t>
      </w:r>
    </w:p>
  </w:footnote>
  <w:footnote w:id="456">
    <w:p w14:paraId="27D4111D" w14:textId="77777777" w:rsidR="000438B1" w:rsidRPr="00007052" w:rsidRDefault="000438B1" w:rsidP="004C338E">
      <w:pPr>
        <w:pStyle w:val="FootnoteText"/>
      </w:pPr>
      <w:r>
        <w:rPr>
          <w:rStyle w:val="FootnoteReference"/>
        </w:rPr>
        <w:footnoteRef/>
      </w:r>
      <w:r>
        <w:t xml:space="preserve"> </w:t>
      </w:r>
      <w:r w:rsidRPr="003A1843">
        <w:t xml:space="preserve">Cf. B. Doyle, </w:t>
      </w:r>
      <w:r>
        <w:t>“</w:t>
      </w:r>
      <w:r w:rsidRPr="003A1843">
        <w:t>‘Knock, Knock, Knockin’ on Sodom’s Door,’</w:t>
      </w:r>
      <w:r>
        <w:t>”</w:t>
      </w:r>
      <w:r w:rsidRPr="003A1843">
        <w:t xml:space="preserve"> </w:t>
      </w:r>
      <w:r w:rsidRPr="003A1843">
        <w:rPr>
          <w:i/>
        </w:rPr>
        <w:t>JSOT</w:t>
      </w:r>
      <w:r>
        <w:t xml:space="preserve"> 28 (2004): 431-48 (446). On the possibility that heterosexual wishes lie behind the passage, see also P. Vandermeersch, “Sodomites, Gays and Biblical Scholars,” in E. Noort and E. Tigchelaar (eds.), </w:t>
      </w:r>
      <w:r>
        <w:rPr>
          <w:i/>
        </w:rPr>
        <w:t>Sodom’s Sin</w:t>
      </w:r>
      <w:r>
        <w:t xml:space="preserve"> (Leiden: Brill, 2004), 151-71. H. J. Toensing (“Women of Sodom and Gomorrah,” </w:t>
      </w:r>
      <w:r>
        <w:rPr>
          <w:i/>
        </w:rPr>
        <w:t xml:space="preserve">Journal of Feminist Studies in Religion </w:t>
      </w:r>
      <w:r>
        <w:t>21 [2005]: 61-74) considers various aspects of the role and position of women in Gen 19, but not this one.</w:t>
      </w:r>
    </w:p>
  </w:footnote>
  <w:footnote w:id="457">
    <w:p w14:paraId="0DA14EF8" w14:textId="77777777" w:rsidR="000438B1" w:rsidRPr="00D6327D" w:rsidRDefault="000438B1" w:rsidP="00D50670">
      <w:pPr>
        <w:pStyle w:val="FootnoteText"/>
      </w:pPr>
      <w:r>
        <w:rPr>
          <w:rStyle w:val="FootnoteReference"/>
        </w:rPr>
        <w:footnoteRef/>
      </w:r>
      <w:r>
        <w:t xml:space="preserve"> Cf. Fretheim, </w:t>
      </w:r>
      <w:r>
        <w:rPr>
          <w:i/>
        </w:rPr>
        <w:t>Abraham</w:t>
      </w:r>
      <w:r>
        <w:t>, 89.</w:t>
      </w:r>
    </w:p>
  </w:footnote>
  <w:footnote w:id="458">
    <w:p w14:paraId="005F33E0" w14:textId="77777777" w:rsidR="000438B1" w:rsidRPr="00163952" w:rsidRDefault="000438B1" w:rsidP="007B6FAC">
      <w:pPr>
        <w:pStyle w:val="FootnoteText"/>
        <w:rPr>
          <w:i/>
        </w:rPr>
      </w:pPr>
      <w:r>
        <w:rPr>
          <w:rStyle w:val="FootnoteReference"/>
        </w:rPr>
        <w:footnoteRef/>
      </w:r>
      <w:r>
        <w:t xml:space="preserve"> </w:t>
      </w:r>
      <w:r w:rsidRPr="007B6FAC">
        <w:t>As far as we know it was Philo who first identified the</w:t>
      </w:r>
      <w:r>
        <w:t xml:space="preserve"> sin of Sodom as homosexuality, </w:t>
      </w:r>
      <w:r w:rsidRPr="007B6FAC">
        <w:t>specifically homosexual rape</w:t>
      </w:r>
      <w:r w:rsidRPr="007B6FAC">
        <w:rPr>
          <w:i/>
        </w:rPr>
        <w:t xml:space="preserve"> </w:t>
      </w:r>
      <w:r>
        <w:t>(</w:t>
      </w:r>
      <w:r>
        <w:rPr>
          <w:i/>
        </w:rPr>
        <w:t xml:space="preserve">On Abraham </w:t>
      </w:r>
      <w:r>
        <w:t xml:space="preserve">27:137; cf. De La Torre, </w:t>
      </w:r>
      <w:r>
        <w:rPr>
          <w:i/>
        </w:rPr>
        <w:t>Genesis</w:t>
      </w:r>
      <w:r>
        <w:t xml:space="preserve">, 194). See also M. Nissinen, </w:t>
      </w:r>
      <w:r w:rsidRPr="00163952">
        <w:rPr>
          <w:i/>
        </w:rPr>
        <w:t xml:space="preserve">Homoeroticism in the Biblical World </w:t>
      </w:r>
      <w:r>
        <w:t xml:space="preserve">(Minneapolis: Fortress, 1998), 45-49, </w:t>
      </w:r>
      <w:proofErr w:type="gramStart"/>
      <w:r>
        <w:t>93</w:t>
      </w:r>
      <w:proofErr w:type="gramEnd"/>
      <w:r>
        <w:t>-97.</w:t>
      </w:r>
    </w:p>
  </w:footnote>
  <w:footnote w:id="459">
    <w:p w14:paraId="5F55B931" w14:textId="77777777" w:rsidR="000438B1" w:rsidRPr="0079152A" w:rsidRDefault="000438B1" w:rsidP="0079152A">
      <w:pPr>
        <w:pStyle w:val="FootnoteText"/>
      </w:pPr>
      <w:r>
        <w:rPr>
          <w:rStyle w:val="FootnoteReference"/>
        </w:rPr>
        <w:footnoteRef/>
      </w:r>
      <w:r>
        <w:t xml:space="preserve"> See e.g., R. Hendel et al., “</w:t>
      </w:r>
      <w:r w:rsidRPr="009C211F">
        <w:t>Gender and Sexuality,</w:t>
      </w:r>
      <w:r>
        <w:t>”</w:t>
      </w:r>
      <w:r w:rsidRPr="009C211F">
        <w:t xml:space="preserve"> </w:t>
      </w:r>
      <w:r>
        <w:t xml:space="preserve">in Hendel (ed.), </w:t>
      </w:r>
      <w:r>
        <w:rPr>
          <w:i/>
        </w:rPr>
        <w:t>Reading Genesis</w:t>
      </w:r>
      <w:r>
        <w:t xml:space="preserve">, 71-91 (84); </w:t>
      </w:r>
      <w:r w:rsidRPr="00C26964">
        <w:rPr>
          <w:bCs/>
        </w:rPr>
        <w:t>L. M. Bechtel, “Boundary Issue</w:t>
      </w:r>
      <w:r>
        <w:rPr>
          <w:bCs/>
        </w:rPr>
        <w:t xml:space="preserve">s in Genesis 19.1-38,” in </w:t>
      </w:r>
      <w:r w:rsidRPr="00C26964">
        <w:rPr>
          <w:bCs/>
        </w:rPr>
        <w:t xml:space="preserve">Washington et al. (eds.), </w:t>
      </w:r>
      <w:r>
        <w:rPr>
          <w:bCs/>
          <w:i/>
        </w:rPr>
        <w:t>Escaping Eden</w:t>
      </w:r>
      <w:r>
        <w:rPr>
          <w:bCs/>
        </w:rPr>
        <w:t xml:space="preserve">, 22-40; </w:t>
      </w:r>
      <w:r>
        <w:t>S. E. Waters, “</w:t>
      </w:r>
      <w:r w:rsidRPr="0079152A">
        <w:rPr>
          <w:rFonts w:asciiTheme="minorHAnsi" w:eastAsiaTheme="minorHAnsi" w:hAnsiTheme="minorHAnsi" w:cs="GillSans-Bold"/>
          <w:bCs/>
        </w:rPr>
        <w:t>Re</w:t>
      </w:r>
      <w:r>
        <w:rPr>
          <w:rFonts w:asciiTheme="minorHAnsi" w:eastAsiaTheme="minorHAnsi" w:hAnsiTheme="minorHAnsi" w:cs="GillSans-Bold"/>
          <w:bCs/>
        </w:rPr>
        <w:t xml:space="preserve">ading Sodom through Sexual </w:t>
      </w:r>
      <w:r w:rsidRPr="0079152A">
        <w:rPr>
          <w:rFonts w:asciiTheme="minorHAnsi" w:eastAsiaTheme="minorHAnsi" w:hAnsiTheme="minorHAnsi" w:cs="GillSans-Bold"/>
          <w:bCs/>
        </w:rPr>
        <w:t>Violence Against Women</w:t>
      </w:r>
      <w:r>
        <w:rPr>
          <w:rFonts w:asciiTheme="minorHAnsi" w:eastAsiaTheme="minorHAnsi" w:hAnsiTheme="minorHAnsi" w:cs="GillSans-Bold"/>
          <w:bCs/>
        </w:rPr>
        <w:t xml:space="preserve">, </w:t>
      </w:r>
      <w:r>
        <w:rPr>
          <w:rFonts w:asciiTheme="minorHAnsi" w:eastAsiaTheme="minorHAnsi" w:hAnsiTheme="minorHAnsi" w:cs="GillSans-Bold"/>
          <w:bCs/>
          <w:i/>
        </w:rPr>
        <w:t>Interpretation</w:t>
      </w:r>
      <w:r>
        <w:rPr>
          <w:rFonts w:asciiTheme="minorHAnsi" w:eastAsiaTheme="minorHAnsi" w:hAnsiTheme="minorHAnsi" w:cs="GillSans-Bold"/>
          <w:bCs/>
        </w:rPr>
        <w:t xml:space="preserve"> 71 (2017): 274-83.</w:t>
      </w:r>
    </w:p>
  </w:footnote>
  <w:footnote w:id="460">
    <w:p w14:paraId="76AE7C11" w14:textId="77777777" w:rsidR="000438B1" w:rsidRPr="001D4ADD" w:rsidRDefault="000438B1">
      <w:pPr>
        <w:pStyle w:val="FootnoteText"/>
        <w:rPr>
          <w:i/>
        </w:rPr>
      </w:pPr>
      <w:r>
        <w:rPr>
          <w:rStyle w:val="FootnoteReference"/>
        </w:rPr>
        <w:footnoteRef/>
      </w:r>
      <w:r>
        <w:t xml:space="preserve"> Cf. L. M. Bechtel, “A Feminist Reading of Genesis 19.1-11,” in Brenner (ed.), </w:t>
      </w:r>
      <w:r>
        <w:rPr>
          <w:i/>
        </w:rPr>
        <w:t>Genesis</w:t>
      </w:r>
      <w:r>
        <w:t xml:space="preserve">, </w:t>
      </w:r>
      <w:r>
        <w:rPr>
          <w:i/>
        </w:rPr>
        <w:t>108-28.</w:t>
      </w:r>
    </w:p>
  </w:footnote>
  <w:footnote w:id="461">
    <w:p w14:paraId="1EDA9CA7" w14:textId="77777777" w:rsidR="000438B1" w:rsidRPr="00103436" w:rsidRDefault="000438B1">
      <w:pPr>
        <w:pStyle w:val="FootnoteText"/>
      </w:pPr>
      <w:r>
        <w:rPr>
          <w:rStyle w:val="FootnoteReference"/>
        </w:rPr>
        <w:footnoteRef/>
      </w:r>
      <w:r>
        <w:t xml:space="preserve"> So e.g., Gunkel, </w:t>
      </w:r>
      <w:r>
        <w:rPr>
          <w:i/>
        </w:rPr>
        <w:t>Genesis</w:t>
      </w:r>
      <w:r>
        <w:t>, 207.</w:t>
      </w:r>
    </w:p>
  </w:footnote>
  <w:footnote w:id="462">
    <w:p w14:paraId="43B86B8A" w14:textId="2E24420E" w:rsidR="000438B1" w:rsidRPr="009A2301" w:rsidRDefault="000438B1" w:rsidP="009A2301">
      <w:pPr>
        <w:pStyle w:val="FootnoteText"/>
        <w:rPr>
          <w:sz w:val="23"/>
          <w:szCs w:val="23"/>
        </w:rPr>
      </w:pPr>
      <w:r>
        <w:rPr>
          <w:rStyle w:val="FootnoteReference"/>
        </w:rPr>
        <w:footnoteRef/>
      </w:r>
      <w:r>
        <w:t xml:space="preserve"> See S</w:t>
      </w:r>
      <w:r w:rsidRPr="009A2301">
        <w:t xml:space="preserve">. Morschauser, </w:t>
      </w:r>
      <w:r w:rsidRPr="001D0538">
        <w:t>“</w:t>
      </w:r>
      <w:r w:rsidRPr="001D0538">
        <w:rPr>
          <w:bCs/>
        </w:rPr>
        <w:t xml:space="preserve">‘Hospitality,’ Hostiles and Hostages,” </w:t>
      </w:r>
      <w:r w:rsidRPr="001D0538">
        <w:rPr>
          <w:bCs/>
          <w:i/>
        </w:rPr>
        <w:t>JSOT</w:t>
      </w:r>
      <w:r w:rsidRPr="001D0538">
        <w:rPr>
          <w:bCs/>
        </w:rPr>
        <w:t xml:space="preserve"> 27 (2003): 461-85 (</w:t>
      </w:r>
      <w:r>
        <w:rPr>
          <w:bCs/>
        </w:rPr>
        <w:t>474-82); it is one aspect of a broader reconfiguring of 19:1-9 as a juridical event.</w:t>
      </w:r>
    </w:p>
  </w:footnote>
  <w:footnote w:id="463">
    <w:p w14:paraId="150261CE" w14:textId="77777777" w:rsidR="000438B1" w:rsidRPr="00551F18" w:rsidRDefault="000438B1">
      <w:pPr>
        <w:pStyle w:val="FootnoteText"/>
      </w:pPr>
      <w:r>
        <w:rPr>
          <w:rStyle w:val="FootnoteReference"/>
        </w:rPr>
        <w:footnoteRef/>
      </w:r>
      <w:r>
        <w:t xml:space="preserve"> On the significance of the resident alien motif in Gen 19, see W. W. Fields, </w:t>
      </w:r>
      <w:r>
        <w:rPr>
          <w:i/>
        </w:rPr>
        <w:t>Sodom and Gomorrah</w:t>
      </w:r>
      <w:r>
        <w:t xml:space="preserve"> (Sheffield: Sheffield Academic Press, 1997), 27-53.</w:t>
      </w:r>
    </w:p>
  </w:footnote>
  <w:footnote w:id="464">
    <w:p w14:paraId="176ED90E" w14:textId="77777777" w:rsidR="000438B1" w:rsidRPr="00D27DA1" w:rsidRDefault="000438B1" w:rsidP="00952A7F">
      <w:pPr>
        <w:pStyle w:val="FootnoteText"/>
      </w:pPr>
      <w:r>
        <w:rPr>
          <w:rStyle w:val="FootnoteReference"/>
        </w:rPr>
        <w:footnoteRef/>
      </w:r>
      <w:r>
        <w:t xml:space="preserve"> Brett, </w:t>
      </w:r>
      <w:r>
        <w:rPr>
          <w:i/>
        </w:rPr>
        <w:t>Genesis</w:t>
      </w:r>
      <w:r>
        <w:t>, 67-68.</w:t>
      </w:r>
    </w:p>
  </w:footnote>
  <w:footnote w:id="465">
    <w:p w14:paraId="1289B0ED" w14:textId="77777777" w:rsidR="000438B1" w:rsidRPr="005C5B45" w:rsidRDefault="000438B1">
      <w:pPr>
        <w:pStyle w:val="FootnoteText"/>
      </w:pPr>
      <w:r>
        <w:rPr>
          <w:rStyle w:val="FootnoteReference"/>
        </w:rPr>
        <w:footnoteRef/>
      </w:r>
      <w:r>
        <w:t xml:space="preserve"> Brayford, </w:t>
      </w:r>
      <w:r>
        <w:rPr>
          <w:i/>
        </w:rPr>
        <w:t>Genesis</w:t>
      </w:r>
      <w:r>
        <w:t xml:space="preserve">, 319. </w:t>
      </w:r>
    </w:p>
  </w:footnote>
  <w:footnote w:id="466">
    <w:p w14:paraId="47552879" w14:textId="77777777" w:rsidR="000438B1" w:rsidRDefault="000438B1">
      <w:pPr>
        <w:pStyle w:val="FootnoteText"/>
      </w:pPr>
      <w:r>
        <w:rPr>
          <w:rStyle w:val="FootnoteReference"/>
        </w:rPr>
        <w:footnoteRef/>
      </w:r>
      <w:r>
        <w:t xml:space="preserve"> </w:t>
      </w:r>
      <w:r>
        <w:rPr>
          <w:lang w:val="en-GB"/>
        </w:rPr>
        <w:t>V</w:t>
      </w:r>
      <w:r w:rsidRPr="00E234E1">
        <w:rPr>
          <w:lang w:val="en-GB"/>
        </w:rPr>
        <w:t>an Wolde (</w:t>
      </w:r>
      <w:r>
        <w:rPr>
          <w:lang w:val="en-GB"/>
        </w:rPr>
        <w:t>“</w:t>
      </w:r>
      <w:r w:rsidRPr="00E234E1">
        <w:rPr>
          <w:lang w:val="en-GB"/>
        </w:rPr>
        <w:t>Outcry, Knowledge, and Judgme</w:t>
      </w:r>
      <w:r>
        <w:rPr>
          <w:lang w:val="en-GB"/>
        </w:rPr>
        <w:t>nt in Genesis 18—19”) thus locates Sodom’s outcry (18:20) in this protest.</w:t>
      </w:r>
    </w:p>
  </w:footnote>
  <w:footnote w:id="467">
    <w:p w14:paraId="28FE8286" w14:textId="77777777" w:rsidR="000438B1" w:rsidRPr="006C3525" w:rsidRDefault="000438B1">
      <w:pPr>
        <w:pStyle w:val="FootnoteText"/>
      </w:pPr>
      <w:r>
        <w:rPr>
          <w:rStyle w:val="FootnoteReference"/>
        </w:rPr>
        <w:footnoteRef/>
      </w:r>
      <w:r>
        <w:t xml:space="preserve"> Cf. </w:t>
      </w:r>
      <w:r w:rsidRPr="006C3525">
        <w:t xml:space="preserve">Lyons, </w:t>
      </w:r>
      <w:r w:rsidRPr="006C3525">
        <w:rPr>
          <w:i/>
        </w:rPr>
        <w:t>Canon and Exegesis</w:t>
      </w:r>
      <w:r>
        <w:t>, 243.</w:t>
      </w:r>
    </w:p>
  </w:footnote>
  <w:footnote w:id="468">
    <w:p w14:paraId="46E21CFB" w14:textId="77777777" w:rsidR="000438B1" w:rsidRPr="00B34D51" w:rsidRDefault="000438B1">
      <w:pPr>
        <w:pStyle w:val="FootnoteText"/>
      </w:pPr>
      <w:r>
        <w:rPr>
          <w:rStyle w:val="FootnoteReference"/>
        </w:rPr>
        <w:footnoteRef/>
      </w:r>
      <w:r>
        <w:t xml:space="preserve"> L. A. Turner, “Lot as Jekyll and Hyde,” in D. J. A. Clines et al. (eds.), </w:t>
      </w:r>
      <w:r>
        <w:rPr>
          <w:i/>
        </w:rPr>
        <w:t xml:space="preserve">The Bible in Three Dimensions </w:t>
      </w:r>
      <w:r>
        <w:t xml:space="preserve">(Sheffield: Sheffield Academic Press, 1990), 85-101. </w:t>
      </w:r>
    </w:p>
  </w:footnote>
  <w:footnote w:id="469">
    <w:p w14:paraId="6B7E9BE7" w14:textId="77777777" w:rsidR="000438B1" w:rsidRPr="00076CC0" w:rsidRDefault="000438B1">
      <w:pPr>
        <w:pStyle w:val="FootnoteText"/>
      </w:pPr>
      <w:r>
        <w:rPr>
          <w:rStyle w:val="FootnoteReference"/>
        </w:rPr>
        <w:footnoteRef/>
      </w:r>
      <w:r>
        <w:t xml:space="preserve"> See G. Dishi, “Saving Zoar,” </w:t>
      </w:r>
      <w:r>
        <w:rPr>
          <w:i/>
        </w:rPr>
        <w:t xml:space="preserve">JBQ </w:t>
      </w:r>
      <w:r>
        <w:t xml:space="preserve">38 (2010): 211-18; P. Tonson, “Mercy without Covenant,” </w:t>
      </w:r>
      <w:r>
        <w:rPr>
          <w:i/>
        </w:rPr>
        <w:t xml:space="preserve">JSOT </w:t>
      </w:r>
      <w:r>
        <w:t>95 (2001): 95-116.</w:t>
      </w:r>
    </w:p>
  </w:footnote>
  <w:footnote w:id="470">
    <w:p w14:paraId="732FDB22" w14:textId="77777777" w:rsidR="000438B1" w:rsidRPr="007038F5" w:rsidRDefault="000438B1" w:rsidP="00677D3D">
      <w:pPr>
        <w:pStyle w:val="FootnoteText"/>
      </w:pPr>
      <w:r>
        <w:rPr>
          <w:rStyle w:val="FootnoteReference"/>
        </w:rPr>
        <w:footnoteRef/>
      </w:r>
      <w:r>
        <w:t xml:space="preserve"> Cf. Cyril of Alexandria, as quoted in Petit (ed.), </w:t>
      </w:r>
      <w:r>
        <w:rPr>
          <w:i/>
        </w:rPr>
        <w:t>La chaîne sur la Genèse</w:t>
      </w:r>
      <w:r>
        <w:t xml:space="preserve"> 3:156;</w:t>
      </w:r>
      <w:r>
        <w:rPr>
          <w:i/>
        </w:rPr>
        <w:t xml:space="preserve"> </w:t>
      </w:r>
      <w:r>
        <w:t xml:space="preserve">cf. Sheridan (ed.), </w:t>
      </w:r>
      <w:r>
        <w:rPr>
          <w:i/>
        </w:rPr>
        <w:t>Genesis 12—50</w:t>
      </w:r>
      <w:r>
        <w:t>, 78.</w:t>
      </w:r>
    </w:p>
  </w:footnote>
  <w:footnote w:id="471">
    <w:p w14:paraId="0DF6AF0D" w14:textId="77777777" w:rsidR="000438B1" w:rsidRPr="007F426E" w:rsidRDefault="000438B1">
      <w:pPr>
        <w:pStyle w:val="FootnoteText"/>
      </w:pPr>
      <w:r>
        <w:rPr>
          <w:rStyle w:val="FootnoteReference"/>
        </w:rPr>
        <w:footnoteRef/>
      </w:r>
      <w:r>
        <w:t xml:space="preserve"> Cf. Westermann, </w:t>
      </w:r>
      <w:r>
        <w:rPr>
          <w:i/>
        </w:rPr>
        <w:t>Genesis 12—36</w:t>
      </w:r>
      <w:r>
        <w:t>, 306.</w:t>
      </w:r>
    </w:p>
  </w:footnote>
  <w:footnote w:id="472">
    <w:p w14:paraId="4BA63766" w14:textId="77777777" w:rsidR="000438B1" w:rsidRDefault="000438B1">
      <w:pPr>
        <w:pStyle w:val="FootnoteText"/>
      </w:pPr>
      <w:r>
        <w:rPr>
          <w:rStyle w:val="FootnoteReference"/>
        </w:rPr>
        <w:footnoteRef/>
      </w:r>
      <w:r>
        <w:t xml:space="preserve"> Cf. Qimchi, on the passage.</w:t>
      </w:r>
    </w:p>
  </w:footnote>
  <w:footnote w:id="473">
    <w:p w14:paraId="42A82E4E" w14:textId="609ED61D" w:rsidR="000438B1" w:rsidRPr="00AE1C2D" w:rsidRDefault="000438B1">
      <w:pPr>
        <w:pStyle w:val="FootnoteText"/>
      </w:pPr>
      <w:r>
        <w:rPr>
          <w:rStyle w:val="FootnoteReference"/>
        </w:rPr>
        <w:footnoteRef/>
      </w:r>
      <w:r>
        <w:t xml:space="preserve"> R. Goldstein, “Looking Back at Lot’s Wife,” </w:t>
      </w:r>
      <w:r>
        <w:rPr>
          <w:i/>
        </w:rPr>
        <w:t xml:space="preserve">Commentary </w:t>
      </w:r>
      <w:r>
        <w:t xml:space="preserve">34/3 (1992): 37-41 (41); cf. S. Cheon’s reading of the story in light of a Korean legend (“Filling the Gap in the Story of Lot’s Wife,” </w:t>
      </w:r>
      <w:r>
        <w:rPr>
          <w:i/>
        </w:rPr>
        <w:t>Asia Journal of Theology</w:t>
      </w:r>
      <w:r>
        <w:t xml:space="preserve"> 15 [2001]: 13-23).</w:t>
      </w:r>
    </w:p>
  </w:footnote>
  <w:footnote w:id="474">
    <w:p w14:paraId="49052F8A" w14:textId="77777777" w:rsidR="000438B1" w:rsidRPr="001D6E5A" w:rsidRDefault="000438B1">
      <w:pPr>
        <w:pStyle w:val="FootnoteText"/>
      </w:pPr>
      <w:r>
        <w:rPr>
          <w:rStyle w:val="FootnoteReference"/>
        </w:rPr>
        <w:footnoteRef/>
      </w:r>
      <w:r>
        <w:t xml:space="preserve"> So S. Luger, “Flood, Salt and Sacrifice,” </w:t>
      </w:r>
      <w:r>
        <w:rPr>
          <w:i/>
        </w:rPr>
        <w:t>JBQ</w:t>
      </w:r>
      <w:r>
        <w:t xml:space="preserve"> 38 (2010): 124-26.</w:t>
      </w:r>
    </w:p>
  </w:footnote>
  <w:footnote w:id="475">
    <w:p w14:paraId="66FDACBA" w14:textId="37273226" w:rsidR="000438B1" w:rsidRPr="009B073D" w:rsidRDefault="000438B1" w:rsidP="00E76A6A">
      <w:pPr>
        <w:pStyle w:val="FootnoteText"/>
      </w:pPr>
      <w:r>
        <w:rPr>
          <w:rStyle w:val="FootnoteReference"/>
        </w:rPr>
        <w:footnoteRef/>
      </w:r>
      <w:r>
        <w:t xml:space="preserve"> So </w:t>
      </w:r>
      <w:r w:rsidRPr="009B073D">
        <w:t xml:space="preserve">Keil/Delitzsch, </w:t>
      </w:r>
      <w:r w:rsidRPr="009B073D">
        <w:rPr>
          <w:i/>
        </w:rPr>
        <w:t>Pentateuch</w:t>
      </w:r>
      <w:r>
        <w:t>, 236.</w:t>
      </w:r>
    </w:p>
  </w:footnote>
  <w:footnote w:id="476">
    <w:p w14:paraId="2CD8557B" w14:textId="77777777" w:rsidR="000438B1" w:rsidRPr="00544C15" w:rsidRDefault="000438B1">
      <w:pPr>
        <w:pStyle w:val="FootnoteText"/>
      </w:pPr>
      <w:r>
        <w:rPr>
          <w:rStyle w:val="FootnoteReference"/>
        </w:rPr>
        <w:footnoteRef/>
      </w:r>
      <w:r>
        <w:t xml:space="preserve"> Hamilton, </w:t>
      </w:r>
      <w:r>
        <w:rPr>
          <w:i/>
        </w:rPr>
        <w:t>Genesis 18—50</w:t>
      </w:r>
      <w:r>
        <w:t xml:space="preserve">, 48, summarizing R. T. Boyd, </w:t>
      </w:r>
      <w:r>
        <w:rPr>
          <w:i/>
        </w:rPr>
        <w:t>Tells, Tombs, and Treasure</w:t>
      </w:r>
      <w:r>
        <w:t xml:space="preserve"> (Grand Rapids: Baker, 1969), 85-87.</w:t>
      </w:r>
    </w:p>
  </w:footnote>
  <w:footnote w:id="477">
    <w:p w14:paraId="15416571" w14:textId="77777777" w:rsidR="000438B1" w:rsidRPr="0023625E" w:rsidRDefault="000438B1">
      <w:pPr>
        <w:pStyle w:val="FootnoteText"/>
      </w:pPr>
      <w:r>
        <w:rPr>
          <w:rStyle w:val="FootnoteReference"/>
        </w:rPr>
        <w:footnoteRef/>
      </w:r>
      <w:r>
        <w:t xml:space="preserve"> Westermann, </w:t>
      </w:r>
      <w:r>
        <w:rPr>
          <w:i/>
        </w:rPr>
        <w:t>Genesis 12—36</w:t>
      </w:r>
      <w:r>
        <w:t>, 308.</w:t>
      </w:r>
    </w:p>
  </w:footnote>
  <w:footnote w:id="478">
    <w:p w14:paraId="08DD516F" w14:textId="77777777" w:rsidR="000438B1" w:rsidRPr="00D95B45" w:rsidRDefault="000438B1">
      <w:pPr>
        <w:pStyle w:val="FootnoteText"/>
      </w:pPr>
      <w:r>
        <w:rPr>
          <w:rStyle w:val="FootnoteReference"/>
        </w:rPr>
        <w:footnoteRef/>
      </w:r>
      <w:r>
        <w:t xml:space="preserve"> Cf. </w:t>
      </w:r>
      <w:r w:rsidRPr="00D95B45">
        <w:t xml:space="preserve">Lyons, </w:t>
      </w:r>
      <w:r w:rsidRPr="00D95B45">
        <w:rPr>
          <w:i/>
        </w:rPr>
        <w:t>Canon and Exegesis</w:t>
      </w:r>
      <w:r>
        <w:t>, 249.</w:t>
      </w:r>
    </w:p>
  </w:footnote>
  <w:footnote w:id="479">
    <w:p w14:paraId="2D89B756" w14:textId="3AE63C2E" w:rsidR="000438B1" w:rsidRPr="002F28B9" w:rsidRDefault="000438B1">
      <w:pPr>
        <w:pStyle w:val="FootnoteText"/>
        <w:rPr>
          <w:i/>
        </w:rPr>
      </w:pPr>
      <w:r>
        <w:rPr>
          <w:rStyle w:val="FootnoteReference"/>
        </w:rPr>
        <w:footnoteRef/>
      </w:r>
      <w:r>
        <w:t xml:space="preserve"> Cf. Wenham, </w:t>
      </w:r>
      <w:r>
        <w:rPr>
          <w:i/>
        </w:rPr>
        <w:t xml:space="preserve">Genesis 16—50, </w:t>
      </w:r>
      <w:r>
        <w:t>45, though in source-critical terms it points to P.</w:t>
      </w:r>
    </w:p>
  </w:footnote>
  <w:footnote w:id="480">
    <w:p w14:paraId="174B37EF" w14:textId="77777777" w:rsidR="000438B1" w:rsidRPr="00A54CDC" w:rsidRDefault="000438B1" w:rsidP="00CE19CF">
      <w:pPr>
        <w:pStyle w:val="FootnoteText"/>
      </w:pPr>
      <w:r>
        <w:rPr>
          <w:rStyle w:val="FootnoteReference"/>
        </w:rPr>
        <w:footnoteRef/>
      </w:r>
      <w:r>
        <w:t xml:space="preserve"> Sarna, </w:t>
      </w:r>
      <w:r>
        <w:rPr>
          <w:i/>
        </w:rPr>
        <w:t>Genesis</w:t>
      </w:r>
      <w:r>
        <w:t>, 140.</w:t>
      </w:r>
    </w:p>
  </w:footnote>
  <w:footnote w:id="481">
    <w:p w14:paraId="3BAD8F8F" w14:textId="77777777" w:rsidR="000438B1" w:rsidRPr="00D27DA1" w:rsidRDefault="000438B1" w:rsidP="00CE19CF">
      <w:pPr>
        <w:pStyle w:val="FootnoteText"/>
      </w:pPr>
      <w:r>
        <w:rPr>
          <w:rStyle w:val="FootnoteReference"/>
        </w:rPr>
        <w:footnoteRef/>
      </w:r>
      <w:r>
        <w:t xml:space="preserve"> Brett, </w:t>
      </w:r>
      <w:r>
        <w:rPr>
          <w:i/>
        </w:rPr>
        <w:t>Genesis</w:t>
      </w:r>
      <w:r>
        <w:t>, 68.</w:t>
      </w:r>
    </w:p>
  </w:footnote>
  <w:footnote w:id="482">
    <w:p w14:paraId="0C694296" w14:textId="77777777" w:rsidR="000438B1" w:rsidRPr="00F24C9B" w:rsidRDefault="000438B1" w:rsidP="00072C7C">
      <w:pPr>
        <w:pStyle w:val="FootnoteText"/>
        <w:rPr>
          <w:i/>
        </w:rPr>
      </w:pPr>
      <w:r>
        <w:rPr>
          <w:rStyle w:val="FootnoteReference"/>
        </w:rPr>
        <w:footnoteRef/>
      </w:r>
      <w:r>
        <w:t xml:space="preserve"> </w:t>
      </w:r>
      <w:r w:rsidRPr="00072C7C">
        <w:t xml:space="preserve">Andrew of Saint Victor, </w:t>
      </w:r>
      <w:r w:rsidRPr="00072C7C">
        <w:rPr>
          <w:i/>
        </w:rPr>
        <w:t>Exposition on Genesis</w:t>
      </w:r>
      <w:r w:rsidRPr="00072C7C">
        <w:t>,</w:t>
      </w:r>
      <w:r w:rsidRPr="00072C7C">
        <w:rPr>
          <w:i/>
        </w:rPr>
        <w:t xml:space="preserve"> </w:t>
      </w:r>
      <w:r w:rsidRPr="00072C7C">
        <w:t xml:space="preserve">as quoted in Schroeder, </w:t>
      </w:r>
      <w:r w:rsidRPr="00072C7C">
        <w:rPr>
          <w:i/>
        </w:rPr>
        <w:t>Genesis</w:t>
      </w:r>
      <w:r w:rsidRPr="00072C7C">
        <w:t>, 151</w:t>
      </w:r>
      <w:r>
        <w:t>; contrast</w:t>
      </w:r>
      <w:r w:rsidRPr="00CE19CF">
        <w:t xml:space="preserve"> Jerome</w:t>
      </w:r>
      <w:r>
        <w:t xml:space="preserve">’s </w:t>
      </w:r>
      <w:r w:rsidRPr="00CE19CF">
        <w:t>incredulity at the idea of a man having sex without realizing (</w:t>
      </w:r>
      <w:r w:rsidRPr="00CE19CF">
        <w:rPr>
          <w:i/>
        </w:rPr>
        <w:t>Hebrew Questions on Genesis</w:t>
      </w:r>
      <w:r w:rsidRPr="00CE19CF">
        <w:t>, 52</w:t>
      </w:r>
      <w:r>
        <w:t>; see further Hayward’s comments, 171-72)</w:t>
      </w:r>
      <w:r w:rsidRPr="00072C7C">
        <w:t>.</w:t>
      </w:r>
      <w:r>
        <w:t xml:space="preserve"> Ephrem has an imaginative midrash on how the two women deceived their father so as to get him drunk and then deceived him about the source of their pregnancy (“</w:t>
      </w:r>
      <w:r w:rsidRPr="00F24C9B">
        <w:t>Commentary on Genesis,</w:t>
      </w:r>
      <w:r>
        <w:t>”163-64).</w:t>
      </w:r>
    </w:p>
  </w:footnote>
  <w:footnote w:id="483">
    <w:p w14:paraId="3D2C1B9B" w14:textId="77777777" w:rsidR="000438B1" w:rsidRPr="00F842A1" w:rsidRDefault="000438B1" w:rsidP="00CE19CF">
      <w:pPr>
        <w:pStyle w:val="FootnoteText"/>
      </w:pPr>
      <w:r>
        <w:rPr>
          <w:rStyle w:val="FootnoteReference"/>
        </w:rPr>
        <w:footnoteRef/>
      </w:r>
      <w:r>
        <w:t xml:space="preserve"> Von Rad, </w:t>
      </w:r>
      <w:r>
        <w:rPr>
          <w:i/>
        </w:rPr>
        <w:t>Genesis</w:t>
      </w:r>
      <w:r>
        <w:t>, 219.</w:t>
      </w:r>
    </w:p>
  </w:footnote>
  <w:footnote w:id="484">
    <w:p w14:paraId="602BDC1A" w14:textId="74F8C5BD" w:rsidR="000438B1" w:rsidRPr="009F52D9" w:rsidRDefault="000438B1" w:rsidP="001C78C8">
      <w:pPr>
        <w:pStyle w:val="FootnoteText"/>
      </w:pPr>
      <w:r>
        <w:rPr>
          <w:rStyle w:val="FootnoteReference"/>
        </w:rPr>
        <w:footnoteRef/>
      </w:r>
      <w:r>
        <w:t xml:space="preserve"> J. Grossman, “‘</w:t>
      </w:r>
      <w:r>
        <w:rPr>
          <w:rFonts w:asciiTheme="minorHAnsi" w:eastAsiaTheme="minorHAnsi" w:hAnsiTheme="minorHAnsi" w:cs="Arial"/>
        </w:rPr>
        <w:t>Associative Meanings’</w:t>
      </w:r>
      <w:r w:rsidRPr="009F52D9">
        <w:rPr>
          <w:rFonts w:asciiTheme="minorHAnsi" w:eastAsiaTheme="minorHAnsi" w:hAnsiTheme="minorHAnsi" w:cs="Arial"/>
        </w:rPr>
        <w:t xml:space="preserve"> in the</w:t>
      </w:r>
      <w:r>
        <w:rPr>
          <w:rFonts w:asciiTheme="minorHAnsi" w:eastAsiaTheme="minorHAnsi" w:hAnsiTheme="minorHAnsi" w:cs="Arial"/>
        </w:rPr>
        <w:t xml:space="preserve"> Character Evaluation of Lot's D</w:t>
      </w:r>
      <w:r w:rsidRPr="009F52D9">
        <w:rPr>
          <w:rFonts w:asciiTheme="minorHAnsi" w:eastAsiaTheme="minorHAnsi" w:hAnsiTheme="minorHAnsi" w:cs="Arial"/>
        </w:rPr>
        <w:t>aughters</w:t>
      </w:r>
      <w:r>
        <w:rPr>
          <w:rFonts w:asciiTheme="minorHAnsi" w:eastAsiaTheme="minorHAnsi" w:hAnsiTheme="minorHAnsi" w:cs="Arial"/>
        </w:rPr>
        <w:t xml:space="preserve">,” </w:t>
      </w:r>
      <w:r>
        <w:rPr>
          <w:rFonts w:asciiTheme="minorHAnsi" w:eastAsiaTheme="minorHAnsi" w:hAnsiTheme="minorHAnsi" w:cs="Arial"/>
          <w:i/>
        </w:rPr>
        <w:t xml:space="preserve">CBQ </w:t>
      </w:r>
      <w:r>
        <w:rPr>
          <w:rFonts w:asciiTheme="minorHAnsi" w:eastAsiaTheme="minorHAnsi" w:hAnsiTheme="minorHAnsi" w:cs="Arial"/>
        </w:rPr>
        <w:t xml:space="preserve">76 (2014): 40-57 (57)—Grossman thinks the narrator is more sympathetic to the younger daughter. Cf. also M. </w:t>
      </w:r>
      <w:r>
        <w:t xml:space="preserve">Hunt, “The Two Daughters of Lot,” </w:t>
      </w:r>
      <w:r w:rsidRPr="00DC4A5F">
        <w:rPr>
          <w:i/>
        </w:rPr>
        <w:t>Lutheran Theological Journal</w:t>
      </w:r>
      <w:r>
        <w:t xml:space="preserve"> 47 (2013): 173-186.</w:t>
      </w:r>
    </w:p>
  </w:footnote>
  <w:footnote w:id="485">
    <w:p w14:paraId="0DA7C6A3" w14:textId="77777777" w:rsidR="000438B1" w:rsidRDefault="000438B1">
      <w:pPr>
        <w:pStyle w:val="FootnoteText"/>
      </w:pPr>
      <w:r>
        <w:rPr>
          <w:rStyle w:val="FootnoteReference"/>
        </w:rPr>
        <w:footnoteRef/>
      </w:r>
      <w:r>
        <w:t xml:space="preserve"> </w:t>
      </w:r>
      <w:r w:rsidRPr="00163AC2">
        <w:t xml:space="preserve">Hendel et al., </w:t>
      </w:r>
      <w:r>
        <w:t>“</w:t>
      </w:r>
      <w:r w:rsidRPr="00163AC2">
        <w:t>Gender and Sexuality,</w:t>
      </w:r>
      <w:r>
        <w:t>” 88.</w:t>
      </w:r>
    </w:p>
  </w:footnote>
  <w:footnote w:id="486">
    <w:p w14:paraId="787C11FC" w14:textId="77777777" w:rsidR="000438B1" w:rsidRPr="00D6727B" w:rsidRDefault="000438B1">
      <w:pPr>
        <w:pStyle w:val="FootnoteText"/>
      </w:pPr>
      <w:r>
        <w:rPr>
          <w:rStyle w:val="FootnoteReference"/>
        </w:rPr>
        <w:footnoteRef/>
      </w:r>
      <w:r>
        <w:t xml:space="preserve"> Ephrem has them assuming that the catastrophe was as devastating as the deluge in the time of Noah (</w:t>
      </w:r>
      <w:r w:rsidRPr="00D65833">
        <w:t>“Commentary on Genesis,”</w:t>
      </w:r>
      <w:r>
        <w:t xml:space="preserve"> 162; cf. Wickes, “Ephrem’s Interpretation of Genesis,” 52).</w:t>
      </w:r>
    </w:p>
  </w:footnote>
  <w:footnote w:id="487">
    <w:p w14:paraId="4ACAE848" w14:textId="77777777" w:rsidR="000438B1" w:rsidRPr="00383726" w:rsidRDefault="000438B1" w:rsidP="00383726">
      <w:pPr>
        <w:pStyle w:val="FootnoteText"/>
      </w:pPr>
      <w:r>
        <w:rPr>
          <w:rStyle w:val="FootnoteReference"/>
        </w:rPr>
        <w:footnoteRef/>
      </w:r>
      <w:r>
        <w:t xml:space="preserve"> Origen, </w:t>
      </w:r>
      <w:r w:rsidRPr="00383726">
        <w:rPr>
          <w:i/>
        </w:rPr>
        <w:t>Genesis and Exodus</w:t>
      </w:r>
      <w:r>
        <w:t>, 117.</w:t>
      </w:r>
    </w:p>
  </w:footnote>
  <w:footnote w:id="488">
    <w:p w14:paraId="653DF62F" w14:textId="77777777" w:rsidR="000438B1" w:rsidRPr="00D27DA1" w:rsidRDefault="000438B1" w:rsidP="00D27DA1">
      <w:pPr>
        <w:pStyle w:val="FootnoteText"/>
      </w:pPr>
      <w:r>
        <w:rPr>
          <w:rStyle w:val="FootnoteReference"/>
        </w:rPr>
        <w:footnoteRef/>
      </w:r>
      <w:r>
        <w:t xml:space="preserve"> Brett, </w:t>
      </w:r>
      <w:r>
        <w:rPr>
          <w:i/>
        </w:rPr>
        <w:t>Genesis</w:t>
      </w:r>
      <w:r>
        <w:t>, 69.</w:t>
      </w:r>
    </w:p>
  </w:footnote>
  <w:footnote w:id="489">
    <w:p w14:paraId="2E575C38" w14:textId="06C6CF09" w:rsidR="000438B1" w:rsidRPr="00EA37E2" w:rsidRDefault="000438B1" w:rsidP="00EA37E2">
      <w:pPr>
        <w:pStyle w:val="FootnoteText"/>
      </w:pPr>
      <w:r>
        <w:rPr>
          <w:rStyle w:val="FootnoteReference"/>
        </w:rPr>
        <w:footnoteRef/>
      </w:r>
      <w:r>
        <w:t xml:space="preserve"> Cf. W. J. Lyons, “The Eternal Liminality of Lot,” in Lipton (ed.), </w:t>
      </w:r>
      <w:r>
        <w:rPr>
          <w:i/>
        </w:rPr>
        <w:t>Universalism and Particularism at Sodom and Gomorrah</w:t>
      </w:r>
      <w:r>
        <w:t>, 3-23 (13). C. Carmichael (“Legal and Ethical Reflections on Genesis 18 and 19,” in the same volume, 101-11) makes links with Lev 18:7; Deut 23:2-6, but the former speaks of sons and mothers and the latter provides a different rationale from a link with Gen 19. Fields</w:t>
      </w:r>
      <w:r w:rsidRPr="00C13018">
        <w:t xml:space="preserve"> </w:t>
      </w:r>
      <w:r>
        <w:t>(</w:t>
      </w:r>
      <w:r w:rsidRPr="00C13018">
        <w:rPr>
          <w:i/>
        </w:rPr>
        <w:t>Sodom and Gomorrah</w:t>
      </w:r>
      <w:r>
        <w:t>,</w:t>
      </w:r>
      <w:r w:rsidRPr="00C13018">
        <w:t xml:space="preserve"> </w:t>
      </w:r>
      <w:r>
        <w:rPr>
          <w:rStyle w:val="call-number"/>
        </w:rPr>
        <w:t xml:space="preserve">147-52) rather links the story with enmity between Israel and Moab/Ammon. On the ambiguity of the First Testament’s attitude to Moab and Ammon, see also </w:t>
      </w:r>
      <w:r>
        <w:t xml:space="preserve">E. Noort, “Abraham and the Nations,” in van Ruiten et al. (eds.), </w:t>
      </w:r>
      <w:r>
        <w:rPr>
          <w:i/>
        </w:rPr>
        <w:t>Abraham, the Nations, and the Hagarites</w:t>
      </w:r>
      <w:r>
        <w:t>, 3-31 (14-17).</w:t>
      </w:r>
    </w:p>
  </w:footnote>
  <w:footnote w:id="490">
    <w:p w14:paraId="6879AB28" w14:textId="77777777" w:rsidR="000438B1" w:rsidRPr="00572E69" w:rsidRDefault="000438B1" w:rsidP="00AE3EE4">
      <w:pPr>
        <w:pStyle w:val="FootnoteText"/>
        <w:rPr>
          <w:i/>
        </w:rPr>
      </w:pPr>
      <w:r>
        <w:rPr>
          <w:rStyle w:val="FootnoteReference"/>
        </w:rPr>
        <w:footnoteRef/>
      </w:r>
      <w:r>
        <w:t xml:space="preserve"> Seebass, </w:t>
      </w:r>
      <w:r w:rsidRPr="00CD3E96">
        <w:rPr>
          <w:i/>
        </w:rPr>
        <w:t>Genesis</w:t>
      </w:r>
      <w:r>
        <w:t xml:space="preserve"> 2/1:157.</w:t>
      </w:r>
    </w:p>
  </w:footnote>
  <w:footnote w:id="491">
    <w:p w14:paraId="1EA7FD11" w14:textId="77777777" w:rsidR="000438B1" w:rsidRPr="00EF36F4" w:rsidRDefault="000438B1" w:rsidP="00AE3EE4">
      <w:pPr>
        <w:pStyle w:val="FootnoteText"/>
      </w:pPr>
      <w:r>
        <w:rPr>
          <w:rStyle w:val="FootnoteReference"/>
        </w:rPr>
        <w:footnoteRef/>
      </w:r>
      <w:r>
        <w:t xml:space="preserve"> Chrysostom, </w:t>
      </w:r>
      <w:r w:rsidRPr="00EF36F4">
        <w:rPr>
          <w:i/>
        </w:rPr>
        <w:t>Homilies on Genesis 18-45</w:t>
      </w:r>
      <w:r>
        <w:t>, 464-65.</w:t>
      </w:r>
    </w:p>
  </w:footnote>
  <w:footnote w:id="492">
    <w:p w14:paraId="3634E1D4" w14:textId="67F90049" w:rsidR="000438B1" w:rsidRPr="00D2592B" w:rsidRDefault="000438B1" w:rsidP="00EA37E2">
      <w:pPr>
        <w:pStyle w:val="FootnoteText"/>
      </w:pPr>
      <w:r>
        <w:rPr>
          <w:rStyle w:val="FootnoteReference"/>
        </w:rPr>
        <w:footnoteRef/>
      </w:r>
      <w:r>
        <w:t xml:space="preserve"> Visotzky, </w:t>
      </w:r>
      <w:r>
        <w:rPr>
          <w:i/>
        </w:rPr>
        <w:t>Genesis of Ethics</w:t>
      </w:r>
      <w:r>
        <w:t>, 85.</w:t>
      </w:r>
    </w:p>
  </w:footnote>
  <w:footnote w:id="493">
    <w:p w14:paraId="2DA43F5B" w14:textId="3B2325C3" w:rsidR="000438B1" w:rsidRPr="001C0C64" w:rsidRDefault="000438B1" w:rsidP="001C0C64">
      <w:pPr>
        <w:pStyle w:val="FootnoteText"/>
      </w:pPr>
      <w:r>
        <w:rPr>
          <w:rStyle w:val="FootnoteReference"/>
        </w:rPr>
        <w:footnoteRef/>
      </w:r>
      <w:r>
        <w:t xml:space="preserve"> See further R. Carlson’s comments on Yahweh as the subject of the verb </w:t>
      </w:r>
      <w:proofErr w:type="gramStart"/>
      <w:r>
        <w:rPr>
          <w:i/>
        </w:rPr>
        <w:t>yāda‘</w:t>
      </w:r>
      <w:r>
        <w:t xml:space="preserve"> in</w:t>
      </w:r>
      <w:proofErr w:type="gramEnd"/>
      <w:r>
        <w:t xml:space="preserve"> Gen 18—19, “</w:t>
      </w:r>
      <w:r w:rsidRPr="001C0C64">
        <w:rPr>
          <w:rFonts w:asciiTheme="minorHAnsi" w:eastAsiaTheme="minorHAnsi" w:hAnsiTheme="minorHAnsi" w:cs="Brill-Bold"/>
          <w:bCs/>
        </w:rPr>
        <w:t>The Open God of the Sodom and</w:t>
      </w:r>
      <w:r>
        <w:rPr>
          <w:rFonts w:asciiTheme="minorHAnsi" w:eastAsiaTheme="minorHAnsi" w:hAnsiTheme="minorHAnsi" w:cs="Brill-Bold"/>
          <w:bCs/>
        </w:rPr>
        <w:t xml:space="preserve"> </w:t>
      </w:r>
      <w:r w:rsidRPr="001C0C64">
        <w:rPr>
          <w:rFonts w:asciiTheme="minorHAnsi" w:eastAsiaTheme="minorHAnsi" w:hAnsiTheme="minorHAnsi" w:cs="Brill-Bold"/>
          <w:bCs/>
        </w:rPr>
        <w:t>Gomorrah Cycle</w:t>
      </w:r>
      <w:r>
        <w:rPr>
          <w:rFonts w:asciiTheme="minorHAnsi" w:eastAsiaTheme="minorHAnsi" w:hAnsiTheme="minorHAnsi" w:cs="Brill-Bold"/>
          <w:bCs/>
        </w:rPr>
        <w:t xml:space="preserve">,” </w:t>
      </w:r>
      <w:r>
        <w:rPr>
          <w:rFonts w:asciiTheme="minorHAnsi" w:eastAsiaTheme="minorHAnsi" w:hAnsiTheme="minorHAnsi" w:cs="Brill-Bold"/>
          <w:bCs/>
          <w:i/>
        </w:rPr>
        <w:t xml:space="preserve">JPT </w:t>
      </w:r>
      <w:r>
        <w:rPr>
          <w:rFonts w:asciiTheme="minorHAnsi" w:eastAsiaTheme="minorHAnsi" w:hAnsiTheme="minorHAnsi" w:cs="Brill-Bold"/>
          <w:bCs/>
        </w:rPr>
        <w:t>21 (2012): 185-200 (</w:t>
      </w:r>
      <w:r w:rsidRPr="001C0C64">
        <w:rPr>
          <w:rFonts w:asciiTheme="minorHAnsi" w:hAnsiTheme="minorHAnsi"/>
        </w:rPr>
        <w:t>191</w:t>
      </w:r>
      <w:r>
        <w:t>-92).</w:t>
      </w:r>
    </w:p>
  </w:footnote>
  <w:footnote w:id="494">
    <w:p w14:paraId="111F5928" w14:textId="77777777" w:rsidR="000438B1" w:rsidRPr="00EF36F4" w:rsidRDefault="000438B1" w:rsidP="00F2646B">
      <w:pPr>
        <w:pStyle w:val="FootnoteText"/>
      </w:pPr>
      <w:r>
        <w:rPr>
          <w:rStyle w:val="FootnoteReference"/>
        </w:rPr>
        <w:footnoteRef/>
      </w:r>
      <w:r>
        <w:t xml:space="preserve"> </w:t>
      </w:r>
      <w:r>
        <w:rPr>
          <w:i/>
        </w:rPr>
        <w:t>Genesis 15—20</w:t>
      </w:r>
      <w:r>
        <w:t>, 177, 190. Reno (</w:t>
      </w:r>
      <w:r>
        <w:rPr>
          <w:i/>
        </w:rPr>
        <w:t>Genesis</w:t>
      </w:r>
      <w:r>
        <w:t xml:space="preserve">, 183) supports the Trinitarian understanding. </w:t>
      </w:r>
    </w:p>
  </w:footnote>
  <w:footnote w:id="495">
    <w:p w14:paraId="7AAC17DD" w14:textId="77777777" w:rsidR="000438B1" w:rsidRDefault="000438B1" w:rsidP="00F2646B">
      <w:pPr>
        <w:pStyle w:val="FootnoteText"/>
      </w:pPr>
      <w:r>
        <w:rPr>
          <w:rStyle w:val="FootnoteReference"/>
        </w:rPr>
        <w:footnoteRef/>
      </w:r>
      <w:r>
        <w:t xml:space="preserve"> </w:t>
      </w:r>
      <w:r w:rsidRPr="00115173">
        <w:rPr>
          <w:i/>
        </w:rPr>
        <w:t>Genesis</w:t>
      </w:r>
      <w:r>
        <w:t>, 189-90.</w:t>
      </w:r>
    </w:p>
  </w:footnote>
  <w:footnote w:id="496">
    <w:p w14:paraId="371C6C4D" w14:textId="77777777" w:rsidR="000438B1" w:rsidRPr="00EC3944" w:rsidRDefault="000438B1" w:rsidP="00F2646B">
      <w:pPr>
        <w:pStyle w:val="FootnoteText"/>
      </w:pPr>
      <w:r>
        <w:rPr>
          <w:rStyle w:val="FootnoteReference"/>
        </w:rPr>
        <w:footnoteRef/>
      </w:r>
      <w:r>
        <w:t xml:space="preserve"> </w:t>
      </w:r>
      <w:r>
        <w:rPr>
          <w:i/>
        </w:rPr>
        <w:t>City of God</w:t>
      </w:r>
      <w:r>
        <w:t xml:space="preserve"> 16:29 (see more broadly M. E. Doerfler, “Entertaining the Trinity Unawares,” </w:t>
      </w:r>
      <w:r>
        <w:rPr>
          <w:i/>
        </w:rPr>
        <w:t xml:space="preserve">Journal of Ecclesiastic </w:t>
      </w:r>
      <w:r w:rsidRPr="006D66BD">
        <w:rPr>
          <w:i/>
        </w:rPr>
        <w:t>History</w:t>
      </w:r>
      <w:r>
        <w:t xml:space="preserve"> 65 [2014]: 485-503); </w:t>
      </w:r>
      <w:r w:rsidRPr="006D66BD">
        <w:t>cf</w:t>
      </w:r>
      <w:r>
        <w:t xml:space="preserve">. Willet, </w:t>
      </w:r>
      <w:r w:rsidRPr="001933F6">
        <w:rPr>
          <w:i/>
        </w:rPr>
        <w:t>Hexapla in Genesin &amp; Exodum</w:t>
      </w:r>
      <w:r w:rsidRPr="001933F6">
        <w:t xml:space="preserve">, </w:t>
      </w:r>
      <w:r>
        <w:t xml:space="preserve">169. </w:t>
      </w:r>
    </w:p>
  </w:footnote>
  <w:footnote w:id="497">
    <w:p w14:paraId="587398EB" w14:textId="77777777" w:rsidR="000438B1" w:rsidRDefault="000438B1" w:rsidP="00F2646B">
      <w:pPr>
        <w:pStyle w:val="FootnoteText"/>
      </w:pPr>
      <w:r>
        <w:rPr>
          <w:rStyle w:val="FootnoteReference"/>
        </w:rPr>
        <w:footnoteRef/>
      </w:r>
      <w:r>
        <w:t xml:space="preserve"> </w:t>
      </w:r>
      <w:r w:rsidRPr="002B3704">
        <w:t xml:space="preserve">Luther, </w:t>
      </w:r>
      <w:r w:rsidRPr="002B3704">
        <w:rPr>
          <w:i/>
        </w:rPr>
        <w:t>Genesis 15—20</w:t>
      </w:r>
      <w:r>
        <w:t>, 194-95.</w:t>
      </w:r>
    </w:p>
  </w:footnote>
  <w:footnote w:id="498">
    <w:p w14:paraId="65BE4C21" w14:textId="77777777" w:rsidR="000438B1" w:rsidRDefault="000438B1" w:rsidP="00817701">
      <w:pPr>
        <w:pStyle w:val="FootnoteText"/>
      </w:pPr>
      <w:r>
        <w:rPr>
          <w:rStyle w:val="FootnoteReference"/>
        </w:rPr>
        <w:footnoteRef/>
      </w:r>
      <w:r>
        <w:t xml:space="preserve"> Cf. E. Hamori, “Divine Embodiment in the Hebrew Bible,” in S. T. Kamionkowski and W. Kim (eds.), </w:t>
      </w:r>
      <w:r>
        <w:rPr>
          <w:i/>
        </w:rPr>
        <w:t>Bodies, Embodiment, and Theology of the Hebrew Bible</w:t>
      </w:r>
      <w:r>
        <w:t xml:space="preserve"> (New York: Clark, 2010), 161-83.</w:t>
      </w:r>
    </w:p>
  </w:footnote>
  <w:footnote w:id="499">
    <w:p w14:paraId="507B893F" w14:textId="77777777" w:rsidR="000438B1" w:rsidRPr="00D60C05" w:rsidRDefault="000438B1">
      <w:pPr>
        <w:pStyle w:val="FootnoteText"/>
      </w:pPr>
      <w:r>
        <w:rPr>
          <w:rStyle w:val="FootnoteReference"/>
        </w:rPr>
        <w:footnoteRef/>
      </w:r>
      <w:r>
        <w:t xml:space="preserve"> On ways of handling such questions, see </w:t>
      </w:r>
      <w:r w:rsidRPr="00D60C05">
        <w:t xml:space="preserve">Lyons, </w:t>
      </w:r>
      <w:r w:rsidRPr="00D60C05">
        <w:rPr>
          <w:i/>
        </w:rPr>
        <w:t>Canon and Exegesis</w:t>
      </w:r>
      <w:r>
        <w:t>, 151-61.</w:t>
      </w:r>
    </w:p>
  </w:footnote>
  <w:footnote w:id="500">
    <w:p w14:paraId="2E4D0802" w14:textId="77777777" w:rsidR="000438B1" w:rsidRDefault="000438B1">
      <w:pPr>
        <w:pStyle w:val="FootnoteText"/>
      </w:pPr>
      <w:r>
        <w:rPr>
          <w:rStyle w:val="FootnoteReference"/>
        </w:rPr>
        <w:footnoteRef/>
      </w:r>
      <w:r>
        <w:t xml:space="preserve"> See e.g., </w:t>
      </w:r>
      <w:proofErr w:type="gramStart"/>
      <w:r>
        <w:t>Tg</w:t>
      </w:r>
      <w:proofErr w:type="gramEnd"/>
      <w:r>
        <w:t xml:space="preserve">; Chrysostom, </w:t>
      </w:r>
      <w:r w:rsidRPr="0057395C">
        <w:rPr>
          <w:i/>
        </w:rPr>
        <w:t>Homilies on Genesis 18-45</w:t>
      </w:r>
      <w:r w:rsidRPr="0057395C">
        <w:t>,</w:t>
      </w:r>
      <w:r>
        <w:t xml:space="preserve"> 426-29; Calvin, </w:t>
      </w:r>
      <w:r w:rsidRPr="0057395C">
        <w:rPr>
          <w:i/>
        </w:rPr>
        <w:t>Genesis</w:t>
      </w:r>
      <w:r w:rsidRPr="0057395C">
        <w:t xml:space="preserve"> 1:</w:t>
      </w:r>
      <w:r>
        <w:t>487-89.</w:t>
      </w:r>
    </w:p>
  </w:footnote>
  <w:footnote w:id="501">
    <w:p w14:paraId="5C391190" w14:textId="77777777" w:rsidR="000438B1" w:rsidRDefault="000438B1">
      <w:pPr>
        <w:pStyle w:val="FootnoteText"/>
      </w:pPr>
      <w:r>
        <w:rPr>
          <w:rStyle w:val="FootnoteReference"/>
        </w:rPr>
        <w:footnoteRef/>
      </w:r>
      <w:r>
        <w:t xml:space="preserve"> See </w:t>
      </w:r>
      <w:r w:rsidRPr="0057395C">
        <w:t xml:space="preserve">Brueggemann, </w:t>
      </w:r>
      <w:r w:rsidRPr="0057395C">
        <w:rPr>
          <w:i/>
        </w:rPr>
        <w:t>Genesis</w:t>
      </w:r>
      <w:r w:rsidRPr="0057395C">
        <w:t>,</w:t>
      </w:r>
      <w:r>
        <w:t xml:space="preserve"> 167-76. </w:t>
      </w:r>
    </w:p>
  </w:footnote>
  <w:footnote w:id="502">
    <w:p w14:paraId="14639D2D" w14:textId="77777777" w:rsidR="000438B1" w:rsidRPr="009B134E" w:rsidRDefault="000438B1" w:rsidP="00E01A1D">
      <w:pPr>
        <w:pStyle w:val="FootnoteText"/>
      </w:pPr>
      <w:r>
        <w:rPr>
          <w:rStyle w:val="FootnoteReference"/>
        </w:rPr>
        <w:footnoteRef/>
      </w:r>
      <w:r>
        <w:t xml:space="preserve"> Westermann, </w:t>
      </w:r>
      <w:r>
        <w:rPr>
          <w:i/>
        </w:rPr>
        <w:t>Genesis 12—36</w:t>
      </w:r>
      <w:r>
        <w:t xml:space="preserve">, 291; cf. E. Ben Zvi, “The Dialogue between Abraham and Yhwh,” </w:t>
      </w:r>
      <w:r>
        <w:rPr>
          <w:i/>
        </w:rPr>
        <w:t>JSOT</w:t>
      </w:r>
      <w:r>
        <w:t xml:space="preserve"> 53 (1992): 27-46; T. Miller, “Relationships, Haggling, and Injustice in Genesis 18,” </w:t>
      </w:r>
      <w:r w:rsidRPr="00B4713D">
        <w:rPr>
          <w:rStyle w:val="st"/>
          <w:i/>
        </w:rPr>
        <w:t>Journal of Theta Alpha Kappa</w:t>
      </w:r>
      <w:r>
        <w:rPr>
          <w:rStyle w:val="st"/>
        </w:rPr>
        <w:t xml:space="preserve"> 36/2 (2012) 29-38</w:t>
      </w:r>
    </w:p>
  </w:footnote>
  <w:footnote w:id="503">
    <w:p w14:paraId="4C919559" w14:textId="77777777" w:rsidR="000438B1" w:rsidRPr="00F842A1" w:rsidRDefault="000438B1" w:rsidP="00DC19D8">
      <w:pPr>
        <w:pStyle w:val="FootnoteText"/>
      </w:pPr>
      <w:r>
        <w:rPr>
          <w:rStyle w:val="FootnoteReference"/>
        </w:rPr>
        <w:footnoteRef/>
      </w:r>
      <w:r>
        <w:t xml:space="preserve"> Von Rad, </w:t>
      </w:r>
      <w:r>
        <w:rPr>
          <w:i/>
        </w:rPr>
        <w:t>Genesis</w:t>
      </w:r>
      <w:r>
        <w:t>, 207, 208, 209.</w:t>
      </w:r>
    </w:p>
  </w:footnote>
  <w:footnote w:id="504">
    <w:p w14:paraId="081B548C" w14:textId="77777777" w:rsidR="000438B1" w:rsidRPr="00CA0D0E" w:rsidRDefault="000438B1" w:rsidP="00E01A1D">
      <w:pPr>
        <w:pStyle w:val="FootnoteText"/>
      </w:pPr>
      <w:r>
        <w:rPr>
          <w:rStyle w:val="FootnoteReference"/>
        </w:rPr>
        <w:footnoteRef/>
      </w:r>
      <w:r>
        <w:t xml:space="preserve"> Luther, </w:t>
      </w:r>
      <w:r>
        <w:rPr>
          <w:i/>
        </w:rPr>
        <w:t>Genesis 15—20</w:t>
      </w:r>
      <w:r>
        <w:t>, 235.</w:t>
      </w:r>
    </w:p>
  </w:footnote>
  <w:footnote w:id="505">
    <w:p w14:paraId="1B8730D7" w14:textId="77777777" w:rsidR="000438B1" w:rsidRPr="00303F32" w:rsidRDefault="000438B1" w:rsidP="00817598">
      <w:pPr>
        <w:pStyle w:val="FootnoteText"/>
      </w:pPr>
      <w:r>
        <w:rPr>
          <w:rStyle w:val="FootnoteReference"/>
        </w:rPr>
        <w:footnoteRef/>
      </w:r>
      <w:r>
        <w:t xml:space="preserve"> Cf. Fretheim, </w:t>
      </w:r>
      <w:r>
        <w:rPr>
          <w:i/>
        </w:rPr>
        <w:t>Abraham</w:t>
      </w:r>
      <w:r>
        <w:t xml:space="preserve">, 85-86.d </w:t>
      </w:r>
    </w:p>
  </w:footnote>
  <w:footnote w:id="506">
    <w:p w14:paraId="2C696181" w14:textId="77777777" w:rsidR="000438B1" w:rsidRPr="0007539D" w:rsidRDefault="000438B1">
      <w:pPr>
        <w:pStyle w:val="FootnoteText"/>
      </w:pPr>
      <w:r>
        <w:rPr>
          <w:rStyle w:val="FootnoteReference"/>
        </w:rPr>
        <w:footnoteRef/>
      </w:r>
      <w:r>
        <w:t xml:space="preserve"> So </w:t>
      </w:r>
      <w:r w:rsidRPr="0007539D">
        <w:t>Dershowitz</w:t>
      </w:r>
      <w:r>
        <w:t>,</w:t>
      </w:r>
      <w:r w:rsidRPr="0007539D">
        <w:t xml:space="preserve"> </w:t>
      </w:r>
      <w:r>
        <w:rPr>
          <w:i/>
        </w:rPr>
        <w:t>Genesis of J</w:t>
      </w:r>
      <w:r w:rsidRPr="0007539D">
        <w:rPr>
          <w:i/>
        </w:rPr>
        <w:t>ustice</w:t>
      </w:r>
      <w:r>
        <w:t>, 71-72.</w:t>
      </w:r>
    </w:p>
  </w:footnote>
  <w:footnote w:id="507">
    <w:p w14:paraId="61CE4A95" w14:textId="77777777" w:rsidR="000438B1" w:rsidRPr="005F1288" w:rsidRDefault="000438B1" w:rsidP="00883157">
      <w:pPr>
        <w:pStyle w:val="FootnoteText"/>
      </w:pPr>
      <w:r>
        <w:rPr>
          <w:rStyle w:val="FootnoteReference"/>
        </w:rPr>
        <w:footnoteRef/>
      </w:r>
      <w:r>
        <w:t xml:space="preserve"> Cf. Fretheim, </w:t>
      </w:r>
      <w:r>
        <w:rPr>
          <w:i/>
        </w:rPr>
        <w:t>Abraham</w:t>
      </w:r>
      <w:r>
        <w:t>, 81.</w:t>
      </w:r>
    </w:p>
  </w:footnote>
  <w:footnote w:id="508">
    <w:p w14:paraId="4210233A" w14:textId="77777777" w:rsidR="000438B1" w:rsidRPr="00CC2A87" w:rsidRDefault="000438B1" w:rsidP="00883157">
      <w:pPr>
        <w:pStyle w:val="FootnoteText"/>
      </w:pPr>
      <w:r>
        <w:rPr>
          <w:rStyle w:val="FootnoteReference"/>
        </w:rPr>
        <w:footnoteRef/>
      </w:r>
      <w:r>
        <w:t xml:space="preserve"> Calvin, </w:t>
      </w:r>
      <w:r>
        <w:rPr>
          <w:i/>
        </w:rPr>
        <w:t>Genesis</w:t>
      </w:r>
      <w:r>
        <w:t xml:space="preserve"> 1:488-89.</w:t>
      </w:r>
    </w:p>
  </w:footnote>
  <w:footnote w:id="509">
    <w:p w14:paraId="00242D88" w14:textId="77777777" w:rsidR="000438B1" w:rsidRPr="00FA6E66" w:rsidRDefault="000438B1">
      <w:pPr>
        <w:pStyle w:val="FootnoteText"/>
      </w:pPr>
      <w:r>
        <w:rPr>
          <w:rStyle w:val="FootnoteReference"/>
        </w:rPr>
        <w:footnoteRef/>
      </w:r>
      <w:r>
        <w:t xml:space="preserve"> See further </w:t>
      </w:r>
      <w:r w:rsidRPr="00D011BC">
        <w:t xml:space="preserve">Lipton, </w:t>
      </w:r>
      <w:r>
        <w:t>“</w:t>
      </w:r>
      <w:r w:rsidRPr="00D011BC">
        <w:t>The Limits of Intercessio</w:t>
      </w:r>
      <w:r>
        <w:t xml:space="preserve">n”; J. Blenkinsopp, “Abraham and the Righteous of Sodom,” </w:t>
      </w:r>
      <w:r>
        <w:rPr>
          <w:i/>
        </w:rPr>
        <w:t>JJS</w:t>
      </w:r>
      <w:r>
        <w:t xml:space="preserve"> 33 (1982): 119-32.</w:t>
      </w:r>
    </w:p>
  </w:footnote>
  <w:footnote w:id="510">
    <w:p w14:paraId="06F37C7F" w14:textId="77777777" w:rsidR="000438B1" w:rsidRPr="00923182" w:rsidRDefault="000438B1" w:rsidP="00F62D32">
      <w:pPr>
        <w:pStyle w:val="FootnoteText"/>
      </w:pPr>
      <w:r>
        <w:rPr>
          <w:rStyle w:val="FootnoteReference"/>
        </w:rPr>
        <w:footnoteRef/>
      </w:r>
      <w:r>
        <w:t xml:space="preserve"> So Brueggemann, </w:t>
      </w:r>
      <w:r>
        <w:rPr>
          <w:i/>
        </w:rPr>
        <w:t>Genesis</w:t>
      </w:r>
      <w:r>
        <w:t>, 162-76; though Ben Zvi (“</w:t>
      </w:r>
      <w:r w:rsidRPr="009B134E">
        <w:t>The Dialogue between Abraham and Yhwh</w:t>
      </w:r>
      <w:r>
        <w:t xml:space="preserve">,” 45) and T. M. Bolin, “The Role of Exchange in Ancient Mediterranean Religion and Its Implications for Reading Genesis 18—19,” </w:t>
      </w:r>
      <w:r>
        <w:rPr>
          <w:i/>
        </w:rPr>
        <w:t xml:space="preserve">JSOT </w:t>
      </w:r>
      <w:r>
        <w:t>29 [2004]: 37-56) seem to imply that the critique works in the opposite direction.</w:t>
      </w:r>
    </w:p>
  </w:footnote>
  <w:footnote w:id="511">
    <w:p w14:paraId="45FBCF8E" w14:textId="77777777" w:rsidR="000438B1" w:rsidRDefault="000438B1">
      <w:pPr>
        <w:pStyle w:val="FootnoteText"/>
      </w:pPr>
      <w:r>
        <w:rPr>
          <w:rStyle w:val="FootnoteReference"/>
        </w:rPr>
        <w:footnoteRef/>
      </w:r>
      <w:r>
        <w:t xml:space="preserve"> See also MacDonald’s comments, “</w:t>
      </w:r>
      <w:r w:rsidRPr="00F81F4C">
        <w:t xml:space="preserve">Listening to Abraham—Listening to </w:t>
      </w:r>
      <w:proofErr w:type="gramStart"/>
      <w:r w:rsidRPr="00F81F4C">
        <w:t>Yhwh</w:t>
      </w:r>
      <w:proofErr w:type="gramEnd"/>
      <w:r w:rsidRPr="00F81F4C">
        <w:t>,</w:t>
      </w:r>
      <w:r>
        <w:t>”</w:t>
      </w:r>
      <w:r w:rsidRPr="00F81F4C">
        <w:t xml:space="preserve"> </w:t>
      </w:r>
      <w:r>
        <w:t>38-39.</w:t>
      </w:r>
    </w:p>
  </w:footnote>
  <w:footnote w:id="512">
    <w:p w14:paraId="68566460" w14:textId="0E43970A" w:rsidR="000438B1" w:rsidRDefault="000438B1">
      <w:pPr>
        <w:pStyle w:val="FootnoteText"/>
      </w:pPr>
      <w:r>
        <w:rPr>
          <w:rStyle w:val="FootnoteReference"/>
        </w:rPr>
        <w:footnoteRef/>
      </w:r>
      <w:r>
        <w:t xml:space="preserve"> See the footnote to 12:9.</w:t>
      </w:r>
    </w:p>
  </w:footnote>
  <w:footnote w:id="513">
    <w:p w14:paraId="555593B6" w14:textId="481524CF" w:rsidR="000438B1" w:rsidRPr="00186F02" w:rsidRDefault="000438B1">
      <w:pPr>
        <w:pStyle w:val="FootnoteText"/>
      </w:pPr>
      <w:r>
        <w:rPr>
          <w:rStyle w:val="FootnoteReference"/>
        </w:rPr>
        <w:footnoteRef/>
      </w:r>
      <w:r>
        <w:t xml:space="preserve"> Appositely, given the similarity of the name to the verb </w:t>
      </w:r>
      <w:r>
        <w:rPr>
          <w:i/>
        </w:rPr>
        <w:t>g</w:t>
      </w:r>
      <w:r>
        <w:rPr>
          <w:rFonts w:cs="Calibri"/>
          <w:i/>
        </w:rPr>
        <w:t>û</w:t>
      </w:r>
      <w:r>
        <w:rPr>
          <w:i/>
        </w:rPr>
        <w:t>r</w:t>
      </w:r>
      <w:r>
        <w:t>.</w:t>
      </w:r>
    </w:p>
  </w:footnote>
  <w:footnote w:id="514">
    <w:p w14:paraId="4F1088FB" w14:textId="77777777" w:rsidR="000438B1" w:rsidRPr="00755435" w:rsidRDefault="000438B1">
      <w:pPr>
        <w:pStyle w:val="FootnoteText"/>
      </w:pPr>
      <w:r>
        <w:rPr>
          <w:rStyle w:val="FootnoteReference"/>
        </w:rPr>
        <w:footnoteRef/>
      </w:r>
      <w:r>
        <w:t xml:space="preserve"> The use of </w:t>
      </w:r>
      <w:r>
        <w:rPr>
          <w:i/>
        </w:rPr>
        <w:t>’el</w:t>
      </w:r>
      <w:r>
        <w:t xml:space="preserve"> with this sense is unusual (Tal, </w:t>
      </w:r>
      <w:r w:rsidRPr="00755435">
        <w:rPr>
          <w:i/>
        </w:rPr>
        <w:t>Genesis</w:t>
      </w:r>
      <w:r>
        <w:t>, 126*).</w:t>
      </w:r>
    </w:p>
  </w:footnote>
  <w:footnote w:id="515">
    <w:p w14:paraId="4863D32F" w14:textId="77777777" w:rsidR="000438B1" w:rsidRDefault="000438B1">
      <w:pPr>
        <w:pStyle w:val="FootnoteText"/>
      </w:pPr>
      <w:r>
        <w:rPr>
          <w:rStyle w:val="FootnoteReference"/>
        </w:rPr>
        <w:footnoteRef/>
      </w:r>
      <w:r>
        <w:t xml:space="preserve"> LXX adds an explanation based on 26:7.</w:t>
      </w:r>
    </w:p>
  </w:footnote>
  <w:footnote w:id="516">
    <w:p w14:paraId="38A98F49" w14:textId="77777777" w:rsidR="000438B1" w:rsidRDefault="000438B1">
      <w:pPr>
        <w:pStyle w:val="FootnoteText"/>
      </w:pPr>
      <w:r>
        <w:rPr>
          <w:rStyle w:val="FootnoteReference"/>
        </w:rPr>
        <w:footnoteRef/>
      </w:r>
      <w:r>
        <w:t xml:space="preserve"> Less colloquially, “you are going to die.”</w:t>
      </w:r>
    </w:p>
  </w:footnote>
  <w:footnote w:id="517">
    <w:p w14:paraId="5BEABBDC" w14:textId="77777777" w:rsidR="000438B1" w:rsidRPr="002661BB" w:rsidRDefault="000438B1">
      <w:pPr>
        <w:pStyle w:val="FootnoteText"/>
      </w:pPr>
      <w:r>
        <w:rPr>
          <w:rStyle w:val="FootnoteReference"/>
        </w:rPr>
        <w:footnoteRef/>
      </w:r>
      <w:r>
        <w:t xml:space="preserve"> Literally “she is owned by an owner,” using the verb </w:t>
      </w:r>
      <w:r>
        <w:rPr>
          <w:i/>
        </w:rPr>
        <w:t>bā‘al</w:t>
      </w:r>
      <w:r>
        <w:t xml:space="preserve"> and the noun </w:t>
      </w:r>
      <w:r>
        <w:rPr>
          <w:i/>
        </w:rPr>
        <w:t>ba‘al</w:t>
      </w:r>
      <w:r>
        <w:t xml:space="preserve">, the more legal term for a husband (e.g. Exod 21:3; Deut 22:22; cf. Sarah’s use of the noun </w:t>
      </w:r>
      <w:r>
        <w:rPr>
          <w:i/>
        </w:rPr>
        <w:t>’ādōn</w:t>
      </w:r>
      <w:r>
        <w:t xml:space="preserve"> in 18:12).</w:t>
      </w:r>
    </w:p>
  </w:footnote>
  <w:footnote w:id="518">
    <w:p w14:paraId="5735C6AE" w14:textId="77777777" w:rsidR="000438B1" w:rsidRDefault="000438B1">
      <w:pPr>
        <w:pStyle w:val="FootnoteText"/>
      </w:pPr>
      <w:r>
        <w:rPr>
          <w:rStyle w:val="FootnoteReference"/>
        </w:rPr>
        <w:footnoteRef/>
      </w:r>
      <w:r>
        <w:t xml:space="preserve"> For the verb referring to sex, see e.g., Deut 22:14; Isa 8:3.</w:t>
      </w:r>
    </w:p>
  </w:footnote>
  <w:footnote w:id="519">
    <w:p w14:paraId="4513E04C" w14:textId="77777777" w:rsidR="000438B1" w:rsidRDefault="000438B1">
      <w:pPr>
        <w:pStyle w:val="FootnoteText"/>
      </w:pPr>
      <w:r>
        <w:rPr>
          <w:rStyle w:val="FootnoteReference"/>
        </w:rPr>
        <w:footnoteRef/>
      </w:r>
      <w:r>
        <w:t xml:space="preserve"> Literally, “in my palms/fists.”</w:t>
      </w:r>
    </w:p>
  </w:footnote>
  <w:footnote w:id="520">
    <w:p w14:paraId="7CBF47E6" w14:textId="40519267" w:rsidR="000438B1" w:rsidRDefault="000438B1" w:rsidP="000B23CA">
      <w:pPr>
        <w:pStyle w:val="FootnoteText"/>
      </w:pPr>
      <w:r>
        <w:rPr>
          <w:rStyle w:val="FootnoteReference"/>
        </w:rPr>
        <w:footnoteRef/>
      </w:r>
      <w:r>
        <w:t xml:space="preserve"> As in 2:17 God uses the idiom which combines an infinitive and its cognate finite verb, to indicate emphasis; the idiom recurs with another verb in v. 18.</w:t>
      </w:r>
    </w:p>
  </w:footnote>
  <w:footnote w:id="521">
    <w:p w14:paraId="26908A58" w14:textId="5E13E934" w:rsidR="000438B1" w:rsidRDefault="000438B1">
      <w:pPr>
        <w:pStyle w:val="FootnoteText"/>
      </w:pPr>
      <w:r>
        <w:rPr>
          <w:rStyle w:val="FootnoteReference"/>
        </w:rPr>
        <w:footnoteRef/>
      </w:r>
      <w:r>
        <w:t xml:space="preserve"> Although “were very frightened” would follow from the threat in v. 7, and Abimelek is surely making clear that he intends to take the appropriate action, reference to a positive awe leads with irony into v. 11.</w:t>
      </w:r>
    </w:p>
  </w:footnote>
  <w:footnote w:id="522">
    <w:p w14:paraId="1218176E" w14:textId="233B2354" w:rsidR="000438B1" w:rsidRPr="00DA1044" w:rsidRDefault="000438B1" w:rsidP="00DA1044">
      <w:pPr>
        <w:pStyle w:val="FootnoteText"/>
      </w:pPr>
      <w:r>
        <w:rPr>
          <w:rStyle w:val="FootnoteReference"/>
        </w:rPr>
        <w:footnoteRef/>
      </w:r>
      <w:r>
        <w:t xml:space="preserve"> To Abimelek the plural verb would suggest “gods” (cf. Alter, </w:t>
      </w:r>
      <w:r>
        <w:rPr>
          <w:i/>
        </w:rPr>
        <w:t>Genesis</w:t>
      </w:r>
      <w:r>
        <w:t>, 95),</w:t>
      </w:r>
      <w:r>
        <w:rPr>
          <w:i/>
        </w:rPr>
        <w:t xml:space="preserve"> </w:t>
      </w:r>
      <w:r>
        <w:t xml:space="preserve">but see 31:53 (Laban); 35:7 (Jacob); cf. GK 145i. The verb itself is also scandalous; </w:t>
      </w:r>
      <w:proofErr w:type="gramStart"/>
      <w:r>
        <w:t>Tg</w:t>
      </w:r>
      <w:proofErr w:type="gramEnd"/>
      <w:r>
        <w:t xml:space="preserve"> turn the nations into the subject. See the discussion in </w:t>
      </w:r>
      <w:r w:rsidRPr="00DA1044">
        <w:t xml:space="preserve">A. J. Schmutzer, </w:t>
      </w:r>
      <w:r>
        <w:t>“</w:t>
      </w:r>
      <w:r w:rsidRPr="00DA1044">
        <w:rPr>
          <w:bCs/>
        </w:rPr>
        <w:t>Did the Gods Cause Abraham’s</w:t>
      </w:r>
      <w:r>
        <w:t xml:space="preserve"> </w:t>
      </w:r>
      <w:r w:rsidRPr="00DA1044">
        <w:rPr>
          <w:bCs/>
        </w:rPr>
        <w:t>Wandering?</w:t>
      </w:r>
      <w:r>
        <w:t xml:space="preserve">” </w:t>
      </w:r>
      <w:r>
        <w:rPr>
          <w:i/>
        </w:rPr>
        <w:t xml:space="preserve">JSOT </w:t>
      </w:r>
      <w:r>
        <w:t>35 (2010): 149-66.</w:t>
      </w:r>
    </w:p>
  </w:footnote>
  <w:footnote w:id="523">
    <w:p w14:paraId="4147990C" w14:textId="77777777" w:rsidR="000438B1" w:rsidRPr="00BA76D6" w:rsidRDefault="000438B1">
      <w:pPr>
        <w:pStyle w:val="FootnoteText"/>
      </w:pPr>
      <w:r>
        <w:rPr>
          <w:rStyle w:val="FootnoteReference"/>
        </w:rPr>
        <w:footnoteRef/>
      </w:r>
      <w:r>
        <w:t xml:space="preserve"> The preposition </w:t>
      </w:r>
      <w:r>
        <w:rPr>
          <w:i/>
        </w:rPr>
        <w:t>’el</w:t>
      </w:r>
      <w:r>
        <w:t xml:space="preserve"> is slightly odd (though see BDB, 40b); perhaps its use was influenced by the idea of motion towards in the context.</w:t>
      </w:r>
    </w:p>
  </w:footnote>
  <w:footnote w:id="524">
    <w:p w14:paraId="72C74323" w14:textId="77777777" w:rsidR="000438B1" w:rsidRPr="00204464" w:rsidRDefault="000438B1">
      <w:pPr>
        <w:pStyle w:val="FootnoteText"/>
      </w:pPr>
      <w:r>
        <w:rPr>
          <w:rStyle w:val="FootnoteReference"/>
        </w:rPr>
        <w:footnoteRef/>
      </w:r>
      <w:r>
        <w:t xml:space="preserve"> F</w:t>
      </w:r>
      <w:r w:rsidRPr="001E0D80">
        <w:t xml:space="preserve">or this meaning of </w:t>
      </w:r>
      <w:r w:rsidRPr="001E0D80">
        <w:rPr>
          <w:i/>
        </w:rPr>
        <w:t>māqôm</w:t>
      </w:r>
      <w:r w:rsidRPr="001E0D80">
        <w:t xml:space="preserve"> see Exod 3:8; 23:20.</w:t>
      </w:r>
      <w:r>
        <w:t xml:space="preserve"> LXX has “every place” f</w:t>
      </w:r>
      <w:r w:rsidRPr="001E0D80">
        <w:t xml:space="preserve">or </w:t>
      </w:r>
      <w:r w:rsidRPr="001E0D80">
        <w:rPr>
          <w:i/>
        </w:rPr>
        <w:t>kol-hammāqôm</w:t>
      </w:r>
      <w:r w:rsidRPr="001E0D80">
        <w:t xml:space="preserve">, </w:t>
      </w:r>
      <w:r>
        <w:t xml:space="preserve">but the article would make that meaning unique (as GK127e notes). </w:t>
      </w:r>
    </w:p>
  </w:footnote>
  <w:footnote w:id="525">
    <w:p w14:paraId="6167977D" w14:textId="77777777" w:rsidR="000438B1" w:rsidRDefault="000438B1">
      <w:pPr>
        <w:pStyle w:val="FootnoteText"/>
      </w:pPr>
      <w:r>
        <w:rPr>
          <w:rStyle w:val="FootnoteReference"/>
        </w:rPr>
        <w:footnoteRef/>
      </w:r>
      <w:r>
        <w:t xml:space="preserve"> </w:t>
      </w:r>
      <w:r w:rsidRPr="00AA1A22">
        <w:t xml:space="preserve">The declarative/performative </w:t>
      </w:r>
      <w:r>
        <w:t>qatal suggests a speech act, “I hereby give.”</w:t>
      </w:r>
    </w:p>
  </w:footnote>
  <w:footnote w:id="526">
    <w:p w14:paraId="5E2B8753" w14:textId="2CC2E3A4" w:rsidR="000438B1" w:rsidRPr="000D6159" w:rsidRDefault="000438B1">
      <w:pPr>
        <w:pStyle w:val="FootnoteText"/>
      </w:pPr>
      <w:r>
        <w:rPr>
          <w:rStyle w:val="FootnoteReference"/>
        </w:rPr>
        <w:footnoteRef/>
      </w:r>
      <w:r>
        <w:t xml:space="preserve"> </w:t>
      </w:r>
      <w:r>
        <w:rPr>
          <w:i/>
        </w:rPr>
        <w:t>Wᵉ</w:t>
      </w:r>
      <w:proofErr w:type="gramStart"/>
      <w:r>
        <w:rPr>
          <w:i/>
        </w:rPr>
        <w:t>’ēt</w:t>
      </w:r>
      <w:proofErr w:type="gramEnd"/>
      <w:r>
        <w:rPr>
          <w:i/>
        </w:rPr>
        <w:t xml:space="preserve"> kōl wᵉnōkāḥat </w:t>
      </w:r>
      <w:r>
        <w:t xml:space="preserve">is widely regarded as unintelligible (e.g., Tal, </w:t>
      </w:r>
      <w:r w:rsidRPr="00F82DF8">
        <w:rPr>
          <w:i/>
        </w:rPr>
        <w:t>Genesis</w:t>
      </w:r>
      <w:r>
        <w:t xml:space="preserve">, 128*), though the general sense is clear. I take </w:t>
      </w:r>
      <w:r>
        <w:rPr>
          <w:i/>
        </w:rPr>
        <w:t>’</w:t>
      </w:r>
      <w:proofErr w:type="gramStart"/>
      <w:r w:rsidRPr="000D6159">
        <w:rPr>
          <w:i/>
        </w:rPr>
        <w:t>ēt</w:t>
      </w:r>
      <w:proofErr w:type="gramEnd"/>
      <w:r>
        <w:t xml:space="preserve"> as the preposition rather than the sign of the object. </w:t>
      </w:r>
      <w:r w:rsidRPr="000D6159">
        <w:rPr>
          <w:i/>
        </w:rPr>
        <w:t>Nōkāḥat</w:t>
      </w:r>
      <w:r>
        <w:t xml:space="preserve"> is a feminine niphal participle whose subject is Sarah, though the participle has no antecedent; adding a shewa at the end turns it into second-person qatal (cf. BDB). </w:t>
      </w:r>
    </w:p>
  </w:footnote>
  <w:footnote w:id="527">
    <w:p w14:paraId="46F37117" w14:textId="77777777" w:rsidR="000438B1" w:rsidRPr="009B4372" w:rsidRDefault="000438B1">
      <w:pPr>
        <w:pStyle w:val="FootnoteText"/>
      </w:pPr>
      <w:r>
        <w:rPr>
          <w:rStyle w:val="FootnoteReference"/>
        </w:rPr>
        <w:footnoteRef/>
      </w:r>
      <w:r>
        <w:t xml:space="preserve"> Gunkel, </w:t>
      </w:r>
      <w:r>
        <w:rPr>
          <w:i/>
        </w:rPr>
        <w:t>Genesis</w:t>
      </w:r>
      <w:r>
        <w:t>, 219.</w:t>
      </w:r>
    </w:p>
  </w:footnote>
  <w:footnote w:id="528">
    <w:p w14:paraId="04465574" w14:textId="1DE98733" w:rsidR="000438B1" w:rsidRPr="003B4B22" w:rsidRDefault="000438B1" w:rsidP="00FF7E2B">
      <w:pPr>
        <w:pStyle w:val="FootnoteText"/>
      </w:pPr>
      <w:r>
        <w:rPr>
          <w:rStyle w:val="FootnoteReference"/>
        </w:rPr>
        <w:footnoteRef/>
      </w:r>
      <w:r>
        <w:t xml:space="preserve"> Cf. Van Seters’s comments, </w:t>
      </w:r>
      <w:r>
        <w:rPr>
          <w:i/>
        </w:rPr>
        <w:t>Abraham in History and Tradition</w:t>
      </w:r>
      <w:r>
        <w:t xml:space="preserve">, 171-75; and I. N. Rashkow, “Intertextuality, Transference, and the Reader in/of Genesis 12 and 20,” in Nolan Fewell (ed.), </w:t>
      </w:r>
      <w:r>
        <w:rPr>
          <w:i/>
        </w:rPr>
        <w:t>Reading between Texts</w:t>
      </w:r>
      <w:r>
        <w:t>, 57-73.</w:t>
      </w:r>
    </w:p>
  </w:footnote>
  <w:footnote w:id="529">
    <w:p w14:paraId="1948EB4E" w14:textId="4B6FB6E5" w:rsidR="000438B1" w:rsidRDefault="000438B1">
      <w:pPr>
        <w:pStyle w:val="FootnoteText"/>
      </w:pPr>
      <w:r>
        <w:rPr>
          <w:rStyle w:val="FootnoteReference"/>
        </w:rPr>
        <w:footnoteRef/>
      </w:r>
      <w:r>
        <w:t xml:space="preserve"> KSG.</w:t>
      </w:r>
    </w:p>
  </w:footnote>
  <w:footnote w:id="530">
    <w:p w14:paraId="1D77D09A" w14:textId="36AA423F" w:rsidR="000438B1" w:rsidRDefault="000438B1" w:rsidP="000C29B8">
      <w:pPr>
        <w:pStyle w:val="FootnoteText"/>
      </w:pPr>
      <w:r>
        <w:rPr>
          <w:rStyle w:val="FootnoteReference"/>
        </w:rPr>
        <w:footnoteRef/>
      </w:r>
      <w:r>
        <w:t xml:space="preserve"> KSG.</w:t>
      </w:r>
    </w:p>
  </w:footnote>
  <w:footnote w:id="531">
    <w:p w14:paraId="188A5F71" w14:textId="77777777" w:rsidR="000438B1" w:rsidRPr="007B19E7" w:rsidRDefault="000438B1" w:rsidP="00700E3E">
      <w:pPr>
        <w:pStyle w:val="FootnoteText"/>
      </w:pPr>
      <w:r>
        <w:rPr>
          <w:rStyle w:val="FootnoteReference"/>
        </w:rPr>
        <w:footnoteRef/>
      </w:r>
      <w:r>
        <w:t xml:space="preserve"> Wenham, </w:t>
      </w:r>
      <w:r>
        <w:rPr>
          <w:i/>
        </w:rPr>
        <w:t>Genesis 16—50</w:t>
      </w:r>
      <w:r>
        <w:t>, 75.</w:t>
      </w:r>
    </w:p>
  </w:footnote>
  <w:footnote w:id="532">
    <w:p w14:paraId="0F7C2E12" w14:textId="77777777" w:rsidR="000438B1" w:rsidRPr="00C5062E" w:rsidRDefault="000438B1" w:rsidP="00700E3E">
      <w:pPr>
        <w:pStyle w:val="FootnoteText"/>
      </w:pPr>
      <w:r>
        <w:rPr>
          <w:rStyle w:val="FootnoteReference"/>
        </w:rPr>
        <w:footnoteRef/>
      </w:r>
      <w:r>
        <w:t xml:space="preserve"> See Westermann, </w:t>
      </w:r>
      <w:r>
        <w:rPr>
          <w:i/>
        </w:rPr>
        <w:t>Genesis 12—36</w:t>
      </w:r>
      <w:r>
        <w:t>, 318-19, 324.</w:t>
      </w:r>
    </w:p>
  </w:footnote>
  <w:footnote w:id="533">
    <w:p w14:paraId="2A002EF9" w14:textId="77777777" w:rsidR="000438B1" w:rsidRPr="00D349BE" w:rsidRDefault="000438B1" w:rsidP="00D349BE">
      <w:pPr>
        <w:pStyle w:val="FootnoteText"/>
      </w:pPr>
      <w:r>
        <w:rPr>
          <w:rStyle w:val="FootnoteReference"/>
        </w:rPr>
        <w:footnoteRef/>
      </w:r>
      <w:r>
        <w:t xml:space="preserve"> For alternative critical theories, see e.g., Liptpn, </w:t>
      </w:r>
      <w:r>
        <w:rPr>
          <w:i/>
        </w:rPr>
        <w:t>Revisions of the Night</w:t>
      </w:r>
      <w:r>
        <w:t>, 35-62.</w:t>
      </w:r>
    </w:p>
  </w:footnote>
  <w:footnote w:id="534">
    <w:p w14:paraId="6416D667" w14:textId="1B2DA258" w:rsidR="000438B1" w:rsidRPr="00CD1EAF" w:rsidRDefault="000438B1">
      <w:pPr>
        <w:pStyle w:val="FootnoteText"/>
      </w:pPr>
      <w:r>
        <w:rPr>
          <w:rStyle w:val="FootnoteReference"/>
        </w:rPr>
        <w:footnoteRef/>
      </w:r>
      <w:r>
        <w:t xml:space="preserve"> See e.g., W. Hanna and [J. P.] Norris, </w:t>
      </w:r>
      <w:proofErr w:type="gramStart"/>
      <w:r>
        <w:rPr>
          <w:i/>
        </w:rPr>
        <w:t>The</w:t>
      </w:r>
      <w:proofErr w:type="gramEnd"/>
      <w:r>
        <w:rPr>
          <w:i/>
        </w:rPr>
        <w:t xml:space="preserve"> Patriarchs </w:t>
      </w:r>
      <w:r>
        <w:t xml:space="preserve">(London: Cassell, 1879), 71-81; and cf. Gunkel, </w:t>
      </w:r>
      <w:r>
        <w:rPr>
          <w:i/>
        </w:rPr>
        <w:t>Genesis</w:t>
      </w:r>
      <w:r>
        <w:t>, 218-19.</w:t>
      </w:r>
    </w:p>
  </w:footnote>
  <w:footnote w:id="535">
    <w:p w14:paraId="47C82AFA" w14:textId="77777777" w:rsidR="000438B1" w:rsidRPr="00CA7921" w:rsidRDefault="000438B1">
      <w:pPr>
        <w:pStyle w:val="FootnoteText"/>
      </w:pPr>
      <w:r>
        <w:rPr>
          <w:rStyle w:val="FootnoteReference"/>
        </w:rPr>
        <w:footnoteRef/>
      </w:r>
      <w:r>
        <w:t xml:space="preserve"> So Qimchi, </w:t>
      </w:r>
      <w:r>
        <w:rPr>
          <w:i/>
        </w:rPr>
        <w:t>Genesis</w:t>
      </w:r>
      <w:r>
        <w:t>, on the verse.</w:t>
      </w:r>
    </w:p>
  </w:footnote>
  <w:footnote w:id="536">
    <w:p w14:paraId="6FD0F409" w14:textId="77777777" w:rsidR="000438B1" w:rsidRDefault="000438B1" w:rsidP="00EF5CC0">
      <w:pPr>
        <w:pStyle w:val="FootnoteText"/>
      </w:pPr>
      <w:r>
        <w:rPr>
          <w:rStyle w:val="FootnoteReference"/>
        </w:rPr>
        <w:footnoteRef/>
      </w:r>
      <w:r>
        <w:t xml:space="preserve"> So e.g., Willet, </w:t>
      </w:r>
      <w:r w:rsidRPr="0029324B">
        <w:rPr>
          <w:i/>
        </w:rPr>
        <w:t>Hexapla in Genesin &amp; Exodum</w:t>
      </w:r>
      <w:r w:rsidRPr="0029324B">
        <w:t>,</w:t>
      </w:r>
      <w:r>
        <w:t xml:space="preserve"> 187.</w:t>
      </w:r>
    </w:p>
  </w:footnote>
  <w:footnote w:id="537">
    <w:p w14:paraId="3E2EEBB7" w14:textId="77777777" w:rsidR="000438B1" w:rsidRPr="00874D00" w:rsidRDefault="000438B1">
      <w:pPr>
        <w:pStyle w:val="FootnoteText"/>
      </w:pPr>
      <w:r>
        <w:rPr>
          <w:rStyle w:val="FootnoteReference"/>
        </w:rPr>
        <w:footnoteRef/>
      </w:r>
      <w:r>
        <w:t xml:space="preserve"> Cf. Jacobs, </w:t>
      </w:r>
      <w:r w:rsidRPr="00874D00">
        <w:rPr>
          <w:i/>
        </w:rPr>
        <w:t>Gender, Power, and Persuasion</w:t>
      </w:r>
      <w:r>
        <w:t>, 91.</w:t>
      </w:r>
    </w:p>
  </w:footnote>
  <w:footnote w:id="538">
    <w:p w14:paraId="29159B6E" w14:textId="6056645D" w:rsidR="000438B1" w:rsidRPr="00CA7921" w:rsidRDefault="000438B1" w:rsidP="001714FA">
      <w:pPr>
        <w:pStyle w:val="FootnoteText"/>
      </w:pPr>
      <w:r>
        <w:rPr>
          <w:rStyle w:val="FootnoteReference"/>
        </w:rPr>
        <w:footnoteRef/>
      </w:r>
      <w:r>
        <w:t xml:space="preserve"> Qimchi, </w:t>
      </w:r>
      <w:r>
        <w:rPr>
          <w:i/>
        </w:rPr>
        <w:t>Genesis</w:t>
      </w:r>
      <w:r>
        <w:t>, on v. 3.</w:t>
      </w:r>
    </w:p>
  </w:footnote>
  <w:footnote w:id="539">
    <w:p w14:paraId="3CF89D88" w14:textId="77777777" w:rsidR="000438B1" w:rsidRDefault="000438B1">
      <w:pPr>
        <w:pStyle w:val="FootnoteText"/>
      </w:pPr>
      <w:r>
        <w:rPr>
          <w:rStyle w:val="FootnoteReference"/>
        </w:rPr>
        <w:footnoteRef/>
      </w:r>
      <w:r>
        <w:t xml:space="preserve"> Cf. Seebass, </w:t>
      </w:r>
      <w:r w:rsidRPr="00CD3E96">
        <w:rPr>
          <w:i/>
        </w:rPr>
        <w:t>Genesis</w:t>
      </w:r>
      <w:r>
        <w:t xml:space="preserve"> 2/1:164-65.</w:t>
      </w:r>
    </w:p>
  </w:footnote>
  <w:footnote w:id="540">
    <w:p w14:paraId="28C04AB1" w14:textId="33FF59B6" w:rsidR="000438B1" w:rsidRDefault="000438B1" w:rsidP="00E6531A">
      <w:pPr>
        <w:pStyle w:val="FootnoteText"/>
      </w:pPr>
      <w:r>
        <w:rPr>
          <w:rStyle w:val="FootnoteReference"/>
        </w:rPr>
        <w:footnoteRef/>
      </w:r>
      <w:r>
        <w:t xml:space="preserve"> KSG; and cf. the comment on 12:14-15.</w:t>
      </w:r>
    </w:p>
  </w:footnote>
  <w:footnote w:id="541">
    <w:p w14:paraId="73FE2B6F" w14:textId="77777777" w:rsidR="000438B1" w:rsidRPr="0081101C" w:rsidRDefault="000438B1" w:rsidP="00310050">
      <w:pPr>
        <w:pStyle w:val="FootnoteText"/>
      </w:pPr>
      <w:r>
        <w:rPr>
          <w:rStyle w:val="FootnoteReference"/>
        </w:rPr>
        <w:footnoteRef/>
      </w:r>
      <w:r>
        <w:t xml:space="preserve"> Cf. Kidner, </w:t>
      </w:r>
      <w:r>
        <w:rPr>
          <w:i/>
        </w:rPr>
        <w:t>Genesis</w:t>
      </w:r>
      <w:r>
        <w:t>, 139.</w:t>
      </w:r>
    </w:p>
  </w:footnote>
  <w:footnote w:id="542">
    <w:p w14:paraId="78D537EF" w14:textId="77777777" w:rsidR="000438B1" w:rsidRPr="00465147" w:rsidRDefault="000438B1" w:rsidP="00081370">
      <w:pPr>
        <w:pStyle w:val="FootnoteText"/>
      </w:pPr>
      <w:r>
        <w:rPr>
          <w:rStyle w:val="FootnoteReference"/>
        </w:rPr>
        <w:footnoteRef/>
      </w:r>
      <w:r>
        <w:t xml:space="preserve"> Cf. von Rad, </w:t>
      </w:r>
      <w:r>
        <w:rPr>
          <w:i/>
        </w:rPr>
        <w:t>Genesis</w:t>
      </w:r>
      <w:r>
        <w:t>, 225.</w:t>
      </w:r>
    </w:p>
  </w:footnote>
  <w:footnote w:id="543">
    <w:p w14:paraId="26CFBA58" w14:textId="77777777" w:rsidR="000438B1" w:rsidRPr="00A61179" w:rsidRDefault="000438B1" w:rsidP="004E693D">
      <w:pPr>
        <w:pStyle w:val="FootnoteText"/>
      </w:pPr>
      <w:r>
        <w:rPr>
          <w:rStyle w:val="FootnoteReference"/>
        </w:rPr>
        <w:footnoteRef/>
      </w:r>
      <w:r>
        <w:t xml:space="preserve"> Arnold, </w:t>
      </w:r>
      <w:r w:rsidRPr="00A61179">
        <w:rPr>
          <w:i/>
        </w:rPr>
        <w:t>Genesis</w:t>
      </w:r>
      <w:r>
        <w:t xml:space="preserve">, 190; he then translates </w:t>
      </w:r>
      <w:r>
        <w:rPr>
          <w:i/>
        </w:rPr>
        <w:t>gam</w:t>
      </w:r>
      <w:r>
        <w:t xml:space="preserve"> “also.”</w:t>
      </w:r>
    </w:p>
  </w:footnote>
  <w:footnote w:id="544">
    <w:p w14:paraId="0A2C98D0" w14:textId="3EECF5AC" w:rsidR="000438B1" w:rsidRDefault="000438B1" w:rsidP="00CF7FD6">
      <w:pPr>
        <w:pStyle w:val="FootnoteText"/>
      </w:pPr>
      <w:r>
        <w:rPr>
          <w:rStyle w:val="FootnoteReference"/>
        </w:rPr>
        <w:footnoteRef/>
      </w:r>
      <w:r>
        <w:t xml:space="preserve"> KSG.</w:t>
      </w:r>
    </w:p>
  </w:footnote>
  <w:footnote w:id="545">
    <w:p w14:paraId="6BEF2B0B" w14:textId="77777777" w:rsidR="000438B1" w:rsidRPr="00131E6F" w:rsidRDefault="000438B1">
      <w:pPr>
        <w:pStyle w:val="FootnoteText"/>
      </w:pPr>
      <w:r>
        <w:rPr>
          <w:rStyle w:val="FootnoteReference"/>
        </w:rPr>
        <w:footnoteRef/>
      </w:r>
      <w:r>
        <w:t xml:space="preserve"> So T. Novick, “‘Almost, at Times, the Fool,’” </w:t>
      </w:r>
      <w:r>
        <w:rPr>
          <w:i/>
        </w:rPr>
        <w:t>Prooftexts</w:t>
      </w:r>
      <w:r>
        <w:t xml:space="preserve"> 24 (2004): 277-90.</w:t>
      </w:r>
    </w:p>
  </w:footnote>
  <w:footnote w:id="546">
    <w:p w14:paraId="515329C6" w14:textId="77777777" w:rsidR="000438B1" w:rsidRPr="00DA1044" w:rsidRDefault="000438B1">
      <w:pPr>
        <w:pStyle w:val="FootnoteText"/>
      </w:pPr>
      <w:r>
        <w:rPr>
          <w:rStyle w:val="FootnoteReference"/>
        </w:rPr>
        <w:footnoteRef/>
      </w:r>
      <w:r>
        <w:t xml:space="preserve"> See F. C. Holmgren, “Looking Back on Abraham’s Encounter with a Canaanite King,” </w:t>
      </w:r>
      <w:r>
        <w:rPr>
          <w:i/>
        </w:rPr>
        <w:t xml:space="preserve">Currents in Theology and Mission </w:t>
      </w:r>
      <w:r>
        <w:t xml:space="preserve">37 (2010): 366-77. </w:t>
      </w:r>
    </w:p>
  </w:footnote>
  <w:footnote w:id="547">
    <w:p w14:paraId="7E76769B" w14:textId="77777777" w:rsidR="000438B1" w:rsidRPr="00B32D9A" w:rsidRDefault="000438B1">
      <w:pPr>
        <w:pStyle w:val="FootnoteText"/>
        <w:rPr>
          <w:rFonts w:asciiTheme="minorHAnsi" w:hAnsiTheme="minorHAnsi"/>
        </w:rPr>
      </w:pPr>
      <w:r>
        <w:rPr>
          <w:rStyle w:val="FootnoteReference"/>
        </w:rPr>
        <w:footnoteRef/>
      </w:r>
      <w:r>
        <w:t xml:space="preserve"> See further R. G. Branch, “Genesis 20,” </w:t>
      </w:r>
      <w:r>
        <w:rPr>
          <w:rFonts w:asciiTheme="minorHAnsi" w:eastAsiaTheme="minorHAnsi" w:hAnsiTheme="minorHAnsi" w:cs="Arial"/>
          <w:i/>
          <w:iCs/>
        </w:rPr>
        <w:t xml:space="preserve">In die Skriflig </w:t>
      </w:r>
      <w:r w:rsidRPr="00B32D9A">
        <w:rPr>
          <w:rFonts w:asciiTheme="minorHAnsi" w:eastAsiaTheme="minorHAnsi" w:hAnsiTheme="minorHAnsi" w:cs="Arial"/>
          <w:iCs/>
        </w:rPr>
        <w:t xml:space="preserve">38 </w:t>
      </w:r>
      <w:r>
        <w:rPr>
          <w:rFonts w:asciiTheme="minorHAnsi" w:eastAsiaTheme="minorHAnsi" w:hAnsiTheme="minorHAnsi" w:cs="Arial"/>
          <w:iCs/>
        </w:rPr>
        <w:t>(</w:t>
      </w:r>
      <w:r w:rsidRPr="00B32D9A">
        <w:rPr>
          <w:rFonts w:asciiTheme="minorHAnsi" w:eastAsiaTheme="minorHAnsi" w:hAnsiTheme="minorHAnsi" w:cs="Arial"/>
          <w:iCs/>
        </w:rPr>
        <w:t>2004</w:t>
      </w:r>
      <w:r>
        <w:rPr>
          <w:rFonts w:asciiTheme="minorHAnsi" w:eastAsiaTheme="minorHAnsi" w:hAnsiTheme="minorHAnsi" w:cs="Arial"/>
          <w:iCs/>
        </w:rPr>
        <w:t>)</w:t>
      </w:r>
      <w:r w:rsidRPr="00B32D9A">
        <w:rPr>
          <w:rFonts w:asciiTheme="minorHAnsi" w:eastAsiaTheme="minorHAnsi" w:hAnsiTheme="minorHAnsi" w:cs="Arial"/>
          <w:iCs/>
        </w:rPr>
        <w:t>:217-234</w:t>
      </w:r>
      <w:r>
        <w:rPr>
          <w:rFonts w:asciiTheme="minorHAnsi" w:eastAsiaTheme="minorHAnsi" w:hAnsiTheme="minorHAnsi" w:cs="Arial"/>
          <w:iCs/>
        </w:rPr>
        <w:t>;</w:t>
      </w:r>
      <w:r>
        <w:rPr>
          <w:rFonts w:asciiTheme="minorHAnsi" w:eastAsiaTheme="minorHAnsi" w:hAnsiTheme="minorHAnsi" w:cs="Arial"/>
          <w:i/>
          <w:iCs/>
        </w:rPr>
        <w:t xml:space="preserve"> </w:t>
      </w:r>
      <w:r w:rsidRPr="00B32D9A">
        <w:rPr>
          <w:rFonts w:asciiTheme="minorHAnsi" w:hAnsiTheme="minorHAnsi"/>
        </w:rPr>
        <w:t xml:space="preserve">J. Todd, “Patriarch and Prophet,” </w:t>
      </w:r>
      <w:r w:rsidRPr="00B32D9A">
        <w:rPr>
          <w:rFonts w:asciiTheme="minorHAnsi" w:hAnsiTheme="minorHAnsi"/>
          <w:i/>
        </w:rPr>
        <w:t>JESOT</w:t>
      </w:r>
      <w:r w:rsidRPr="00B32D9A">
        <w:rPr>
          <w:rFonts w:asciiTheme="minorHAnsi" w:hAnsiTheme="minorHAnsi"/>
        </w:rPr>
        <w:t xml:space="preserve"> 3 (2014): 185-202.</w:t>
      </w:r>
    </w:p>
  </w:footnote>
  <w:footnote w:id="548">
    <w:p w14:paraId="21B104CF" w14:textId="77777777" w:rsidR="000438B1" w:rsidRPr="00AB16F1" w:rsidRDefault="000438B1">
      <w:pPr>
        <w:pStyle w:val="FootnoteText"/>
        <w:rPr>
          <w:rFonts w:asciiTheme="minorHAnsi" w:hAnsiTheme="minorHAnsi"/>
        </w:rPr>
      </w:pPr>
      <w:r>
        <w:rPr>
          <w:rStyle w:val="FootnoteReference"/>
        </w:rPr>
        <w:footnoteRef/>
      </w:r>
      <w:r>
        <w:t xml:space="preserve"> See e.g., Van Seters, </w:t>
      </w:r>
      <w:r w:rsidRPr="00AB16F1">
        <w:rPr>
          <w:i/>
        </w:rPr>
        <w:t>Abraham in Hist</w:t>
      </w:r>
      <w:r>
        <w:rPr>
          <w:i/>
        </w:rPr>
        <w:t>ory and Tradition</w:t>
      </w:r>
      <w:r>
        <w:t>, 76.</w:t>
      </w:r>
    </w:p>
  </w:footnote>
  <w:footnote w:id="549">
    <w:p w14:paraId="1F122D47" w14:textId="77777777" w:rsidR="000438B1" w:rsidRDefault="000438B1">
      <w:pPr>
        <w:pStyle w:val="FootnoteText"/>
      </w:pPr>
      <w:r>
        <w:rPr>
          <w:rStyle w:val="FootnoteReference"/>
        </w:rPr>
        <w:footnoteRef/>
      </w:r>
      <w:r>
        <w:t xml:space="preserve"> Cf. Seebass, </w:t>
      </w:r>
      <w:r w:rsidRPr="00CD3E96">
        <w:rPr>
          <w:i/>
        </w:rPr>
        <w:t>Genesis</w:t>
      </w:r>
      <w:r>
        <w:t xml:space="preserve"> 2/1:166-67.</w:t>
      </w:r>
    </w:p>
  </w:footnote>
  <w:footnote w:id="550">
    <w:p w14:paraId="175FB97D" w14:textId="77777777" w:rsidR="000438B1" w:rsidRPr="00924958" w:rsidRDefault="000438B1" w:rsidP="00BD60B7">
      <w:pPr>
        <w:pStyle w:val="FootnoteText"/>
      </w:pPr>
      <w:r>
        <w:rPr>
          <w:rStyle w:val="FootnoteReference"/>
        </w:rPr>
        <w:footnoteRef/>
      </w:r>
      <w:r>
        <w:t xml:space="preserve"> Cf. Skinner, </w:t>
      </w:r>
      <w:r>
        <w:rPr>
          <w:i/>
        </w:rPr>
        <w:t>Genesis</w:t>
      </w:r>
      <w:r>
        <w:t>, 318.</w:t>
      </w:r>
    </w:p>
  </w:footnote>
  <w:footnote w:id="551">
    <w:p w14:paraId="2956E197" w14:textId="2A6DE07E" w:rsidR="000438B1" w:rsidRDefault="000438B1" w:rsidP="00084153">
      <w:pPr>
        <w:pStyle w:val="FootnoteText"/>
      </w:pPr>
      <w:r>
        <w:rPr>
          <w:rStyle w:val="FootnoteReference"/>
        </w:rPr>
        <w:footnoteRef/>
      </w:r>
      <w:r>
        <w:t xml:space="preserve"> See the comment there.</w:t>
      </w:r>
    </w:p>
  </w:footnote>
  <w:footnote w:id="552">
    <w:p w14:paraId="4E5BA8D5" w14:textId="7FB7AAC9" w:rsidR="000438B1" w:rsidRDefault="000438B1">
      <w:pPr>
        <w:pStyle w:val="FootnoteText"/>
      </w:pPr>
      <w:r>
        <w:rPr>
          <w:rStyle w:val="FootnoteReference"/>
        </w:rPr>
        <w:footnoteRef/>
      </w:r>
      <w:r>
        <w:t xml:space="preserve"> Pitt-Rivers, </w:t>
      </w:r>
      <w:r>
        <w:rPr>
          <w:i/>
        </w:rPr>
        <w:t>Fate of Shechem</w:t>
      </w:r>
      <w:r>
        <w:t>, 159.</w:t>
      </w:r>
    </w:p>
  </w:footnote>
  <w:footnote w:id="553">
    <w:p w14:paraId="2D68C49A" w14:textId="77777777" w:rsidR="000438B1" w:rsidRPr="00467471" w:rsidRDefault="000438B1">
      <w:pPr>
        <w:pStyle w:val="FootnoteText"/>
      </w:pPr>
      <w:r>
        <w:rPr>
          <w:rStyle w:val="FootnoteReference"/>
        </w:rPr>
        <w:footnoteRef/>
      </w:r>
      <w:r>
        <w:t xml:space="preserve"> See G. Hepner, “Abraham’s Incestuous Marriage with Sarah,” </w:t>
      </w:r>
      <w:r>
        <w:rPr>
          <w:i/>
        </w:rPr>
        <w:t>VT</w:t>
      </w:r>
      <w:r>
        <w:t xml:space="preserve"> 53 (2003): 143-55 (148).</w:t>
      </w:r>
    </w:p>
  </w:footnote>
  <w:footnote w:id="554">
    <w:p w14:paraId="65D70FDF" w14:textId="1CFE612E" w:rsidR="000438B1" w:rsidRDefault="000438B1">
      <w:pPr>
        <w:pStyle w:val="FootnoteText"/>
      </w:pPr>
      <w:r>
        <w:rPr>
          <w:rStyle w:val="FootnoteReference"/>
        </w:rPr>
        <w:footnoteRef/>
      </w:r>
      <w:r>
        <w:t xml:space="preserve"> See the comment on 23:15 for further comparisons.</w:t>
      </w:r>
    </w:p>
  </w:footnote>
  <w:footnote w:id="555">
    <w:p w14:paraId="274B1DE4" w14:textId="77777777" w:rsidR="000438B1" w:rsidRPr="00957D6A" w:rsidRDefault="000438B1">
      <w:pPr>
        <w:pStyle w:val="FootnoteText"/>
      </w:pPr>
      <w:r>
        <w:rPr>
          <w:rStyle w:val="FootnoteReference"/>
        </w:rPr>
        <w:footnoteRef/>
      </w:r>
      <w:r>
        <w:t xml:space="preserve"> Z. Kotze rather suggests that the covering protects from the evil eye (“An Interpretation of </w:t>
      </w:r>
      <w:r w:rsidRPr="00957D6A">
        <w:rPr>
          <w:i/>
        </w:rPr>
        <w:t>kswt ‘ynym</w:t>
      </w:r>
      <w:r>
        <w:t xml:space="preserve"> in Genesis 20:16,” </w:t>
      </w:r>
      <w:r>
        <w:rPr>
          <w:i/>
        </w:rPr>
        <w:t xml:space="preserve">Journal for Semitics </w:t>
      </w:r>
      <w:r>
        <w:t>20 [2011]: 487-96).</w:t>
      </w:r>
    </w:p>
  </w:footnote>
  <w:footnote w:id="556">
    <w:p w14:paraId="07C6746C" w14:textId="77777777" w:rsidR="000438B1" w:rsidRPr="00465147" w:rsidRDefault="000438B1" w:rsidP="00F1762D">
      <w:pPr>
        <w:pStyle w:val="FootnoteText"/>
      </w:pPr>
      <w:r>
        <w:rPr>
          <w:rStyle w:val="FootnoteReference"/>
        </w:rPr>
        <w:footnoteRef/>
      </w:r>
      <w:r>
        <w:t xml:space="preserve"> Von Rad, </w:t>
      </w:r>
      <w:r>
        <w:rPr>
          <w:i/>
        </w:rPr>
        <w:t>Genesis</w:t>
      </w:r>
      <w:r>
        <w:t>, 223.</w:t>
      </w:r>
    </w:p>
  </w:footnote>
  <w:footnote w:id="557">
    <w:p w14:paraId="6634A1FB" w14:textId="77777777" w:rsidR="000438B1" w:rsidRPr="00182E96" w:rsidRDefault="000438B1" w:rsidP="00927C4A">
      <w:pPr>
        <w:pStyle w:val="FootnoteText"/>
      </w:pPr>
      <w:r>
        <w:rPr>
          <w:rStyle w:val="FootnoteReference"/>
        </w:rPr>
        <w:footnoteRef/>
      </w:r>
      <w:r>
        <w:t xml:space="preserve"> Origen, </w:t>
      </w:r>
      <w:r>
        <w:rPr>
          <w:i/>
        </w:rPr>
        <w:t>Homilies on Genesis and Exodus</w:t>
      </w:r>
      <w:r>
        <w:t>, 125, referring to Gal 4:27; Isa 54:1; 66:8; 26:18; Gal 4:19.</w:t>
      </w:r>
    </w:p>
  </w:footnote>
  <w:footnote w:id="558">
    <w:p w14:paraId="0C37039C" w14:textId="77777777" w:rsidR="000438B1" w:rsidRPr="005D655F" w:rsidRDefault="000438B1">
      <w:pPr>
        <w:pStyle w:val="FootnoteText"/>
      </w:pPr>
      <w:r>
        <w:rPr>
          <w:rStyle w:val="FootnoteReference"/>
        </w:rPr>
        <w:footnoteRef/>
      </w:r>
      <w:r>
        <w:t xml:space="preserve"> The subject comes before the verb, suggesting some emphasis, and/or a contrast over against 19:30-38 (Seebass, </w:t>
      </w:r>
      <w:r w:rsidRPr="00CD3E96">
        <w:rPr>
          <w:i/>
        </w:rPr>
        <w:t>Genesis</w:t>
      </w:r>
      <w:r>
        <w:t xml:space="preserve"> 2/1:174), and/or the resumption of the theme of Yahweh’s promise from Gen 17—18 (Arnold, </w:t>
      </w:r>
      <w:r>
        <w:rPr>
          <w:i/>
        </w:rPr>
        <w:t>Genesis</w:t>
      </w:r>
      <w:r>
        <w:t>, 194).</w:t>
      </w:r>
    </w:p>
  </w:footnote>
  <w:footnote w:id="559">
    <w:p w14:paraId="359240F4" w14:textId="77777777" w:rsidR="000438B1" w:rsidRDefault="000438B1">
      <w:pPr>
        <w:pStyle w:val="FootnoteText"/>
      </w:pPr>
      <w:r>
        <w:rPr>
          <w:rStyle w:val="FootnoteReference"/>
        </w:rPr>
        <w:footnoteRef/>
      </w:r>
      <w:r>
        <w:t xml:space="preserve"> LXX, Vg have “laugh with me.” </w:t>
      </w:r>
    </w:p>
  </w:footnote>
  <w:footnote w:id="560">
    <w:p w14:paraId="46D29CD8" w14:textId="5D6ABE56" w:rsidR="000438B1" w:rsidRPr="00A22A22" w:rsidRDefault="000438B1">
      <w:pPr>
        <w:pStyle w:val="FootnoteText"/>
      </w:pPr>
      <w:r>
        <w:rPr>
          <w:rStyle w:val="FootnoteReference"/>
        </w:rPr>
        <w:footnoteRef/>
      </w:r>
      <w:r>
        <w:t xml:space="preserve"> The rare verb </w:t>
      </w:r>
      <w:r>
        <w:rPr>
          <w:i/>
        </w:rPr>
        <w:t>mālal</w:t>
      </w:r>
      <w:r>
        <w:t xml:space="preserve"> (piel), an Aramaism, could remind the audience of the verb for “circumcise,” </w:t>
      </w:r>
      <w:r>
        <w:rPr>
          <w:i/>
        </w:rPr>
        <w:t>m</w:t>
      </w:r>
      <w:r>
        <w:rPr>
          <w:rFonts w:cs="Calibri"/>
          <w:i/>
        </w:rPr>
        <w:t>û</w:t>
      </w:r>
      <w:r>
        <w:rPr>
          <w:i/>
        </w:rPr>
        <w:t>l</w:t>
      </w:r>
      <w:r>
        <w:t xml:space="preserve"> (v. 4)—which indeed seems to have a byform </w:t>
      </w:r>
      <w:r>
        <w:rPr>
          <w:i/>
        </w:rPr>
        <w:t>mālal</w:t>
      </w:r>
      <w:r>
        <w:t>.</w:t>
      </w:r>
    </w:p>
  </w:footnote>
  <w:footnote w:id="561">
    <w:p w14:paraId="18D7D9E5" w14:textId="21DF0FDA" w:rsidR="000438B1" w:rsidRPr="006E111B" w:rsidRDefault="000438B1">
      <w:pPr>
        <w:pStyle w:val="FootnoteText"/>
      </w:pPr>
      <w:r>
        <w:rPr>
          <w:rStyle w:val="FootnoteReference"/>
        </w:rPr>
        <w:footnoteRef/>
      </w:r>
      <w:r>
        <w:t xml:space="preserve"> One Jewish tradition infers that this “playing about” could have involved idolatry (cf. Exod 32:6), while 39:14 might imply sexual abuse or molesting, and 2 Sam 2:15 could suggest Ishmael was shooting at Isaac but claiming he was only playing (see </w:t>
      </w:r>
      <w:r>
        <w:rPr>
          <w:i/>
        </w:rPr>
        <w:t>GenR</w:t>
      </w:r>
      <w:r>
        <w:t xml:space="preserve"> 53:11); see further Blenkinsopp, </w:t>
      </w:r>
      <w:r>
        <w:rPr>
          <w:i/>
        </w:rPr>
        <w:t>Abraham</w:t>
      </w:r>
      <w:r>
        <w:t xml:space="preserve">, 92-95; D. J. Zucker, “What Sarah Saw,” </w:t>
      </w:r>
      <w:r>
        <w:rPr>
          <w:i/>
        </w:rPr>
        <w:t xml:space="preserve">JBQ </w:t>
      </w:r>
      <w:r>
        <w:t xml:space="preserve">36 (2008): 54-62. But there seems insufficient reason to interpret the playing in a negative way (see K. Sonek, </w:t>
      </w:r>
      <w:r>
        <w:rPr>
          <w:i/>
        </w:rPr>
        <w:t>Truth, Beauty, and Goodness in Biblical Narratives</w:t>
      </w:r>
      <w:r>
        <w:t xml:space="preserve"> [Berlin: de Gruyter, 2009], 43-47). The range of actions to which </w:t>
      </w:r>
      <w:r>
        <w:rPr>
          <w:i/>
        </w:rPr>
        <w:t>mĕšaḥēq</w:t>
      </w:r>
      <w:r>
        <w:t xml:space="preserve"> might refer is less important to the narrator than the word itself (cf. Heard, </w:t>
      </w:r>
      <w:r w:rsidRPr="00C61FB8">
        <w:rPr>
          <w:i/>
        </w:rPr>
        <w:t>Dynamics of Diselection</w:t>
      </w:r>
      <w:r>
        <w:t>, 84).</w:t>
      </w:r>
    </w:p>
  </w:footnote>
  <w:footnote w:id="562">
    <w:p w14:paraId="2BCEEE59" w14:textId="77777777" w:rsidR="000438B1" w:rsidRPr="00122FC5" w:rsidRDefault="000438B1">
      <w:pPr>
        <w:pStyle w:val="FootnoteText"/>
      </w:pPr>
      <w:r>
        <w:rPr>
          <w:rStyle w:val="FootnoteReference"/>
        </w:rPr>
        <w:footnoteRef/>
      </w:r>
      <w:r>
        <w:t xml:space="preserve"> In 16:1 she was a </w:t>
      </w:r>
      <w:r>
        <w:rPr>
          <w:i/>
        </w:rPr>
        <w:t>šipḥāh</w:t>
      </w:r>
      <w:r>
        <w:t xml:space="preserve">, here </w:t>
      </w:r>
      <w:proofErr w:type="gramStart"/>
      <w:r>
        <w:t>an</w:t>
      </w:r>
      <w:proofErr w:type="gramEnd"/>
      <w:r>
        <w:t xml:space="preserve"> </w:t>
      </w:r>
      <w:r>
        <w:rPr>
          <w:i/>
        </w:rPr>
        <w:t>’āmāh</w:t>
      </w:r>
      <w:r>
        <w:t xml:space="preserve">; compare “maidservant” and “handmaid” in English. Both words are also applied to Bilhah (30:3-4). Scholars who think one of the words suggest a higher status than the other (e.g., Westermann, </w:t>
      </w:r>
      <w:r>
        <w:rPr>
          <w:i/>
        </w:rPr>
        <w:t>Genesis 12—36</w:t>
      </w:r>
      <w:r>
        <w:t>, 237-38)</w:t>
      </w:r>
      <w:r>
        <w:rPr>
          <w:i/>
        </w:rPr>
        <w:t xml:space="preserve"> </w:t>
      </w:r>
      <w:r>
        <w:t xml:space="preserve">are not agreed on which is which (cf. Hamilton, </w:t>
      </w:r>
      <w:r>
        <w:rPr>
          <w:i/>
        </w:rPr>
        <w:t>Genesis 18—50</w:t>
      </w:r>
      <w:r>
        <w:t xml:space="preserve">, 80); see further Jacobs, </w:t>
      </w:r>
      <w:r w:rsidRPr="00B54968">
        <w:rPr>
          <w:i/>
        </w:rPr>
        <w:t>Gender, Power, and Persuasion</w:t>
      </w:r>
      <w:r w:rsidRPr="00B54968">
        <w:t>,</w:t>
      </w:r>
      <w:r>
        <w:t xml:space="preserve"> 143-44; P. Y. Yoo, “Hagar the Egyptian,” </w:t>
      </w:r>
      <w:r>
        <w:rPr>
          <w:i/>
        </w:rPr>
        <w:t xml:space="preserve">CBQ </w:t>
      </w:r>
      <w:r>
        <w:t xml:space="preserve">78 (2016): 215-35. More likely they are synonyms (see e.g., Alter, </w:t>
      </w:r>
      <w:r>
        <w:rPr>
          <w:i/>
        </w:rPr>
        <w:t>Genesis</w:t>
      </w:r>
      <w:r>
        <w:t>, 67).</w:t>
      </w:r>
    </w:p>
  </w:footnote>
  <w:footnote w:id="563">
    <w:p w14:paraId="3C9AA319" w14:textId="77777777" w:rsidR="000438B1" w:rsidRPr="00C47F1F" w:rsidRDefault="000438B1">
      <w:pPr>
        <w:pStyle w:val="FootnoteText"/>
      </w:pPr>
      <w:r>
        <w:rPr>
          <w:rStyle w:val="FootnoteReference"/>
        </w:rPr>
        <w:footnoteRef/>
      </w:r>
      <w:r>
        <w:t xml:space="preserve"> On the asyndetic clause, see </w:t>
      </w:r>
      <w:r>
        <w:rPr>
          <w:i/>
        </w:rPr>
        <w:t>TTH</w:t>
      </w:r>
      <w:r>
        <w:t xml:space="preserve"> 163.</w:t>
      </w:r>
    </w:p>
  </w:footnote>
  <w:footnote w:id="564">
    <w:p w14:paraId="136FDCF6" w14:textId="77777777" w:rsidR="000438B1" w:rsidRPr="0053370D" w:rsidRDefault="000438B1">
      <w:pPr>
        <w:pStyle w:val="FootnoteText"/>
      </w:pPr>
      <w:r>
        <w:rPr>
          <w:rStyle w:val="FootnoteReference"/>
        </w:rPr>
        <w:footnoteRef/>
      </w:r>
      <w:r>
        <w:t xml:space="preserve"> That is, he also gave Ishmael to Hagar, not that he put the teenager on her shoulder along with the bread and the skin of water. The odd word order compares with 22:3 and in each passage adds emphasis to the son (L. L. Lyke, “Where Does ‘the Boy’ Belong?” </w:t>
      </w:r>
      <w:r>
        <w:rPr>
          <w:i/>
        </w:rPr>
        <w:t xml:space="preserve">CBQ </w:t>
      </w:r>
      <w:r>
        <w:t>56 (1994): 637-48 (though I do not follow other aspects of his reading of the verse).</w:t>
      </w:r>
    </w:p>
  </w:footnote>
  <w:footnote w:id="565">
    <w:p w14:paraId="457C8BE7" w14:textId="77777777" w:rsidR="000438B1" w:rsidRDefault="000438B1">
      <w:pPr>
        <w:pStyle w:val="FootnoteText"/>
      </w:pPr>
      <w:r>
        <w:rPr>
          <w:rStyle w:val="FootnoteReference"/>
        </w:rPr>
        <w:footnoteRef/>
      </w:r>
      <w:r>
        <w:t xml:space="preserve"> Literally “going away [hiphil infinitive absolute] like shooters of a bow.” </w:t>
      </w:r>
    </w:p>
  </w:footnote>
  <w:footnote w:id="566">
    <w:p w14:paraId="56100225" w14:textId="77777777" w:rsidR="000438B1" w:rsidRDefault="000438B1">
      <w:pPr>
        <w:pStyle w:val="FootnoteText"/>
      </w:pPr>
      <w:r>
        <w:rPr>
          <w:rStyle w:val="FootnoteReference"/>
        </w:rPr>
        <w:footnoteRef/>
      </w:r>
      <w:r>
        <w:t xml:space="preserve"> While the form of the verb </w:t>
      </w:r>
      <w:r>
        <w:rPr>
          <w:i/>
        </w:rPr>
        <w:t xml:space="preserve">’er’eh </w:t>
      </w:r>
      <w:r>
        <w:t xml:space="preserve">is ambiguous, the use of the negative </w:t>
      </w:r>
      <w:r>
        <w:rPr>
          <w:i/>
        </w:rPr>
        <w:t xml:space="preserve">’al </w:t>
      </w:r>
      <w:r>
        <w:t xml:space="preserve">establishes that it is cohortative not yiqtol, and cohortative following </w:t>
      </w:r>
      <w:r w:rsidRPr="00C83370">
        <w:rPr>
          <w:i/>
        </w:rPr>
        <w:t xml:space="preserve">’al </w:t>
      </w:r>
      <w:r>
        <w:t xml:space="preserve">would naturally denote a wish “may I not watch” rather than determination not to watch (see GK 106bc; </w:t>
      </w:r>
      <w:r>
        <w:rPr>
          <w:i/>
        </w:rPr>
        <w:t xml:space="preserve">IBHS </w:t>
      </w:r>
      <w:r>
        <w:t>34.5.1). But the logic of the verse and of her action suggest determination. Maybe she is confused.</w:t>
      </w:r>
    </w:p>
  </w:footnote>
  <w:footnote w:id="567">
    <w:p w14:paraId="3F2F2E7E" w14:textId="77777777" w:rsidR="000438B1" w:rsidRDefault="000438B1">
      <w:pPr>
        <w:pStyle w:val="FootnoteText"/>
      </w:pPr>
      <w:r>
        <w:rPr>
          <w:rStyle w:val="FootnoteReference"/>
        </w:rPr>
        <w:footnoteRef/>
      </w:r>
      <w:r>
        <w:t xml:space="preserve"> LXX has “the child lifted up his voice [and] cried,” providing a better lead in to v. 17.</w:t>
      </w:r>
    </w:p>
  </w:footnote>
  <w:footnote w:id="568">
    <w:p w14:paraId="10176494" w14:textId="77777777" w:rsidR="000438B1" w:rsidRDefault="000438B1">
      <w:pPr>
        <w:pStyle w:val="FootnoteText"/>
      </w:pPr>
      <w:r>
        <w:rPr>
          <w:rStyle w:val="FootnoteReference"/>
        </w:rPr>
        <w:footnoteRef/>
      </w:r>
      <w:r>
        <w:t xml:space="preserve"> More literally, “make your hand strong upon him”; not “take his hand” (Vg).</w:t>
      </w:r>
    </w:p>
  </w:footnote>
  <w:footnote w:id="569">
    <w:p w14:paraId="6C7A3C35" w14:textId="77777777" w:rsidR="000438B1" w:rsidRDefault="000438B1">
      <w:pPr>
        <w:pStyle w:val="FootnoteText"/>
      </w:pPr>
      <w:r>
        <w:rPr>
          <w:rStyle w:val="FootnoteReference"/>
        </w:rPr>
        <w:footnoteRef/>
      </w:r>
      <w:r>
        <w:t xml:space="preserve"> While both words are hapaxes, the first root (</w:t>
      </w:r>
      <w:r>
        <w:rPr>
          <w:i/>
        </w:rPr>
        <w:t>rābāh</w:t>
      </w:r>
      <w:r>
        <w:t>)</w:t>
      </w:r>
      <w:r>
        <w:rPr>
          <w:i/>
        </w:rPr>
        <w:t xml:space="preserve"> </w:t>
      </w:r>
      <w:r>
        <w:t>is rare and the second more common, so the second word might explain the first.</w:t>
      </w:r>
    </w:p>
  </w:footnote>
  <w:footnote w:id="570">
    <w:p w14:paraId="21C063CE" w14:textId="77777777" w:rsidR="000438B1" w:rsidRPr="00FF6741" w:rsidRDefault="000438B1" w:rsidP="00C73A24">
      <w:pPr>
        <w:pStyle w:val="FootnoteText"/>
      </w:pPr>
      <w:r>
        <w:rPr>
          <w:rStyle w:val="FootnoteReference"/>
        </w:rPr>
        <w:footnoteRef/>
      </w:r>
      <w:r>
        <w:t xml:space="preserve"> Cf. Van Seters’s study of Gen 18 and 21 in </w:t>
      </w:r>
      <w:r>
        <w:rPr>
          <w:i/>
        </w:rPr>
        <w:t>Abraham in History and Tradition</w:t>
      </w:r>
      <w:r>
        <w:t>, 202-8.</w:t>
      </w:r>
    </w:p>
  </w:footnote>
  <w:footnote w:id="571">
    <w:p w14:paraId="5A63F536" w14:textId="77777777" w:rsidR="000438B1" w:rsidRPr="00807C1C" w:rsidRDefault="000438B1" w:rsidP="00C73A24">
      <w:pPr>
        <w:pStyle w:val="FootnoteText"/>
      </w:pPr>
      <w:r>
        <w:rPr>
          <w:rStyle w:val="FootnoteReference"/>
        </w:rPr>
        <w:footnoteRef/>
      </w:r>
      <w:r>
        <w:t xml:space="preserve"> Brueggemann, </w:t>
      </w:r>
      <w:r>
        <w:rPr>
          <w:i/>
        </w:rPr>
        <w:t>Genesis</w:t>
      </w:r>
      <w:r>
        <w:t xml:space="preserve">, 180. Contrast </w:t>
      </w:r>
      <w:r>
        <w:rPr>
          <w:i/>
        </w:rPr>
        <w:t xml:space="preserve">Jub </w:t>
      </w:r>
      <w:r>
        <w:t>16, in its way.</w:t>
      </w:r>
    </w:p>
  </w:footnote>
  <w:footnote w:id="572">
    <w:p w14:paraId="620415CB" w14:textId="77777777" w:rsidR="000438B1" w:rsidRDefault="000438B1" w:rsidP="00A57D04">
      <w:pPr>
        <w:pStyle w:val="FootnoteText"/>
      </w:pPr>
      <w:r>
        <w:rPr>
          <w:rStyle w:val="FootnoteReference"/>
        </w:rPr>
        <w:footnoteRef/>
      </w:r>
      <w:r>
        <w:t xml:space="preserve"> Brueggemann, </w:t>
      </w:r>
      <w:r w:rsidRPr="00515DE5">
        <w:rPr>
          <w:i/>
        </w:rPr>
        <w:t>Genesis</w:t>
      </w:r>
      <w:r w:rsidRPr="00515DE5">
        <w:t>,</w:t>
      </w:r>
      <w:r>
        <w:t xml:space="preserve"> 180-81.</w:t>
      </w:r>
    </w:p>
  </w:footnote>
  <w:footnote w:id="573">
    <w:p w14:paraId="144A8EC3" w14:textId="77777777" w:rsidR="000438B1" w:rsidRPr="006F1DC0" w:rsidRDefault="000438B1" w:rsidP="00975EAB">
      <w:pPr>
        <w:pStyle w:val="FootnoteText"/>
      </w:pPr>
      <w:r>
        <w:rPr>
          <w:rStyle w:val="FootnoteReference"/>
        </w:rPr>
        <w:footnoteRef/>
      </w:r>
      <w:r>
        <w:t xml:space="preserve"> Cf. Hamilton, </w:t>
      </w:r>
      <w:r>
        <w:rPr>
          <w:i/>
        </w:rPr>
        <w:t>Genesis 18—50</w:t>
      </w:r>
      <w:r>
        <w:t>, 74.</w:t>
      </w:r>
    </w:p>
  </w:footnote>
  <w:footnote w:id="574">
    <w:p w14:paraId="148A0EF6" w14:textId="77777777" w:rsidR="000438B1" w:rsidRDefault="000438B1" w:rsidP="00975EAB">
      <w:pPr>
        <w:pStyle w:val="FootnoteText"/>
      </w:pPr>
      <w:r>
        <w:rPr>
          <w:rStyle w:val="FootnoteReference"/>
        </w:rPr>
        <w:footnoteRef/>
      </w:r>
      <w:r>
        <w:t xml:space="preserve"> Fretheim, “Genesis,” 486.</w:t>
      </w:r>
    </w:p>
  </w:footnote>
  <w:footnote w:id="575">
    <w:p w14:paraId="20811BF9" w14:textId="77777777" w:rsidR="000438B1" w:rsidRPr="00CB4962" w:rsidRDefault="000438B1" w:rsidP="008E7099">
      <w:pPr>
        <w:pStyle w:val="FootnoteText"/>
      </w:pPr>
      <w:r>
        <w:rPr>
          <w:rStyle w:val="FootnoteReference"/>
        </w:rPr>
        <w:footnoteRef/>
      </w:r>
      <w:r>
        <w:t xml:space="preserve"> So Gunkel, </w:t>
      </w:r>
      <w:r>
        <w:rPr>
          <w:i/>
        </w:rPr>
        <w:t>Genesis</w:t>
      </w:r>
      <w:r>
        <w:t>, 225.</w:t>
      </w:r>
    </w:p>
  </w:footnote>
  <w:footnote w:id="576">
    <w:p w14:paraId="59BA66F4" w14:textId="77777777" w:rsidR="000438B1" w:rsidRPr="00CD796B" w:rsidRDefault="000438B1" w:rsidP="003C6763">
      <w:pPr>
        <w:pStyle w:val="FootnoteText"/>
      </w:pPr>
      <w:r>
        <w:rPr>
          <w:rStyle w:val="FootnoteReference"/>
        </w:rPr>
        <w:footnoteRef/>
      </w:r>
      <w:r>
        <w:t xml:space="preserve"> Blenkinsopp, </w:t>
      </w:r>
      <w:r>
        <w:rPr>
          <w:i/>
        </w:rPr>
        <w:t>Abraham</w:t>
      </w:r>
      <w:r>
        <w:t>, 85.</w:t>
      </w:r>
    </w:p>
  </w:footnote>
  <w:footnote w:id="577">
    <w:p w14:paraId="5098E013" w14:textId="77777777" w:rsidR="000438B1" w:rsidRDefault="000438B1" w:rsidP="003C6763">
      <w:pPr>
        <w:pStyle w:val="FootnoteText"/>
      </w:pPr>
      <w:r>
        <w:rPr>
          <w:rStyle w:val="FootnoteReference"/>
        </w:rPr>
        <w:footnoteRef/>
      </w:r>
      <w:r>
        <w:t xml:space="preserve"> Fretheim, “Genesis,” 486.</w:t>
      </w:r>
    </w:p>
  </w:footnote>
  <w:footnote w:id="578">
    <w:p w14:paraId="141AF09B" w14:textId="77777777" w:rsidR="000438B1" w:rsidRPr="00EE7108" w:rsidRDefault="000438B1">
      <w:pPr>
        <w:pStyle w:val="FootnoteText"/>
      </w:pPr>
      <w:r>
        <w:rPr>
          <w:rStyle w:val="FootnoteReference"/>
        </w:rPr>
        <w:footnoteRef/>
      </w:r>
      <w:r>
        <w:t xml:space="preserve"> Cf. Seebass, </w:t>
      </w:r>
      <w:r w:rsidRPr="00CD3E96">
        <w:rPr>
          <w:i/>
        </w:rPr>
        <w:t>Genesis</w:t>
      </w:r>
      <w:r>
        <w:t xml:space="preserve"> 2/1:175-76.</w:t>
      </w:r>
    </w:p>
  </w:footnote>
  <w:footnote w:id="579">
    <w:p w14:paraId="0CDB6A3B" w14:textId="77777777" w:rsidR="000438B1" w:rsidRPr="00311499" w:rsidRDefault="000438B1" w:rsidP="00197874">
      <w:pPr>
        <w:pStyle w:val="FootnoteText"/>
      </w:pPr>
      <w:r>
        <w:rPr>
          <w:rStyle w:val="FootnoteReference"/>
        </w:rPr>
        <w:footnoteRef/>
      </w:r>
      <w:r>
        <w:t xml:space="preserve"> Westermann, </w:t>
      </w:r>
      <w:r>
        <w:rPr>
          <w:i/>
        </w:rPr>
        <w:t>Genesis 12—36</w:t>
      </w:r>
      <w:r>
        <w:t>, 338.</w:t>
      </w:r>
    </w:p>
  </w:footnote>
  <w:footnote w:id="580">
    <w:p w14:paraId="0A411640" w14:textId="4ACB5430" w:rsidR="000438B1" w:rsidRPr="0033438D" w:rsidRDefault="000438B1">
      <w:pPr>
        <w:pStyle w:val="FootnoteText"/>
      </w:pPr>
      <w:r>
        <w:rPr>
          <w:rStyle w:val="FootnoteReference"/>
        </w:rPr>
        <w:footnoteRef/>
      </w:r>
      <w:r>
        <w:t xml:space="preserve"> Cf. Schneider, </w:t>
      </w:r>
      <w:r>
        <w:rPr>
          <w:i/>
        </w:rPr>
        <w:t>Mothers of Promise</w:t>
      </w:r>
      <w:r>
        <w:t>, 34.</w:t>
      </w:r>
    </w:p>
  </w:footnote>
  <w:footnote w:id="581">
    <w:p w14:paraId="58872290" w14:textId="77777777" w:rsidR="000438B1" w:rsidRDefault="000438B1" w:rsidP="007A2723">
      <w:pPr>
        <w:pStyle w:val="FootnoteText"/>
      </w:pPr>
      <w:r>
        <w:rPr>
          <w:rStyle w:val="FootnoteReference"/>
        </w:rPr>
        <w:footnoteRef/>
      </w:r>
      <w:r>
        <w:t xml:space="preserve"> Cf. E. Noort, “Created in the Image of the Son,” in </w:t>
      </w:r>
      <w:r w:rsidRPr="00FB61E5">
        <w:t>M. Goodman et al. (</w:t>
      </w:r>
      <w:proofErr w:type="gramStart"/>
      <w:r w:rsidRPr="00FB61E5">
        <w:t>eds</w:t>
      </w:r>
      <w:proofErr w:type="gramEnd"/>
      <w:r w:rsidRPr="00FB61E5">
        <w:t xml:space="preserve">), </w:t>
      </w:r>
      <w:r w:rsidRPr="00FB61E5">
        <w:rPr>
          <w:i/>
        </w:rPr>
        <w:t xml:space="preserve">Abraham, the Nations, and the Hagarites </w:t>
      </w:r>
      <w:r w:rsidRPr="00FB61E5">
        <w:t>(Leiden: Brill, 2010),</w:t>
      </w:r>
      <w:r>
        <w:t xml:space="preserve"> 33-45 (42).</w:t>
      </w:r>
    </w:p>
  </w:footnote>
  <w:footnote w:id="582">
    <w:p w14:paraId="5345D2F1" w14:textId="77777777" w:rsidR="000438B1" w:rsidRDefault="000438B1">
      <w:pPr>
        <w:pStyle w:val="FootnoteText"/>
      </w:pPr>
      <w:r>
        <w:rPr>
          <w:rStyle w:val="FootnoteReference"/>
        </w:rPr>
        <w:footnoteRef/>
      </w:r>
      <w:r>
        <w:t xml:space="preserve"> </w:t>
      </w:r>
      <w:r w:rsidRPr="00B54968">
        <w:t xml:space="preserve">Jacobs, </w:t>
      </w:r>
      <w:r w:rsidRPr="00B54968">
        <w:rPr>
          <w:i/>
        </w:rPr>
        <w:t>Gender, Power, and Persuasion</w:t>
      </w:r>
      <w:r w:rsidRPr="00B54968">
        <w:t>,</w:t>
      </w:r>
      <w:r>
        <w:t xml:space="preserve"> 150, 152.</w:t>
      </w:r>
    </w:p>
  </w:footnote>
  <w:footnote w:id="583">
    <w:p w14:paraId="38BA3F38" w14:textId="77777777" w:rsidR="000438B1" w:rsidRDefault="000438B1" w:rsidP="00691E8A">
      <w:pPr>
        <w:pStyle w:val="FootnoteText"/>
      </w:pPr>
      <w:r>
        <w:rPr>
          <w:rStyle w:val="FootnoteReference"/>
        </w:rPr>
        <w:footnoteRef/>
      </w:r>
      <w:r>
        <w:t xml:space="preserve"> Cf. </w:t>
      </w:r>
      <w:r w:rsidRPr="006E111B">
        <w:t xml:space="preserve">Heard, </w:t>
      </w:r>
      <w:r w:rsidRPr="006E111B">
        <w:rPr>
          <w:i/>
        </w:rPr>
        <w:t>Dynamics of Diselection</w:t>
      </w:r>
      <w:r w:rsidRPr="006E111B">
        <w:t>,</w:t>
      </w:r>
      <w:r>
        <w:t xml:space="preserve"> 86.</w:t>
      </w:r>
    </w:p>
  </w:footnote>
  <w:footnote w:id="584">
    <w:p w14:paraId="5C180EC0" w14:textId="77777777" w:rsidR="000438B1" w:rsidRPr="00A22A22" w:rsidRDefault="000438B1">
      <w:pPr>
        <w:pStyle w:val="FootnoteText"/>
      </w:pPr>
      <w:r>
        <w:rPr>
          <w:rStyle w:val="FootnoteReference"/>
        </w:rPr>
        <w:footnoteRef/>
      </w:r>
      <w:r>
        <w:t xml:space="preserve"> Cf. Sarna, </w:t>
      </w:r>
      <w:r>
        <w:rPr>
          <w:i/>
        </w:rPr>
        <w:t>Genesis</w:t>
      </w:r>
      <w:r>
        <w:t xml:space="preserve">, </w:t>
      </w:r>
      <w:proofErr w:type="gramStart"/>
      <w:r>
        <w:t>146</w:t>
      </w:r>
      <w:proofErr w:type="gramEnd"/>
      <w:r>
        <w:t>-47.</w:t>
      </w:r>
    </w:p>
  </w:footnote>
  <w:footnote w:id="585">
    <w:p w14:paraId="21FAB990" w14:textId="77777777" w:rsidR="000438B1" w:rsidRPr="00BE5FE7" w:rsidRDefault="000438B1">
      <w:pPr>
        <w:pStyle w:val="FootnoteText"/>
      </w:pPr>
      <w:r>
        <w:rPr>
          <w:rStyle w:val="FootnoteReference"/>
        </w:rPr>
        <w:footnoteRef/>
      </w:r>
      <w:r>
        <w:t xml:space="preserve"> E. Tamez, “The Woman Who Complicated the History of Salvation,” in J. S. Pobee and B. von Wartenberg-Potter (eds.), </w:t>
      </w:r>
      <w:r>
        <w:rPr>
          <w:i/>
        </w:rPr>
        <w:t xml:space="preserve">New Eyes for Reading </w:t>
      </w:r>
      <w:r>
        <w:t>(Quezon City: Claretian, 1986), 5-17 (13).</w:t>
      </w:r>
    </w:p>
  </w:footnote>
  <w:footnote w:id="586">
    <w:p w14:paraId="2AAD8CAD" w14:textId="77777777" w:rsidR="000438B1" w:rsidRPr="00351ABC" w:rsidRDefault="000438B1">
      <w:pPr>
        <w:pStyle w:val="FootnoteText"/>
      </w:pPr>
      <w:r>
        <w:rPr>
          <w:rStyle w:val="FootnoteReference"/>
        </w:rPr>
        <w:footnoteRef/>
      </w:r>
      <w:r>
        <w:t xml:space="preserve"> Cf. Fretheim, </w:t>
      </w:r>
      <w:r>
        <w:rPr>
          <w:i/>
        </w:rPr>
        <w:t>Abraham</w:t>
      </w:r>
      <w:r>
        <w:t>, 100.</w:t>
      </w:r>
    </w:p>
  </w:footnote>
  <w:footnote w:id="587">
    <w:p w14:paraId="5EFA87A3" w14:textId="77777777" w:rsidR="000438B1" w:rsidRDefault="000438B1" w:rsidP="00CE3428">
      <w:pPr>
        <w:pStyle w:val="FootnoteText"/>
      </w:pPr>
      <w:r>
        <w:rPr>
          <w:rStyle w:val="FootnoteReference"/>
        </w:rPr>
        <w:footnoteRef/>
      </w:r>
      <w:r>
        <w:t xml:space="preserve"> Cf. Noort, “Created in the Image of the Son,” 34.</w:t>
      </w:r>
    </w:p>
  </w:footnote>
  <w:footnote w:id="588">
    <w:p w14:paraId="4C325A4C" w14:textId="77777777" w:rsidR="000438B1" w:rsidRPr="00351ABC" w:rsidRDefault="000438B1" w:rsidP="00351ABC">
      <w:pPr>
        <w:pStyle w:val="FootnoteText"/>
      </w:pPr>
      <w:r>
        <w:rPr>
          <w:rStyle w:val="FootnoteReference"/>
        </w:rPr>
        <w:footnoteRef/>
      </w:r>
      <w:r>
        <w:t xml:space="preserve"> Cf. Fretheim, </w:t>
      </w:r>
      <w:r>
        <w:rPr>
          <w:i/>
        </w:rPr>
        <w:t>Abraham</w:t>
      </w:r>
      <w:r>
        <w:t>, 100.</w:t>
      </w:r>
    </w:p>
  </w:footnote>
  <w:footnote w:id="589">
    <w:p w14:paraId="42BEE688" w14:textId="77777777" w:rsidR="000438B1" w:rsidRDefault="000438B1">
      <w:pPr>
        <w:pStyle w:val="FootnoteText"/>
      </w:pPr>
      <w:r>
        <w:rPr>
          <w:rStyle w:val="FootnoteReference"/>
        </w:rPr>
        <w:footnoteRef/>
      </w:r>
      <w:r>
        <w:t xml:space="preserve"> De La Torre, </w:t>
      </w:r>
      <w:r w:rsidRPr="00485216">
        <w:t xml:space="preserve">, </w:t>
      </w:r>
      <w:r w:rsidRPr="00485216">
        <w:rPr>
          <w:i/>
        </w:rPr>
        <w:t>Genesis</w:t>
      </w:r>
      <w:r>
        <w:t>, 212,</w:t>
      </w:r>
    </w:p>
  </w:footnote>
  <w:footnote w:id="590">
    <w:p w14:paraId="309ECFD7" w14:textId="77777777" w:rsidR="000438B1" w:rsidRPr="0044683C" w:rsidRDefault="000438B1">
      <w:pPr>
        <w:pStyle w:val="FootnoteText"/>
      </w:pPr>
      <w:r>
        <w:rPr>
          <w:rStyle w:val="FootnoteReference"/>
        </w:rPr>
        <w:footnoteRef/>
      </w:r>
      <w:r>
        <w:t xml:space="preserve"> See Trible, </w:t>
      </w:r>
      <w:r>
        <w:rPr>
          <w:i/>
        </w:rPr>
        <w:t>Texts of Terror</w:t>
      </w:r>
      <w:r>
        <w:t>, 21-22.</w:t>
      </w:r>
    </w:p>
  </w:footnote>
  <w:footnote w:id="591">
    <w:p w14:paraId="57983C2D" w14:textId="77777777" w:rsidR="000438B1" w:rsidRPr="00860154" w:rsidRDefault="000438B1" w:rsidP="00112CD1">
      <w:pPr>
        <w:pStyle w:val="FootnoteText"/>
      </w:pPr>
      <w:r>
        <w:rPr>
          <w:rStyle w:val="FootnoteReference"/>
        </w:rPr>
        <w:footnoteRef/>
      </w:r>
      <w:r>
        <w:t xml:space="preserve"> Von Rad, </w:t>
      </w:r>
      <w:r>
        <w:rPr>
          <w:i/>
        </w:rPr>
        <w:t>Genesis</w:t>
      </w:r>
      <w:r>
        <w:t>, 228: in those pre-gender-inclusive language days, “men” would mean “human beings.”</w:t>
      </w:r>
    </w:p>
  </w:footnote>
  <w:footnote w:id="592">
    <w:p w14:paraId="064978B9" w14:textId="77777777" w:rsidR="000438B1" w:rsidRDefault="000438B1" w:rsidP="00927C4A">
      <w:pPr>
        <w:pStyle w:val="FootnoteText"/>
      </w:pPr>
      <w:r>
        <w:rPr>
          <w:rStyle w:val="FootnoteReference"/>
        </w:rPr>
        <w:footnoteRef/>
      </w:r>
      <w:r>
        <w:t xml:space="preserve"> Mbuvi, </w:t>
      </w:r>
      <w:r w:rsidRPr="00025E45">
        <w:rPr>
          <w:i/>
        </w:rPr>
        <w:t>Belonging in Genesis</w:t>
      </w:r>
      <w:r>
        <w:t>, 136.</w:t>
      </w:r>
    </w:p>
  </w:footnote>
  <w:footnote w:id="593">
    <w:p w14:paraId="4BA8F3AC" w14:textId="308C4FC8" w:rsidR="000438B1" w:rsidRPr="001A3400" w:rsidRDefault="000438B1">
      <w:pPr>
        <w:pStyle w:val="FootnoteText"/>
      </w:pPr>
      <w:r>
        <w:rPr>
          <w:rStyle w:val="FootnoteReference"/>
        </w:rPr>
        <w:footnoteRef/>
      </w:r>
      <w:r>
        <w:t xml:space="preserve"> M. Schwantes, “‘Do Not Extend Your Hand against the Child,” in L. E. Vaage (ed.), </w:t>
      </w:r>
      <w:r>
        <w:rPr>
          <w:i/>
        </w:rPr>
        <w:t>Subversive Scriptures</w:t>
      </w:r>
      <w:r>
        <w:t xml:space="preserve"> (Valley Forge, PA: Trinity, 1997), 101-23 (109).</w:t>
      </w:r>
    </w:p>
  </w:footnote>
  <w:footnote w:id="594">
    <w:p w14:paraId="2B98FC9B" w14:textId="77777777" w:rsidR="000438B1" w:rsidRDefault="000438B1" w:rsidP="00927C4A">
      <w:pPr>
        <w:pStyle w:val="FootnoteText"/>
      </w:pPr>
      <w:r>
        <w:rPr>
          <w:rStyle w:val="FootnoteReference"/>
        </w:rPr>
        <w:footnoteRef/>
      </w:r>
      <w:r>
        <w:t xml:space="preserve"> </w:t>
      </w:r>
      <w:r w:rsidRPr="00BE5FE7">
        <w:t xml:space="preserve">Brueggemann, </w:t>
      </w:r>
      <w:r w:rsidRPr="00BE5FE7">
        <w:rPr>
          <w:i/>
        </w:rPr>
        <w:t>Genesis</w:t>
      </w:r>
      <w:r w:rsidRPr="00BE5FE7">
        <w:t>,</w:t>
      </w:r>
      <w:r>
        <w:t xml:space="preserve"> 183.</w:t>
      </w:r>
    </w:p>
  </w:footnote>
  <w:footnote w:id="595">
    <w:p w14:paraId="271F8819" w14:textId="77777777" w:rsidR="000438B1" w:rsidRDefault="000438B1">
      <w:pPr>
        <w:pStyle w:val="FootnoteText"/>
      </w:pPr>
      <w:r>
        <w:rPr>
          <w:rStyle w:val="FootnoteReference"/>
        </w:rPr>
        <w:footnoteRef/>
      </w:r>
      <w:r>
        <w:t xml:space="preserve"> </w:t>
      </w:r>
      <w:r w:rsidRPr="00AA5110">
        <w:t xml:space="preserve">Brichto, </w:t>
      </w:r>
      <w:r w:rsidRPr="00AA5110">
        <w:rPr>
          <w:i/>
        </w:rPr>
        <w:t>Names of God</w:t>
      </w:r>
      <w:r w:rsidRPr="00AA5110">
        <w:t>,</w:t>
      </w:r>
      <w:r>
        <w:t xml:space="preserve"> 219-20.</w:t>
      </w:r>
    </w:p>
  </w:footnote>
  <w:footnote w:id="596">
    <w:p w14:paraId="7FB4ECFD" w14:textId="212B4DAD" w:rsidR="000438B1" w:rsidRPr="00671BAD" w:rsidRDefault="000438B1">
      <w:pPr>
        <w:pStyle w:val="FootnoteText"/>
      </w:pPr>
      <w:r>
        <w:rPr>
          <w:rStyle w:val="FootnoteReference"/>
        </w:rPr>
        <w:footnoteRef/>
      </w:r>
      <w:r>
        <w:t xml:space="preserve"> </w:t>
      </w:r>
      <w:r w:rsidRPr="00671BAD">
        <w:t xml:space="preserve">Sonek, </w:t>
      </w:r>
      <w:r>
        <w:rPr>
          <w:i/>
        </w:rPr>
        <w:t>Truth, Beau</w:t>
      </w:r>
      <w:r w:rsidRPr="00671BAD">
        <w:rPr>
          <w:i/>
        </w:rPr>
        <w:t>ty, and Goodness</w:t>
      </w:r>
      <w:r>
        <w:t>, 217-18.</w:t>
      </w:r>
    </w:p>
  </w:footnote>
  <w:footnote w:id="597">
    <w:p w14:paraId="5AF491CE" w14:textId="5BB1A34D" w:rsidR="000438B1" w:rsidRPr="00D22BEC" w:rsidRDefault="000438B1">
      <w:pPr>
        <w:pStyle w:val="FootnoteText"/>
      </w:pPr>
      <w:r>
        <w:rPr>
          <w:rStyle w:val="FootnoteReference"/>
        </w:rPr>
        <w:footnoteRef/>
      </w:r>
      <w:r>
        <w:t xml:space="preserve"> Cf. </w:t>
      </w:r>
      <w:r w:rsidRPr="00D22BEC">
        <w:t xml:space="preserve">Keil/Delitzsch, </w:t>
      </w:r>
      <w:r w:rsidRPr="00D22BEC">
        <w:rPr>
          <w:i/>
        </w:rPr>
        <w:t>Pentateuch</w:t>
      </w:r>
      <w:r>
        <w:t>, 245.</w:t>
      </w:r>
    </w:p>
  </w:footnote>
  <w:footnote w:id="598">
    <w:p w14:paraId="738A7B40" w14:textId="052A2547" w:rsidR="000438B1" w:rsidRPr="004B12B2" w:rsidRDefault="000438B1">
      <w:pPr>
        <w:pStyle w:val="FootnoteText"/>
      </w:pPr>
      <w:r>
        <w:rPr>
          <w:rStyle w:val="FootnoteReference"/>
        </w:rPr>
        <w:footnoteRef/>
      </w:r>
      <w:r>
        <w:t xml:space="preserve"> A. Cohen, “Hagar and Ishmael,” </w:t>
      </w:r>
      <w:r>
        <w:rPr>
          <w:i/>
        </w:rPr>
        <w:t>Interpretation</w:t>
      </w:r>
      <w:r>
        <w:t xml:space="preserve"> 68 (2014): 247-56 (252).</w:t>
      </w:r>
    </w:p>
  </w:footnote>
  <w:footnote w:id="599">
    <w:p w14:paraId="22A74A47" w14:textId="77777777" w:rsidR="000438B1" w:rsidRDefault="000438B1">
      <w:pPr>
        <w:pStyle w:val="FootnoteText"/>
      </w:pPr>
      <w:r>
        <w:rPr>
          <w:rStyle w:val="FootnoteReference"/>
        </w:rPr>
        <w:footnoteRef/>
      </w:r>
      <w:r>
        <w:t xml:space="preserve"> See further Hok-lam Chan,</w:t>
      </w:r>
      <w:r>
        <w:rPr>
          <w:bCs/>
        </w:rPr>
        <w:t>”‘</w:t>
      </w:r>
      <w:r w:rsidRPr="007102E0">
        <w:rPr>
          <w:bCs/>
        </w:rPr>
        <w:t>The Distance</w:t>
      </w:r>
      <w:r>
        <w:rPr>
          <w:bCs/>
        </w:rPr>
        <w:t xml:space="preserve"> of a Bowshot’” (</w:t>
      </w:r>
      <w:r>
        <w:rPr>
          <w:rStyle w:val="HTMLCite"/>
          <w:rFonts w:eastAsiaTheme="minorEastAsia"/>
        </w:rPr>
        <w:t>Journal of Song-Yuan Studies</w:t>
      </w:r>
      <w:r>
        <w:t xml:space="preserve"> 25 [1995]: 29-46), which allows for a similar figure. </w:t>
      </w:r>
    </w:p>
  </w:footnote>
  <w:footnote w:id="600">
    <w:p w14:paraId="06D93B5F" w14:textId="77777777" w:rsidR="000438B1" w:rsidRDefault="000438B1">
      <w:pPr>
        <w:pStyle w:val="FootnoteText"/>
      </w:pPr>
      <w:r>
        <w:rPr>
          <w:rStyle w:val="FootnoteReference"/>
        </w:rPr>
        <w:footnoteRef/>
      </w:r>
      <w:r>
        <w:t xml:space="preserve"> </w:t>
      </w:r>
      <w:r w:rsidRPr="00543621">
        <w:t xml:space="preserve">Levenson, </w:t>
      </w:r>
      <w:r w:rsidRPr="00543621">
        <w:rPr>
          <w:i/>
        </w:rPr>
        <w:t>Death and Resurrection of the Beloved Son</w:t>
      </w:r>
      <w:r w:rsidRPr="00543621">
        <w:t>,</w:t>
      </w:r>
      <w:r>
        <w:t xml:space="preserve"> 106. </w:t>
      </w:r>
    </w:p>
  </w:footnote>
  <w:footnote w:id="601">
    <w:p w14:paraId="56C75A1E" w14:textId="77777777" w:rsidR="000438B1" w:rsidRPr="00EE7108" w:rsidRDefault="000438B1" w:rsidP="00EC7928">
      <w:pPr>
        <w:pStyle w:val="FootnoteText"/>
      </w:pPr>
      <w:r>
        <w:rPr>
          <w:rStyle w:val="FootnoteReference"/>
        </w:rPr>
        <w:footnoteRef/>
      </w:r>
      <w:r>
        <w:t xml:space="preserve"> Kidner, </w:t>
      </w:r>
      <w:r>
        <w:rPr>
          <w:i/>
        </w:rPr>
        <w:t>Genesis</w:t>
      </w:r>
      <w:r>
        <w:t>, 141.</w:t>
      </w:r>
    </w:p>
  </w:footnote>
  <w:footnote w:id="602">
    <w:p w14:paraId="38D909FD" w14:textId="77777777" w:rsidR="000438B1" w:rsidRPr="00EC7928" w:rsidRDefault="000438B1">
      <w:pPr>
        <w:pStyle w:val="FootnoteText"/>
      </w:pPr>
      <w:r>
        <w:rPr>
          <w:rStyle w:val="FootnoteReference"/>
        </w:rPr>
        <w:footnoteRef/>
      </w:r>
      <w:r>
        <w:t xml:space="preserve"> Cf. J. E. Cook, “Mothers and Wives,” </w:t>
      </w:r>
      <w:r>
        <w:rPr>
          <w:i/>
        </w:rPr>
        <w:t>Proceedings of the Great Lakes and Midwest Bible Societies</w:t>
      </w:r>
      <w:r>
        <w:t xml:space="preserve"> 27 (2007): 1-17 (6).</w:t>
      </w:r>
    </w:p>
  </w:footnote>
  <w:footnote w:id="603">
    <w:p w14:paraId="7961079F" w14:textId="77777777" w:rsidR="000438B1" w:rsidRPr="00F00400" w:rsidRDefault="000438B1">
      <w:pPr>
        <w:pStyle w:val="FootnoteText"/>
      </w:pPr>
      <w:r>
        <w:rPr>
          <w:rStyle w:val="FootnoteReference"/>
        </w:rPr>
        <w:footnoteRef/>
      </w:r>
      <w:r>
        <w:t xml:space="preserve"> Von Rad, </w:t>
      </w:r>
      <w:r>
        <w:rPr>
          <w:i/>
        </w:rPr>
        <w:t>Genesis</w:t>
      </w:r>
      <w:r>
        <w:t>, 228.</w:t>
      </w:r>
    </w:p>
  </w:footnote>
  <w:footnote w:id="604">
    <w:p w14:paraId="1A6E615D" w14:textId="77777777" w:rsidR="000438B1" w:rsidRPr="00090184" w:rsidRDefault="000438B1" w:rsidP="008A53A5">
      <w:pPr>
        <w:pStyle w:val="FootnoteText"/>
      </w:pPr>
      <w:r>
        <w:rPr>
          <w:rStyle w:val="FootnoteReference"/>
        </w:rPr>
        <w:footnoteRef/>
      </w:r>
      <w:r>
        <w:t xml:space="preserve"> Maher,</w:t>
      </w:r>
      <w:r w:rsidRPr="00090184">
        <w:rPr>
          <w:i/>
          <w:sz w:val="22"/>
        </w:rPr>
        <w:t xml:space="preserve"> </w:t>
      </w:r>
      <w:r w:rsidRPr="00090184">
        <w:rPr>
          <w:i/>
        </w:rPr>
        <w:t>Targum Pseudo-Jonathan: Genesis</w:t>
      </w:r>
      <w:r>
        <w:t>, 91.</w:t>
      </w:r>
    </w:p>
  </w:footnote>
  <w:footnote w:id="605">
    <w:p w14:paraId="1799F757" w14:textId="77777777" w:rsidR="000438B1" w:rsidRDefault="000438B1">
      <w:pPr>
        <w:pStyle w:val="FootnoteText"/>
      </w:pPr>
      <w:r>
        <w:rPr>
          <w:rStyle w:val="FootnoteReference"/>
        </w:rPr>
        <w:footnoteRef/>
      </w:r>
      <w:r>
        <w:t xml:space="preserve"> </w:t>
      </w:r>
      <w:r w:rsidRPr="00C56AFD">
        <w:t xml:space="preserve">Levenson, </w:t>
      </w:r>
      <w:r w:rsidRPr="00C56AFD">
        <w:rPr>
          <w:i/>
        </w:rPr>
        <w:t>Death and Resurrection of the Beloved Son</w:t>
      </w:r>
      <w:r w:rsidRPr="00C56AFD">
        <w:t>,</w:t>
      </w:r>
      <w:r>
        <w:t xml:space="preserve"> 109.</w:t>
      </w:r>
    </w:p>
  </w:footnote>
  <w:footnote w:id="606">
    <w:p w14:paraId="08B2942F" w14:textId="77777777" w:rsidR="000438B1" w:rsidRPr="004A27BD" w:rsidRDefault="000438B1">
      <w:pPr>
        <w:pStyle w:val="FootnoteText"/>
      </w:pPr>
      <w:r>
        <w:rPr>
          <w:rStyle w:val="FootnoteReference"/>
        </w:rPr>
        <w:footnoteRef/>
      </w:r>
      <w:r>
        <w:t xml:space="preserve"> Or perhaps the story can be read as incorporating people of the Ishmaelites’ lifestyle into Judah (so C. Horn (“Genesis 21:8-21,” </w:t>
      </w:r>
      <w:r>
        <w:rPr>
          <w:i/>
        </w:rPr>
        <w:t>Interpretation</w:t>
      </w:r>
      <w:r>
        <w:t xml:space="preserve"> 68 [2014]: 308-11).</w:t>
      </w:r>
    </w:p>
  </w:footnote>
  <w:footnote w:id="607">
    <w:p w14:paraId="45EB7ECE" w14:textId="77777777" w:rsidR="000438B1" w:rsidRDefault="000438B1" w:rsidP="00927C4A">
      <w:pPr>
        <w:pStyle w:val="FootnoteText"/>
      </w:pPr>
      <w:r>
        <w:rPr>
          <w:rStyle w:val="FootnoteReference"/>
        </w:rPr>
        <w:footnoteRef/>
      </w:r>
      <w:r>
        <w:t xml:space="preserve"> </w:t>
      </w:r>
      <w:r w:rsidRPr="0015126C">
        <w:t>Tamez, “The Woman Who Complicated the History of Salvation</w:t>
      </w:r>
      <w:r>
        <w:t>,” 17.</w:t>
      </w:r>
    </w:p>
  </w:footnote>
  <w:footnote w:id="608">
    <w:p w14:paraId="23857B18" w14:textId="77777777" w:rsidR="000438B1" w:rsidRPr="00A22B8F" w:rsidRDefault="000438B1" w:rsidP="0035538C">
      <w:pPr>
        <w:pStyle w:val="FootnoteText"/>
      </w:pPr>
      <w:r>
        <w:rPr>
          <w:rStyle w:val="FootnoteReference"/>
        </w:rPr>
        <w:footnoteRef/>
      </w:r>
      <w:r>
        <w:t xml:space="preserve"> Sherwood, “Hagar and Ishmael,”302.</w:t>
      </w:r>
    </w:p>
  </w:footnote>
  <w:footnote w:id="609">
    <w:p w14:paraId="766C735C" w14:textId="77777777" w:rsidR="000438B1" w:rsidRPr="002B3FE2" w:rsidRDefault="000438B1">
      <w:pPr>
        <w:pStyle w:val="FootnoteText"/>
      </w:pPr>
      <w:r>
        <w:rPr>
          <w:rStyle w:val="FootnoteReference"/>
        </w:rPr>
        <w:footnoteRef/>
      </w:r>
      <w:r>
        <w:t xml:space="preserve"> The ninth century monk Raban Maur boldly but plausibly hints that one could reverse Paul’s allegory: Sarah stands for the Jewish people, Hagar for the Gentiles (“Commentariorum in Genesim Libri Quattuor,” in </w:t>
      </w:r>
      <w:r>
        <w:rPr>
          <w:i/>
        </w:rPr>
        <w:t xml:space="preserve">PL </w:t>
      </w:r>
      <w:r>
        <w:t xml:space="preserve">107:439-670 [544-45]). See Thompson, </w:t>
      </w:r>
      <w:r>
        <w:rPr>
          <w:i/>
        </w:rPr>
        <w:t>Reading the Bible with the Dead</w:t>
      </w:r>
      <w:r>
        <w:t xml:space="preserve">, 21; Thompson surveys interpretation of the Hagar story through church history (see also J. L. Thompson, “Hagar, Victim or Villain? </w:t>
      </w:r>
      <w:r>
        <w:rPr>
          <w:i/>
        </w:rPr>
        <w:t xml:space="preserve">CBQ </w:t>
      </w:r>
      <w:r>
        <w:t>59 [1997]: 213-33).</w:t>
      </w:r>
    </w:p>
  </w:footnote>
  <w:footnote w:id="610">
    <w:p w14:paraId="3992780C" w14:textId="77777777" w:rsidR="000438B1" w:rsidRDefault="000438B1">
      <w:pPr>
        <w:pStyle w:val="FootnoteText"/>
      </w:pPr>
      <w:r>
        <w:rPr>
          <w:rStyle w:val="FootnoteReference"/>
        </w:rPr>
        <w:footnoteRef/>
      </w:r>
      <w:r>
        <w:t xml:space="preserve"> Willet, </w:t>
      </w:r>
      <w:r w:rsidRPr="00494C53">
        <w:rPr>
          <w:i/>
        </w:rPr>
        <w:t>Hexapla in Genesin &amp; Exodum</w:t>
      </w:r>
      <w:r w:rsidRPr="00494C53">
        <w:t>,</w:t>
      </w:r>
      <w:r>
        <w:t xml:space="preserve"> 197.</w:t>
      </w:r>
    </w:p>
  </w:footnote>
  <w:footnote w:id="611">
    <w:p w14:paraId="4314464A" w14:textId="77777777" w:rsidR="000438B1" w:rsidRPr="00021A1C" w:rsidRDefault="000438B1" w:rsidP="00A769D3">
      <w:pPr>
        <w:pStyle w:val="FootnoteText"/>
      </w:pPr>
      <w:r>
        <w:rPr>
          <w:rStyle w:val="FootnoteReference"/>
        </w:rPr>
        <w:footnoteRef/>
      </w:r>
      <w:r>
        <w:t xml:space="preserve"> Cf. F. García Martínez, “Hagar in </w:t>
      </w:r>
      <w:r>
        <w:rPr>
          <w:i/>
        </w:rPr>
        <w:t xml:space="preserve">Targum Pseudo-Jonathan,” </w:t>
      </w:r>
      <w:r>
        <w:t>in Goodman et al. (</w:t>
      </w:r>
      <w:proofErr w:type="gramStart"/>
      <w:r>
        <w:t>eds</w:t>
      </w:r>
      <w:proofErr w:type="gramEnd"/>
      <w:r>
        <w:t xml:space="preserve">), </w:t>
      </w:r>
      <w:r>
        <w:rPr>
          <w:i/>
        </w:rPr>
        <w:t xml:space="preserve">Abraham, the </w:t>
      </w:r>
      <w:r w:rsidRPr="00021A1C">
        <w:rPr>
          <w:i/>
        </w:rPr>
        <w:t>Nations, and the Hagarites</w:t>
      </w:r>
      <w:r>
        <w:t>, 263-74 (263).</w:t>
      </w:r>
    </w:p>
  </w:footnote>
  <w:footnote w:id="612">
    <w:p w14:paraId="7BD96E3B" w14:textId="77777777" w:rsidR="000438B1" w:rsidRDefault="000438B1">
      <w:pPr>
        <w:pStyle w:val="FootnoteText"/>
      </w:pPr>
      <w:r>
        <w:rPr>
          <w:rStyle w:val="FootnoteReference"/>
        </w:rPr>
        <w:footnoteRef/>
      </w:r>
      <w:r>
        <w:t xml:space="preserve"> </w:t>
      </w:r>
      <w:r w:rsidRPr="000F263A">
        <w:t>Fretheim, “Genesis,</w:t>
      </w:r>
      <w:r>
        <w:t>” 490.</w:t>
      </w:r>
    </w:p>
  </w:footnote>
  <w:footnote w:id="613">
    <w:p w14:paraId="208386A2" w14:textId="307F7B62" w:rsidR="000438B1" w:rsidRPr="00CF08BD" w:rsidRDefault="000438B1">
      <w:pPr>
        <w:pStyle w:val="FootnoteText"/>
      </w:pPr>
      <w:r>
        <w:rPr>
          <w:rStyle w:val="FootnoteReference"/>
        </w:rPr>
        <w:footnoteRef/>
      </w:r>
      <w:r>
        <w:t xml:space="preserve"> See I. Pardes, “Modern Literature,” in Hendel (ed.), </w:t>
      </w:r>
      <w:r>
        <w:rPr>
          <w:i/>
        </w:rPr>
        <w:t>Reading Genesis</w:t>
      </w:r>
      <w:r>
        <w:t>, 176-95.</w:t>
      </w:r>
    </w:p>
  </w:footnote>
  <w:footnote w:id="614">
    <w:p w14:paraId="5F66B61B" w14:textId="77777777" w:rsidR="000438B1" w:rsidRPr="00DA38E8" w:rsidRDefault="000438B1" w:rsidP="007D6930">
      <w:pPr>
        <w:pStyle w:val="FootnoteText"/>
      </w:pPr>
      <w:r>
        <w:rPr>
          <w:rStyle w:val="FootnoteReference"/>
        </w:rPr>
        <w:footnoteRef/>
      </w:r>
      <w:r>
        <w:t xml:space="preserve"> Cf. D. S. Williams, </w:t>
      </w:r>
      <w:r>
        <w:rPr>
          <w:i/>
        </w:rPr>
        <w:t xml:space="preserve">Sisters in the Wilderness </w:t>
      </w:r>
      <w:r>
        <w:t xml:space="preserve">(Maryknoll, NY: Orbis, 1993), 4 (see further15-33); Trible, </w:t>
      </w:r>
      <w:r>
        <w:rPr>
          <w:i/>
        </w:rPr>
        <w:t>Texts of Terror</w:t>
      </w:r>
      <w:r>
        <w:t xml:space="preserve">, 9-35; </w:t>
      </w:r>
      <w:r w:rsidRPr="000232AD">
        <w:t>Tamez, “The Woman Who Complicated the History of Salvation</w:t>
      </w:r>
      <w:r>
        <w:t>.”</w:t>
      </w:r>
    </w:p>
  </w:footnote>
  <w:footnote w:id="615">
    <w:p w14:paraId="02652093" w14:textId="1C898915" w:rsidR="000438B1" w:rsidRPr="003127D1" w:rsidRDefault="000438B1">
      <w:pPr>
        <w:pStyle w:val="FootnoteText"/>
      </w:pPr>
      <w:r>
        <w:rPr>
          <w:rStyle w:val="FootnoteReference"/>
        </w:rPr>
        <w:footnoteRef/>
      </w:r>
      <w:r>
        <w:t xml:space="preserve"> Vg has “God is with you” (cf. e.g., Zech 8:23); MT and LXX have no verb and are thus ambiguous. The Hebrew corresponds to (e.g.) Ruth 2:4, where it is a greeting, and so it is here. Contrast 26:28 where Abimelek and Pikol are looking back over what has happened in the meantime and the verb </w:t>
      </w:r>
      <w:r>
        <w:rPr>
          <w:i/>
        </w:rPr>
        <w:t>hāyāh</w:t>
      </w:r>
      <w:r>
        <w:t xml:space="preserve"> appears.</w:t>
      </w:r>
    </w:p>
  </w:footnote>
  <w:footnote w:id="616">
    <w:p w14:paraId="54D7B893" w14:textId="305895CC" w:rsidR="000438B1" w:rsidRDefault="000438B1" w:rsidP="00F25222">
      <w:pPr>
        <w:pStyle w:val="FootnoteText"/>
      </w:pPr>
      <w:r>
        <w:rPr>
          <w:rStyle w:val="FootnoteReference"/>
        </w:rPr>
        <w:footnoteRef/>
      </w:r>
      <w:r>
        <w:t xml:space="preserve"> The rest of the oath is left to speak for itself (cf. 14:23).</w:t>
      </w:r>
    </w:p>
  </w:footnote>
  <w:footnote w:id="617">
    <w:p w14:paraId="7C9F570E" w14:textId="77777777" w:rsidR="000438B1" w:rsidRDefault="000438B1">
      <w:pPr>
        <w:pStyle w:val="FootnoteText"/>
      </w:pPr>
      <w:r>
        <w:rPr>
          <w:rStyle w:val="FootnoteReference"/>
        </w:rPr>
        <w:footnoteRef/>
      </w:r>
      <w:r>
        <w:t xml:space="preserve"> The pronoun is expressed, underlining the speaker’s commitment to the solemn promise (GK 135a).</w:t>
      </w:r>
    </w:p>
  </w:footnote>
  <w:footnote w:id="618">
    <w:p w14:paraId="07DBA203" w14:textId="5AA47AA3" w:rsidR="000438B1" w:rsidRPr="0049412C" w:rsidRDefault="000438B1">
      <w:pPr>
        <w:pStyle w:val="FootnoteText"/>
      </w:pPr>
      <w:r>
        <w:rPr>
          <w:rStyle w:val="FootnoteReference"/>
        </w:rPr>
        <w:footnoteRef/>
      </w:r>
      <w:r>
        <w:t xml:space="preserve"> By regular syntax </w:t>
      </w:r>
      <w:r>
        <w:rPr>
          <w:i/>
        </w:rPr>
        <w:t>wᵉhôkiaḥ</w:t>
      </w:r>
      <w:r>
        <w:t xml:space="preserve"> should be past imperfect in meaning (GK 112rr sees it as frequentative), but this understanding makes poor sense in the context—vv. 25b-26 seem to refer to one event. </w:t>
      </w:r>
      <w:r w:rsidRPr="00863764">
        <w:rPr>
          <w:i/>
        </w:rPr>
        <w:t>TTH</w:t>
      </w:r>
      <w:r>
        <w:t xml:space="preserve"> 133 sees the verb as another example of “</w:t>
      </w:r>
      <w:r w:rsidRPr="00196C09">
        <w:t>isolated</w:t>
      </w:r>
      <w:r>
        <w:t xml:space="preserve"> irregularities” like 15:6 (see the note); cf. H. W. </w:t>
      </w:r>
      <w:r w:rsidRPr="000002BA">
        <w:rPr>
          <w:rStyle w:val="Strong"/>
          <w:b w:val="0"/>
        </w:rPr>
        <w:t>Hoffmann</w:t>
      </w:r>
      <w:r>
        <w:t xml:space="preserve">, “Die Afformativkonjugation mit präfigiertem waw in der Genesis,” </w:t>
      </w:r>
      <w:r w:rsidRPr="000002BA">
        <w:t xml:space="preserve">in Beck/Schorn (eds.), </w:t>
      </w:r>
      <w:r w:rsidRPr="000002BA">
        <w:rPr>
          <w:i/>
        </w:rPr>
        <w:t>Auf dem Weg zur Endgestalt von Genesis bis II Regum</w:t>
      </w:r>
      <w:r w:rsidRPr="000002BA">
        <w:t>,</w:t>
      </w:r>
      <w:r>
        <w:t xml:space="preserve"> 75-88. DG 84b suggests that such an instance “identifies an event as going on at roughly the same time as a previous event.” More specifically, this instance indicates that the reproof did not happen after the previous event (</w:t>
      </w:r>
      <w:r>
        <w:rPr>
          <w:i/>
        </w:rPr>
        <w:t>wayyiqtol</w:t>
      </w:r>
      <w:r>
        <w:t xml:space="preserve"> would then have been appropriate).</w:t>
      </w:r>
    </w:p>
  </w:footnote>
  <w:footnote w:id="619">
    <w:p w14:paraId="0FE3031E" w14:textId="77777777" w:rsidR="000438B1" w:rsidRDefault="000438B1">
      <w:pPr>
        <w:pStyle w:val="FootnoteText"/>
      </w:pPr>
      <w:r>
        <w:rPr>
          <w:rStyle w:val="FootnoteReference"/>
        </w:rPr>
        <w:footnoteRef/>
      </w:r>
      <w:r>
        <w:t xml:space="preserve"> LXX “wells” assimilates to 26:15, 18 (Seebass, </w:t>
      </w:r>
      <w:r w:rsidRPr="00CD3E96">
        <w:rPr>
          <w:i/>
        </w:rPr>
        <w:t>Genesis</w:t>
      </w:r>
      <w:r>
        <w:t xml:space="preserve"> 2/1:188), as LXX imports Ahuzzat from 26:26.</w:t>
      </w:r>
    </w:p>
  </w:footnote>
  <w:footnote w:id="620">
    <w:p w14:paraId="12FB47F4" w14:textId="4BF3A9E1" w:rsidR="000438B1" w:rsidRPr="00412E01" w:rsidRDefault="000438B1">
      <w:pPr>
        <w:pStyle w:val="FootnoteText"/>
      </w:pPr>
      <w:r>
        <w:rPr>
          <w:rStyle w:val="FootnoteReference"/>
        </w:rPr>
        <w:footnoteRef/>
      </w:r>
      <w:r>
        <w:t xml:space="preserve"> LXX, Vg take </w:t>
      </w:r>
      <w:r w:rsidRPr="00453B50">
        <w:rPr>
          <w:i/>
        </w:rPr>
        <w:t>’ešel</w:t>
      </w:r>
      <w:r>
        <w:t xml:space="preserve"> to denote a field or grove (cf. Aq), TgPsJ, TgNeoph “orchard,” Sym, TgOnq “plant,” 1 Chron 10:12 (paralleling 1 Sam 31:13) a tree. Some of the variants perhaps aim to avoid giving any impression of wrongful nature-type worship (see the footnote to 12:6) (cf. Dillmann, </w:t>
      </w:r>
      <w:r w:rsidRPr="00A7271B">
        <w:rPr>
          <w:i/>
        </w:rPr>
        <w:t>Genesis</w:t>
      </w:r>
      <w:r>
        <w:t xml:space="preserve"> 2:138). M. Umbarger argues that the tamarisk had positive “</w:t>
      </w:r>
      <w:r w:rsidRPr="00412E01">
        <w:rPr>
          <w:rFonts w:asciiTheme="minorHAnsi" w:eastAsia="TimesNewRomanPSMT" w:hAnsiTheme="minorHAnsi" w:cs="TimesNewRomanPSMT"/>
        </w:rPr>
        <w:t>purifying, sanctifying properties</w:t>
      </w:r>
      <w:r>
        <w:rPr>
          <w:rFonts w:asciiTheme="minorHAnsi" w:eastAsia="TimesNewRomanPSMT" w:hAnsiTheme="minorHAnsi" w:cs="TimesNewRomanPSMT"/>
        </w:rPr>
        <w:t xml:space="preserve">” (“Abraham’s Tamarisk,” </w:t>
      </w:r>
      <w:r>
        <w:rPr>
          <w:rFonts w:asciiTheme="minorHAnsi" w:eastAsia="TimesNewRomanPSMT" w:hAnsiTheme="minorHAnsi" w:cs="TimesNewRomanPSMT"/>
          <w:i/>
        </w:rPr>
        <w:t xml:space="preserve">JESOT </w:t>
      </w:r>
      <w:r>
        <w:rPr>
          <w:rFonts w:asciiTheme="minorHAnsi" w:eastAsia="TimesNewRomanPSMT" w:hAnsiTheme="minorHAnsi" w:cs="TimesNewRomanPSMT"/>
        </w:rPr>
        <w:t>1 [2012]: 189-199 [199]).</w:t>
      </w:r>
    </w:p>
  </w:footnote>
  <w:footnote w:id="621">
    <w:p w14:paraId="4D041C01" w14:textId="77777777" w:rsidR="000438B1" w:rsidRPr="006F30A5" w:rsidRDefault="000438B1" w:rsidP="002F6DFD">
      <w:pPr>
        <w:pStyle w:val="FootnoteText"/>
      </w:pPr>
      <w:r>
        <w:rPr>
          <w:rStyle w:val="FootnoteReference"/>
        </w:rPr>
        <w:footnoteRef/>
      </w:r>
      <w:r>
        <w:t xml:space="preserve"> Cf. Wenham, </w:t>
      </w:r>
      <w:r>
        <w:rPr>
          <w:i/>
        </w:rPr>
        <w:t>Genesis 16—50</w:t>
      </w:r>
      <w:r>
        <w:t>, 90.”</w:t>
      </w:r>
    </w:p>
  </w:footnote>
  <w:footnote w:id="622">
    <w:p w14:paraId="31B32D54" w14:textId="77777777" w:rsidR="000438B1" w:rsidRPr="00374490" w:rsidRDefault="000438B1">
      <w:pPr>
        <w:pStyle w:val="FootnoteText"/>
      </w:pPr>
      <w:r>
        <w:rPr>
          <w:rStyle w:val="FootnoteReference"/>
        </w:rPr>
        <w:footnoteRef/>
      </w:r>
      <w:r>
        <w:t xml:space="preserve"> Westermann, </w:t>
      </w:r>
      <w:r>
        <w:rPr>
          <w:i/>
        </w:rPr>
        <w:t>Genesis 12—36</w:t>
      </w:r>
      <w:r>
        <w:t>, 346.</w:t>
      </w:r>
    </w:p>
  </w:footnote>
  <w:footnote w:id="623">
    <w:p w14:paraId="41DEB69F" w14:textId="77777777" w:rsidR="000438B1" w:rsidRDefault="000438B1">
      <w:pPr>
        <w:pStyle w:val="FootnoteText"/>
      </w:pPr>
      <w:r>
        <w:rPr>
          <w:rStyle w:val="FootnoteReference"/>
        </w:rPr>
        <w:footnoteRef/>
      </w:r>
      <w:r>
        <w:t xml:space="preserve"> See e.g., DG 156.</w:t>
      </w:r>
    </w:p>
  </w:footnote>
  <w:footnote w:id="624">
    <w:p w14:paraId="1810DA11" w14:textId="77777777" w:rsidR="000438B1" w:rsidRPr="006F30A5" w:rsidRDefault="000438B1">
      <w:pPr>
        <w:pStyle w:val="FootnoteText"/>
      </w:pPr>
      <w:r>
        <w:rPr>
          <w:rStyle w:val="FootnoteReference"/>
        </w:rPr>
        <w:footnoteRef/>
      </w:r>
      <w:r>
        <w:t xml:space="preserve"> </w:t>
      </w:r>
      <w:r w:rsidRPr="006F30A5">
        <w:t xml:space="preserve">Wenham, </w:t>
      </w:r>
      <w:r w:rsidRPr="006F30A5">
        <w:rPr>
          <w:i/>
        </w:rPr>
        <w:t>Genesis 16—50</w:t>
      </w:r>
      <w:r>
        <w:t xml:space="preserve">, 92. </w:t>
      </w:r>
    </w:p>
  </w:footnote>
  <w:footnote w:id="625">
    <w:p w14:paraId="598A6BA8" w14:textId="77777777" w:rsidR="000438B1" w:rsidRPr="00F13B3E" w:rsidRDefault="000438B1">
      <w:pPr>
        <w:pStyle w:val="FootnoteText"/>
      </w:pPr>
      <w:r>
        <w:rPr>
          <w:rStyle w:val="FootnoteReference"/>
        </w:rPr>
        <w:footnoteRef/>
      </w:r>
      <w:r>
        <w:t xml:space="preserve"> Cf. von rad, </w:t>
      </w:r>
      <w:r>
        <w:rPr>
          <w:i/>
        </w:rPr>
        <w:t>Genesis</w:t>
      </w:r>
      <w:r>
        <w:t>, 232.</w:t>
      </w:r>
    </w:p>
  </w:footnote>
  <w:footnote w:id="626">
    <w:p w14:paraId="2E50EFB0" w14:textId="77777777" w:rsidR="000438B1" w:rsidRPr="00FD4C78" w:rsidRDefault="000438B1">
      <w:pPr>
        <w:pStyle w:val="FootnoteText"/>
      </w:pPr>
      <w:r>
        <w:rPr>
          <w:rStyle w:val="FootnoteReference"/>
        </w:rPr>
        <w:footnoteRef/>
      </w:r>
      <w:r>
        <w:t xml:space="preserve"> See G. L. Robinson, “The Wells of Beersheba,” </w:t>
      </w:r>
      <w:r>
        <w:rPr>
          <w:i/>
        </w:rPr>
        <w:t xml:space="preserve">The Biblical World </w:t>
      </w:r>
      <w:r>
        <w:t xml:space="preserve">17 (1901): 247-55 (with photographs); cf. Driver, </w:t>
      </w:r>
      <w:r>
        <w:rPr>
          <w:i/>
        </w:rPr>
        <w:t>Genesis</w:t>
      </w:r>
      <w:r>
        <w:t>, 216.</w:t>
      </w:r>
    </w:p>
  </w:footnote>
  <w:footnote w:id="627">
    <w:p w14:paraId="7207FCBD" w14:textId="77777777" w:rsidR="000438B1" w:rsidRPr="00995E32" w:rsidRDefault="000438B1">
      <w:pPr>
        <w:pStyle w:val="FootnoteText"/>
      </w:pPr>
      <w:r>
        <w:rPr>
          <w:rStyle w:val="FootnoteReference"/>
        </w:rPr>
        <w:footnoteRef/>
      </w:r>
      <w:r>
        <w:t xml:space="preserve"> Seebass, </w:t>
      </w:r>
      <w:r w:rsidRPr="00CD3E96">
        <w:rPr>
          <w:i/>
        </w:rPr>
        <w:t>Genesis</w:t>
      </w:r>
      <w:r>
        <w:t xml:space="preserve"> 2/1:189.</w:t>
      </w:r>
    </w:p>
  </w:footnote>
  <w:footnote w:id="628">
    <w:p w14:paraId="3777DBA4" w14:textId="77777777" w:rsidR="000438B1" w:rsidRDefault="000438B1">
      <w:pPr>
        <w:pStyle w:val="FootnoteText"/>
      </w:pPr>
      <w:r>
        <w:rPr>
          <w:rStyle w:val="FootnoteReference"/>
        </w:rPr>
        <w:footnoteRef/>
      </w:r>
      <w:r>
        <w:t xml:space="preserve"> Cf. Fretheim, “Genesis,” 491, 492.</w:t>
      </w:r>
    </w:p>
  </w:footnote>
  <w:footnote w:id="629">
    <w:p w14:paraId="0C31FB86" w14:textId="114C9215" w:rsidR="000438B1" w:rsidRDefault="000438B1" w:rsidP="00D65833">
      <w:pPr>
        <w:pStyle w:val="FootnoteText"/>
      </w:pPr>
      <w:r>
        <w:rPr>
          <w:rStyle w:val="FootnoteReference"/>
        </w:rPr>
        <w:footnoteRef/>
      </w:r>
      <w:r>
        <w:t xml:space="preserve"> On this expression, see the footnote and the comment on 4:26.</w:t>
      </w:r>
    </w:p>
  </w:footnote>
  <w:footnote w:id="630">
    <w:p w14:paraId="748AE818" w14:textId="77777777" w:rsidR="000438B1" w:rsidRPr="00A65F0E" w:rsidRDefault="000438B1" w:rsidP="00737693">
      <w:pPr>
        <w:pStyle w:val="FootnoteText"/>
        <w:rPr>
          <w:i/>
        </w:rPr>
      </w:pPr>
      <w:r>
        <w:rPr>
          <w:rStyle w:val="FootnoteReference"/>
        </w:rPr>
        <w:footnoteRef/>
      </w:r>
      <w:r>
        <w:t xml:space="preserve"> Cf. Zimmerli, </w:t>
      </w:r>
      <w:r w:rsidRPr="00A65F0E">
        <w:rPr>
          <w:i/>
        </w:rPr>
        <w:t>1. Mose 12—25</w:t>
      </w:r>
      <w:r w:rsidRPr="00A65F0E">
        <w:t>,</w:t>
      </w:r>
      <w:r>
        <w:t xml:space="preserve"> 108.</w:t>
      </w:r>
    </w:p>
  </w:footnote>
  <w:footnote w:id="631">
    <w:p w14:paraId="0FF6C533" w14:textId="77777777" w:rsidR="000438B1" w:rsidRPr="00245010" w:rsidRDefault="000438B1" w:rsidP="00182164">
      <w:pPr>
        <w:pStyle w:val="FootnoteText"/>
      </w:pPr>
      <w:r>
        <w:rPr>
          <w:rStyle w:val="FootnoteReference"/>
        </w:rPr>
        <w:footnoteRef/>
      </w:r>
      <w:r>
        <w:t xml:space="preserve"> Cf. Coats, </w:t>
      </w:r>
      <w:r>
        <w:rPr>
          <w:i/>
        </w:rPr>
        <w:t>Genesis</w:t>
      </w:r>
      <w:r>
        <w:t>, 156.</w:t>
      </w:r>
    </w:p>
  </w:footnote>
  <w:footnote w:id="632">
    <w:p w14:paraId="08F7FF56" w14:textId="77777777" w:rsidR="000438B1" w:rsidRDefault="000438B1">
      <w:pPr>
        <w:pStyle w:val="FootnoteText"/>
      </w:pPr>
      <w:r>
        <w:rPr>
          <w:rStyle w:val="FootnoteReference"/>
        </w:rPr>
        <w:footnoteRef/>
      </w:r>
      <w:r>
        <w:t xml:space="preserve"> J. L. Ska, “Genesis 22,” </w:t>
      </w:r>
      <w:r>
        <w:rPr>
          <w:i/>
        </w:rPr>
        <w:t xml:space="preserve">Biblica </w:t>
      </w:r>
      <w:r>
        <w:t>94 (2013): 257-67 (266).</w:t>
      </w:r>
    </w:p>
  </w:footnote>
  <w:footnote w:id="633">
    <w:p w14:paraId="2D0B367F" w14:textId="707B4351" w:rsidR="000438B1" w:rsidRDefault="000438B1">
      <w:pPr>
        <w:pStyle w:val="FootnoteText"/>
      </w:pPr>
      <w:r>
        <w:rPr>
          <w:rStyle w:val="FootnoteReference"/>
        </w:rPr>
        <w:footnoteRef/>
      </w:r>
      <w:r>
        <w:t xml:space="preserve"> Literally, “It happened, after these things.”</w:t>
      </w:r>
      <w:r w:rsidRPr="005230F8">
        <w:t xml:space="preserve"> Chrysostom assumes that these events followed on the events in 21:1-21</w:t>
      </w:r>
      <w:r>
        <w:t xml:space="preserve"> (</w:t>
      </w:r>
      <w:r w:rsidRPr="005230F8">
        <w:rPr>
          <w:i/>
        </w:rPr>
        <w:t>Homilies on Genesis 46-67</w:t>
      </w:r>
      <w:r>
        <w:t>, 14-15) but if anything this expression avoids any implication of this kind and suggests a chronologically indeterminate sequence (see 22:20; 39:7; 40:1; 48:1).</w:t>
      </w:r>
    </w:p>
  </w:footnote>
  <w:footnote w:id="634">
    <w:p w14:paraId="22367F14" w14:textId="0CF7ABFF" w:rsidR="000438B1" w:rsidRPr="0078071E" w:rsidRDefault="000438B1">
      <w:pPr>
        <w:pStyle w:val="FootnoteText"/>
      </w:pPr>
      <w:r>
        <w:rPr>
          <w:rStyle w:val="FootnoteReference"/>
        </w:rPr>
        <w:footnoteRef/>
      </w:r>
      <w:r>
        <w:t xml:space="preserve"> While the word order is that of a circumstantial clause (cf. Dillmann, </w:t>
      </w:r>
      <w:r>
        <w:rPr>
          <w:i/>
        </w:rPr>
        <w:t>Genesis</w:t>
      </w:r>
      <w:r>
        <w:t xml:space="preserve"> 2:141), a number of instances of this order following a </w:t>
      </w:r>
      <w:r>
        <w:rPr>
          <w:i/>
        </w:rPr>
        <w:t>wayᵉhî</w:t>
      </w:r>
      <w:r>
        <w:t xml:space="preserve"> clause look more like main clauses (e.g., 7:10; 41:1; cf. </w:t>
      </w:r>
      <w:r>
        <w:rPr>
          <w:i/>
        </w:rPr>
        <w:t>TTH</w:t>
      </w:r>
      <w:r>
        <w:t xml:space="preserve"> 78). Placing the subject before the verb often does imply emphasis and/or the introduction of something “new or unexpected” (Bandstra, “Word Order and Emphasis,” 116), and this consideration combined with Genesis’s use of</w:t>
      </w:r>
      <w:r w:rsidRPr="0078071E">
        <w:t xml:space="preserve"> </w:t>
      </w:r>
      <w:r w:rsidRPr="0078071E">
        <w:rPr>
          <w:i/>
        </w:rPr>
        <w:t>hā’ĕlōhîm</w:t>
      </w:r>
      <w:r w:rsidRPr="0078071E">
        <w:t xml:space="preserve"> rather than simple </w:t>
      </w:r>
      <w:r w:rsidRPr="0078071E">
        <w:rPr>
          <w:i/>
        </w:rPr>
        <w:t>’ĕlōhîm</w:t>
      </w:r>
      <w:r>
        <w:t xml:space="preserve"> suggests some emphasis on the fact that—yes, it was God, </w:t>
      </w:r>
      <w:r>
        <w:rPr>
          <w:i/>
        </w:rPr>
        <w:t>the</w:t>
      </w:r>
      <w:r>
        <w:t xml:space="preserve"> God, who set this sequence of events going (cf. von Rad, </w:t>
      </w:r>
      <w:r>
        <w:rPr>
          <w:i/>
        </w:rPr>
        <w:t>Genesis</w:t>
      </w:r>
      <w:r>
        <w:t xml:space="preserve">, 233; Hamilton, </w:t>
      </w:r>
      <w:r>
        <w:rPr>
          <w:i/>
        </w:rPr>
        <w:t>Genesis 18—50</w:t>
      </w:r>
      <w:r>
        <w:t>, 100).</w:t>
      </w:r>
    </w:p>
  </w:footnote>
  <w:footnote w:id="635">
    <w:p w14:paraId="1FB5ED0C" w14:textId="77777777" w:rsidR="000438B1" w:rsidRPr="001D54D0" w:rsidRDefault="000438B1">
      <w:pPr>
        <w:pStyle w:val="FootnoteText"/>
      </w:pPr>
      <w:r>
        <w:rPr>
          <w:rStyle w:val="FootnoteReference"/>
        </w:rPr>
        <w:footnoteRef/>
      </w:r>
      <w:r>
        <w:t xml:space="preserve"> Or, to be more idiomatic, “Yes?” (cf. Speiser’s comments, </w:t>
      </w:r>
      <w:r>
        <w:rPr>
          <w:i/>
        </w:rPr>
        <w:t>Genesis</w:t>
      </w:r>
      <w:r>
        <w:t>, 162).</w:t>
      </w:r>
    </w:p>
  </w:footnote>
  <w:footnote w:id="636">
    <w:p w14:paraId="2153A37A" w14:textId="77777777" w:rsidR="000438B1" w:rsidRPr="000B79EA" w:rsidRDefault="000438B1">
      <w:pPr>
        <w:pStyle w:val="FootnoteText"/>
      </w:pPr>
      <w:r>
        <w:rPr>
          <w:rStyle w:val="FootnoteReference"/>
        </w:rPr>
        <w:footnoteRef/>
      </w:r>
      <w:r>
        <w:t xml:space="preserve"> LXX </w:t>
      </w:r>
      <w:r>
        <w:rPr>
          <w:i/>
        </w:rPr>
        <w:t>agapēton</w:t>
      </w:r>
      <w:r>
        <w:t xml:space="preserve">, “beloved,” anticipating the verb that follows, implies </w:t>
      </w:r>
      <w:r>
        <w:rPr>
          <w:i/>
        </w:rPr>
        <w:t>yᵉdîdᵉkā</w:t>
      </w:r>
      <w:r>
        <w:t xml:space="preserve"> for the numerically inaccurate </w:t>
      </w:r>
      <w:r>
        <w:rPr>
          <w:i/>
        </w:rPr>
        <w:t>yᵉḥîdᵉkā</w:t>
      </w:r>
      <w:r>
        <w:t>.</w:t>
      </w:r>
    </w:p>
  </w:footnote>
  <w:footnote w:id="637">
    <w:p w14:paraId="20B3490D" w14:textId="77777777" w:rsidR="000438B1" w:rsidRPr="00197432" w:rsidRDefault="000438B1">
      <w:pPr>
        <w:pStyle w:val="FootnoteText"/>
      </w:pPr>
      <w:r>
        <w:rPr>
          <w:rStyle w:val="FootnoteReference"/>
        </w:rPr>
        <w:footnoteRef/>
      </w:r>
      <w:r>
        <w:t xml:space="preserve"> Since Tyndale, English translations have transliterated </w:t>
      </w:r>
      <w:r w:rsidRPr="00C81582">
        <w:rPr>
          <w:i/>
        </w:rPr>
        <w:t>mōriyyāh</w:t>
      </w:r>
      <w:r>
        <w:t>, as Vg does at 2 Chron 3:1 (</w:t>
      </w:r>
      <w:r w:rsidRPr="00A646F1">
        <w:t>TgNeoph ha</w:t>
      </w:r>
      <w:r>
        <w:t xml:space="preserve">s “Moriyyah Mountain” here), but this innovation seems implausible. The </w:t>
      </w:r>
      <w:r w:rsidRPr="00C81582">
        <w:t xml:space="preserve">article on </w:t>
      </w:r>
      <w:r w:rsidRPr="00C81582">
        <w:rPr>
          <w:i/>
        </w:rPr>
        <w:t>hammōriyyāh</w:t>
      </w:r>
      <w:r>
        <w:t xml:space="preserve"> works against the assumption that the term is a name, as does the lack of reference anywhere else to “the Moriyyah region</w:t>
      </w:r>
      <w:r w:rsidRPr="00C81582">
        <w:t>.</w:t>
      </w:r>
      <w:r>
        <w:t>”</w:t>
      </w:r>
      <w:r w:rsidRPr="00C81582">
        <w:t xml:space="preserve"> </w:t>
      </w:r>
      <w:r w:rsidRPr="008E7E1C">
        <w:t>“Moriah” was never in common use as a name</w:t>
      </w:r>
      <w:r>
        <w:t xml:space="preserve"> (c</w:t>
      </w:r>
      <w:r w:rsidRPr="008E7E1C">
        <w:t xml:space="preserve">f. Dillmann, </w:t>
      </w:r>
      <w:r w:rsidRPr="008E7E1C">
        <w:rPr>
          <w:i/>
        </w:rPr>
        <w:t>Genesis</w:t>
      </w:r>
      <w:r w:rsidRPr="008E7E1C">
        <w:t xml:space="preserve"> 2:142</w:t>
      </w:r>
      <w:r>
        <w:t>).</w:t>
      </w:r>
      <w:r>
        <w:rPr>
          <w:i/>
        </w:rPr>
        <w:t xml:space="preserve"> </w:t>
      </w:r>
      <w:r>
        <w:t xml:space="preserve">The translation “epiphany” (for which </w:t>
      </w:r>
      <w:r w:rsidRPr="00404140">
        <w:t>cf. Luther’s comment on v. 14</w:t>
      </w:r>
      <w:r>
        <w:t xml:space="preserve"> in </w:t>
      </w:r>
      <w:r w:rsidRPr="00404140">
        <w:rPr>
          <w:i/>
        </w:rPr>
        <w:t>Genesis 21—25</w:t>
      </w:r>
      <w:r w:rsidRPr="00404140">
        <w:t>, 139</w:t>
      </w:r>
      <w:r>
        <w:t xml:space="preserve">) assumes a link with the key role of the verb </w:t>
      </w:r>
      <w:r>
        <w:rPr>
          <w:i/>
        </w:rPr>
        <w:t xml:space="preserve">rā’āh </w:t>
      </w:r>
      <w:r>
        <w:t>in the chapter (cf. Vg; Sym; and SP’</w:t>
      </w:r>
      <w:r w:rsidRPr="00404140">
        <w:t xml:space="preserve">s </w:t>
      </w:r>
      <w:r w:rsidRPr="00404140">
        <w:rPr>
          <w:i/>
        </w:rPr>
        <w:t>hmwr’h</w:t>
      </w:r>
      <w:r>
        <w:t>,</w:t>
      </w:r>
      <w:r w:rsidRPr="00404140">
        <w:t xml:space="preserve"> “the region of the vision,” which </w:t>
      </w:r>
      <w:r>
        <w:t xml:space="preserve">for SP </w:t>
      </w:r>
      <w:r w:rsidRPr="00404140">
        <w:t>also opens up the poss</w:t>
      </w:r>
      <w:r>
        <w:t>ibility of a connection with Shechem: see 12:6);</w:t>
      </w:r>
      <w:r w:rsidRPr="00404140">
        <w:t xml:space="preserve"> </w:t>
      </w:r>
      <w:r>
        <w:t xml:space="preserve">this link also appears in 2 Chron 3:1. Aq has “light,” deriving the word from </w:t>
      </w:r>
      <w:r>
        <w:rPr>
          <w:i/>
        </w:rPr>
        <w:t>’ôr</w:t>
      </w:r>
      <w:r>
        <w:t xml:space="preserve">. TgOnq has “service” in the sense of worship, reading back from v. 14 where its expansive rendering makes the connection with the temple more explicit, and where it is clearer that Tg has understood the forms from </w:t>
      </w:r>
      <w:r>
        <w:rPr>
          <w:i/>
        </w:rPr>
        <w:t xml:space="preserve">rā’āh </w:t>
      </w:r>
      <w:r>
        <w:t xml:space="preserve">there as forms from </w:t>
      </w:r>
      <w:r>
        <w:rPr>
          <w:i/>
        </w:rPr>
        <w:t>yārē’</w:t>
      </w:r>
      <w:r>
        <w:t xml:space="preserve">. </w:t>
      </w:r>
      <w:r>
        <w:rPr>
          <w:i/>
        </w:rPr>
        <w:t xml:space="preserve">GenR </w:t>
      </w:r>
      <w:r>
        <w:t xml:space="preserve">55:7 notes that </w:t>
      </w:r>
      <w:r w:rsidRPr="00404140">
        <w:rPr>
          <w:i/>
        </w:rPr>
        <w:t>mōriyyāh</w:t>
      </w:r>
      <w:r>
        <w:t xml:space="preserve"> can be linked with </w:t>
      </w:r>
      <w:r>
        <w:rPr>
          <w:i/>
        </w:rPr>
        <w:t>tôrāh</w:t>
      </w:r>
      <w:r>
        <w:t xml:space="preserve">, among other possibilities. </w:t>
      </w:r>
      <w:r w:rsidRPr="00C81582">
        <w:t xml:space="preserve">LXX has “to the high country,” linking </w:t>
      </w:r>
      <w:r w:rsidRPr="00C81582">
        <w:rPr>
          <w:i/>
        </w:rPr>
        <w:t xml:space="preserve">mōriyyāh </w:t>
      </w:r>
      <w:r w:rsidRPr="00C81582">
        <w:t xml:space="preserve">with the root </w:t>
      </w:r>
      <w:r w:rsidRPr="00C81582">
        <w:rPr>
          <w:i/>
        </w:rPr>
        <w:t>rûm</w:t>
      </w:r>
      <w:r w:rsidRPr="00C81582">
        <w:t>.</w:t>
      </w:r>
      <w:r>
        <w:t xml:space="preserve"> At 2 Chron 3:1 </w:t>
      </w:r>
      <w:r w:rsidRPr="0051311B">
        <w:t xml:space="preserve">LXX has “the </w:t>
      </w:r>
      <w:r>
        <w:t>mountain of Amoria,” the mountain</w:t>
      </w:r>
      <w:r w:rsidRPr="0051311B">
        <w:t xml:space="preserve"> of the Amorites, which hints at another possible wa</w:t>
      </w:r>
      <w:r>
        <w:t>y of reading the text here</w:t>
      </w:r>
      <w:r w:rsidRPr="0051311B">
        <w:t xml:space="preserve"> (cf. the Syriac translation). </w:t>
      </w:r>
    </w:p>
  </w:footnote>
  <w:footnote w:id="638">
    <w:p w14:paraId="19064760" w14:textId="77777777" w:rsidR="000438B1" w:rsidRPr="00C02296" w:rsidRDefault="000438B1">
      <w:pPr>
        <w:pStyle w:val="FootnoteText"/>
      </w:pPr>
      <w:r>
        <w:rPr>
          <w:rStyle w:val="FootnoteReference"/>
        </w:rPr>
        <w:footnoteRef/>
      </w:r>
      <w:r>
        <w:t xml:space="preserve"> </w:t>
      </w:r>
      <w:r>
        <w:rPr>
          <w:i/>
        </w:rPr>
        <w:t xml:space="preserve">Šāḥāh </w:t>
      </w:r>
      <w:r>
        <w:t xml:space="preserve">hitpalel (or </w:t>
      </w:r>
      <w:r>
        <w:rPr>
          <w:i/>
        </w:rPr>
        <w:t xml:space="preserve">ḥāwāh </w:t>
      </w:r>
      <w:r>
        <w:t xml:space="preserve">eshtaphel: see </w:t>
      </w:r>
      <w:r>
        <w:rPr>
          <w:i/>
        </w:rPr>
        <w:t>HALOT</w:t>
      </w:r>
      <w:r>
        <w:t xml:space="preserve">, 1457) </w:t>
      </w:r>
      <w:r w:rsidRPr="005C19C6">
        <w:t>denotes a physical bowing down (though it doubtless</w:t>
      </w:r>
      <w:r>
        <w:t xml:space="preserve"> implies an inner bowing down); cf. LXX’</w:t>
      </w:r>
      <w:r w:rsidRPr="005C19C6">
        <w:t xml:space="preserve">s </w:t>
      </w:r>
      <w:r>
        <w:rPr>
          <w:i/>
        </w:rPr>
        <w:t>proskuneō</w:t>
      </w:r>
      <w:r>
        <w:t xml:space="preserve"> as in 18:2; 19:1. Vg </w:t>
      </w:r>
      <w:r>
        <w:rPr>
          <w:i/>
        </w:rPr>
        <w:t>adoro</w:t>
      </w:r>
      <w:r>
        <w:t xml:space="preserve"> suggests “speaking” but </w:t>
      </w:r>
      <w:r>
        <w:rPr>
          <w:i/>
        </w:rPr>
        <w:t>adoro</w:t>
      </w:r>
      <w:r>
        <w:t xml:space="preserve"> then comes to denote “adore/reverence” and the Hebrew verb comes to be translated “worship.”</w:t>
      </w:r>
    </w:p>
  </w:footnote>
  <w:footnote w:id="639">
    <w:p w14:paraId="20ECE493" w14:textId="77777777" w:rsidR="000438B1" w:rsidRPr="005171DC" w:rsidRDefault="000438B1">
      <w:pPr>
        <w:pStyle w:val="FootnoteText"/>
      </w:pPr>
      <w:r>
        <w:rPr>
          <w:rStyle w:val="FootnoteReference"/>
        </w:rPr>
        <w:footnoteRef/>
      </w:r>
      <w:r>
        <w:t xml:space="preserve"> </w:t>
      </w:r>
      <w:r>
        <w:rPr>
          <w:i/>
        </w:rPr>
        <w:t xml:space="preserve">Ma’ăkelet </w:t>
      </w:r>
      <w:r>
        <w:t xml:space="preserve">come only here, in a similar context in Judg 19:29, and in Prov 30:14, which all suggest more than an ordinary knife; it looks like a word from </w:t>
      </w:r>
      <w:r>
        <w:rPr>
          <w:i/>
        </w:rPr>
        <w:t>’ākal</w:t>
      </w:r>
      <w:r>
        <w:t xml:space="preserve">, which might suggest it is a butcher’s knife. </w:t>
      </w:r>
    </w:p>
  </w:footnote>
  <w:footnote w:id="640">
    <w:p w14:paraId="3B09A5CF" w14:textId="77777777" w:rsidR="000438B1" w:rsidRDefault="000438B1">
      <w:pPr>
        <w:pStyle w:val="FootnoteText"/>
      </w:pPr>
      <w:r>
        <w:rPr>
          <w:rStyle w:val="FootnoteReference"/>
        </w:rPr>
        <w:footnoteRef/>
      </w:r>
      <w:r>
        <w:t xml:space="preserve"> Not “fear of God,” which gives the wrong impression: see the comment.</w:t>
      </w:r>
    </w:p>
  </w:footnote>
  <w:footnote w:id="641">
    <w:p w14:paraId="7C2AB7D5" w14:textId="77777777" w:rsidR="000438B1" w:rsidRPr="00033639" w:rsidRDefault="000438B1">
      <w:pPr>
        <w:pStyle w:val="FootnoteText"/>
      </w:pPr>
      <w:r>
        <w:rPr>
          <w:rStyle w:val="FootnoteReference"/>
        </w:rPr>
        <w:footnoteRef/>
      </w:r>
      <w:r>
        <w:t xml:space="preserve"> For </w:t>
      </w:r>
      <w:r w:rsidRPr="00033639">
        <w:rPr>
          <w:i/>
        </w:rPr>
        <w:t>’</w:t>
      </w:r>
      <w:r>
        <w:rPr>
          <w:i/>
        </w:rPr>
        <w:t>a</w:t>
      </w:r>
      <w:r w:rsidRPr="00033639">
        <w:rPr>
          <w:i/>
        </w:rPr>
        <w:t>ḥar</w:t>
      </w:r>
      <w:r>
        <w:t xml:space="preserve">, SP, LXX have </w:t>
      </w:r>
      <w:r>
        <w:rPr>
          <w:i/>
        </w:rPr>
        <w:t>’eḥad</w:t>
      </w:r>
      <w:r>
        <w:t xml:space="preserve"> “one,” which </w:t>
      </w:r>
      <w:r w:rsidRPr="00AF1239">
        <w:t xml:space="preserve">would mean simply “a” </w:t>
      </w:r>
      <w:r>
        <w:t xml:space="preserve">(with the easy misreading of </w:t>
      </w:r>
      <w:r>
        <w:rPr>
          <w:i/>
        </w:rPr>
        <w:t xml:space="preserve">r </w:t>
      </w:r>
      <w:r>
        <w:t xml:space="preserve">for </w:t>
      </w:r>
      <w:r w:rsidRPr="00211AF2">
        <w:t>d</w:t>
      </w:r>
      <w:r>
        <w:t>), giving a more straightforward sense.</w:t>
      </w:r>
    </w:p>
  </w:footnote>
  <w:footnote w:id="642">
    <w:p w14:paraId="0DDB6B15" w14:textId="77777777" w:rsidR="000438B1" w:rsidRPr="00627812" w:rsidRDefault="000438B1">
      <w:pPr>
        <w:pStyle w:val="FootnoteText"/>
      </w:pPr>
      <w:r>
        <w:rPr>
          <w:rStyle w:val="FootnoteReference"/>
        </w:rPr>
        <w:footnoteRef/>
      </w:r>
      <w:r>
        <w:t xml:space="preserve"> Reading qatal </w:t>
      </w:r>
      <w:r>
        <w:rPr>
          <w:i/>
        </w:rPr>
        <w:t xml:space="preserve">ne’ĕḥaz </w:t>
      </w:r>
      <w:r>
        <w:t xml:space="preserve">rather than participle </w:t>
      </w:r>
      <w:r>
        <w:rPr>
          <w:i/>
        </w:rPr>
        <w:t xml:space="preserve">ne’ĕḥāz </w:t>
      </w:r>
      <w:r>
        <w:t xml:space="preserve">(see Tal, </w:t>
      </w:r>
      <w:r>
        <w:rPr>
          <w:i/>
        </w:rPr>
        <w:t>Genesis</w:t>
      </w:r>
      <w:r>
        <w:t>, 131*).</w:t>
      </w:r>
    </w:p>
  </w:footnote>
  <w:footnote w:id="643">
    <w:p w14:paraId="35A7AC1E" w14:textId="77777777" w:rsidR="000438B1" w:rsidRPr="009962D7" w:rsidRDefault="000438B1">
      <w:pPr>
        <w:pStyle w:val="FootnoteText"/>
      </w:pPr>
      <w:r>
        <w:rPr>
          <w:rStyle w:val="FootnoteReference"/>
        </w:rPr>
        <w:footnoteRef/>
      </w:r>
      <w:r>
        <w:t xml:space="preserve"> LXX’s “on the mountain the Lord was seen” implies </w:t>
      </w:r>
      <w:r>
        <w:rPr>
          <w:i/>
        </w:rPr>
        <w:t>bāhār</w:t>
      </w:r>
      <w:r>
        <w:t xml:space="preserve"> for MT’s </w:t>
      </w:r>
      <w:r>
        <w:rPr>
          <w:i/>
        </w:rPr>
        <w:t>bᵉhar</w:t>
      </w:r>
      <w:r>
        <w:t>, though one could render MT itself “on Yahweh’s mountain he [Yahweh] is seen,</w:t>
      </w:r>
      <w:r w:rsidRPr="00A52201">
        <w:t>”</w:t>
      </w:r>
      <w:r>
        <w:t xml:space="preserve"> or “on Yahweh’s mountain one appears” (cf. Exod 23:17; see Driver, </w:t>
      </w:r>
      <w:r>
        <w:rPr>
          <w:i/>
        </w:rPr>
        <w:t>Genesis</w:t>
      </w:r>
      <w:r>
        <w:t xml:space="preserve">, 220). TgOnq thus expands the verse to refer to the worship that people will offer on this mountain (understood as Zion) in the future (see J. M. Scheetz, “Canon-Conscious Interpretation,” </w:t>
      </w:r>
      <w:r>
        <w:rPr>
          <w:i/>
        </w:rPr>
        <w:t>OTE</w:t>
      </w:r>
      <w:r>
        <w:t xml:space="preserve"> 27 [2014]:263-84). Vg has “on the mountain the Lord will see,” implying a repetition of </w:t>
      </w:r>
      <w:r>
        <w:rPr>
          <w:i/>
        </w:rPr>
        <w:t>yir’eh</w:t>
      </w:r>
      <w:r>
        <w:t xml:space="preserve"> instead of </w:t>
      </w:r>
      <w:r>
        <w:rPr>
          <w:i/>
        </w:rPr>
        <w:t>yērā’eh</w:t>
      </w:r>
      <w:r>
        <w:t>.</w:t>
      </w:r>
    </w:p>
  </w:footnote>
  <w:footnote w:id="644">
    <w:p w14:paraId="7C82CA2B" w14:textId="77777777" w:rsidR="000438B1" w:rsidRDefault="000438B1">
      <w:pPr>
        <w:pStyle w:val="FootnoteText"/>
      </w:pPr>
      <w:r>
        <w:rPr>
          <w:rStyle w:val="FootnoteReference"/>
        </w:rPr>
        <w:footnoteRef/>
      </w:r>
      <w:r>
        <w:t xml:space="preserve"> The performative/declarative qatal suggests a speech act, “I hereby swear.”</w:t>
      </w:r>
    </w:p>
  </w:footnote>
  <w:footnote w:id="645">
    <w:p w14:paraId="0FF14A9B" w14:textId="6501C1B5" w:rsidR="000438B1" w:rsidRDefault="000438B1">
      <w:pPr>
        <w:pStyle w:val="FootnoteText"/>
      </w:pPr>
      <w:r>
        <w:rPr>
          <w:rStyle w:val="FootnoteReference"/>
        </w:rPr>
        <w:footnoteRef/>
      </w:r>
      <w:r>
        <w:t xml:space="preserve"> Twice God prefixes the finite verb with its infinitive, for emphasis.</w:t>
      </w:r>
    </w:p>
  </w:footnote>
  <w:footnote w:id="646">
    <w:p w14:paraId="4092DA91" w14:textId="036E8902" w:rsidR="000438B1" w:rsidRDefault="000438B1" w:rsidP="00331AC9">
      <w:pPr>
        <w:pStyle w:val="FootnoteText"/>
        <w:tabs>
          <w:tab w:val="left" w:pos="7230"/>
        </w:tabs>
      </w:pPr>
      <w:r>
        <w:rPr>
          <w:rStyle w:val="FootnoteReference"/>
        </w:rPr>
        <w:footnoteRef/>
      </w:r>
      <w:r>
        <w:t xml:space="preserve"> See the footnote to 12:3.</w:t>
      </w:r>
      <w:r>
        <w:tab/>
      </w:r>
    </w:p>
  </w:footnote>
  <w:footnote w:id="647">
    <w:p w14:paraId="5CD7CBC2" w14:textId="77777777" w:rsidR="000438B1" w:rsidRPr="00F55A2E" w:rsidRDefault="000438B1">
      <w:pPr>
        <w:pStyle w:val="FootnoteText"/>
      </w:pPr>
      <w:r>
        <w:rPr>
          <w:rStyle w:val="FootnoteReference"/>
        </w:rPr>
        <w:footnoteRef/>
      </w:r>
      <w:r>
        <w:t xml:space="preserve"> J. Jeremias also draws parallels with the preceding story in Gen 20, “Gen 20—22 als theologisches Programm,” in Beck/Schorn (eds.), </w:t>
      </w:r>
      <w:r>
        <w:rPr>
          <w:i/>
        </w:rPr>
        <w:t>Auf dem Weg zur Endgestalt von Genesis bis II Regum</w:t>
      </w:r>
      <w:r>
        <w:t>, 59-73.</w:t>
      </w:r>
    </w:p>
  </w:footnote>
  <w:footnote w:id="648">
    <w:p w14:paraId="5DB0BE92" w14:textId="77777777" w:rsidR="000438B1" w:rsidRPr="00267879" w:rsidRDefault="000438B1" w:rsidP="006F082D">
      <w:pPr>
        <w:pStyle w:val="FootnoteText"/>
      </w:pPr>
      <w:r>
        <w:rPr>
          <w:rStyle w:val="FootnoteReference"/>
        </w:rPr>
        <w:footnoteRef/>
      </w:r>
      <w:r>
        <w:t xml:space="preserve"> Wenham, </w:t>
      </w:r>
      <w:r>
        <w:rPr>
          <w:i/>
        </w:rPr>
        <w:t>Genesis 16—50</w:t>
      </w:r>
      <w:r>
        <w:t>, 104.</w:t>
      </w:r>
    </w:p>
  </w:footnote>
  <w:footnote w:id="649">
    <w:p w14:paraId="608BD2DC" w14:textId="77777777" w:rsidR="000438B1" w:rsidRPr="001425E6" w:rsidRDefault="000438B1">
      <w:pPr>
        <w:pStyle w:val="FootnoteText"/>
      </w:pPr>
      <w:r>
        <w:rPr>
          <w:rStyle w:val="FootnoteReference"/>
        </w:rPr>
        <w:footnoteRef/>
      </w:r>
      <w:r>
        <w:t xml:space="preserve"> Skinner, </w:t>
      </w:r>
      <w:r>
        <w:rPr>
          <w:i/>
        </w:rPr>
        <w:t>Genesis</w:t>
      </w:r>
      <w:r>
        <w:t>, 328.</w:t>
      </w:r>
    </w:p>
  </w:footnote>
  <w:footnote w:id="650">
    <w:p w14:paraId="6F252A5F" w14:textId="77777777" w:rsidR="000438B1" w:rsidRPr="002B47EC" w:rsidRDefault="000438B1" w:rsidP="004F617A">
      <w:pPr>
        <w:pStyle w:val="FootnoteText"/>
      </w:pPr>
      <w:r>
        <w:rPr>
          <w:rStyle w:val="FootnoteReference"/>
        </w:rPr>
        <w:footnoteRef/>
      </w:r>
      <w:r>
        <w:t xml:space="preserve"> LXX has Isaac</w:t>
      </w:r>
      <w:r w:rsidRPr="003139AB">
        <w:t xml:space="preserve"> as a “little boy” (cf. Brayford, </w:t>
      </w:r>
      <w:r w:rsidRPr="003139AB">
        <w:rPr>
          <w:i/>
        </w:rPr>
        <w:t>Genesis</w:t>
      </w:r>
      <w:r w:rsidRPr="003139AB">
        <w:t>, 330).</w:t>
      </w:r>
      <w:r>
        <w:t xml:space="preserve"> TgPsJ works out that he is 37 by subtracting three years of Torah study (see the comment on v. 19) from his age when he marries Rebekah (25:20; </w:t>
      </w:r>
      <w:r>
        <w:rPr>
          <w:i/>
        </w:rPr>
        <w:t xml:space="preserve">see </w:t>
      </w:r>
      <w:r>
        <w:t>Maher,</w:t>
      </w:r>
      <w:r w:rsidRPr="00903C0C">
        <w:rPr>
          <w:i/>
          <w:sz w:val="22"/>
        </w:rPr>
        <w:t xml:space="preserve"> </w:t>
      </w:r>
      <w:r w:rsidRPr="00903C0C">
        <w:rPr>
          <w:i/>
        </w:rPr>
        <w:t>Targum Pseudo-Jonathan: Genesis</w:t>
      </w:r>
      <w:r>
        <w:t>, 81). Josephus says he was 25 (</w:t>
      </w:r>
      <w:r w:rsidRPr="00067BD1">
        <w:rPr>
          <w:i/>
          <w:lang w:val="en-GB"/>
        </w:rPr>
        <w:t>Antiquities</w:t>
      </w:r>
      <w:r>
        <w:rPr>
          <w:lang w:val="en-GB"/>
        </w:rPr>
        <w:t xml:space="preserve"> I, 13:2</w:t>
      </w:r>
      <w:r>
        <w:t xml:space="preserve">; cf. Willet, </w:t>
      </w:r>
      <w:r w:rsidRPr="003805BA">
        <w:rPr>
          <w:i/>
        </w:rPr>
        <w:t>Hexapla in Genesin &amp; Exodum</w:t>
      </w:r>
      <w:r>
        <w:t xml:space="preserve">, 199). </w:t>
      </w:r>
      <w:r w:rsidRPr="004F617A">
        <w:t>Ibn Ezra (</w:t>
      </w:r>
      <w:r w:rsidRPr="004F617A">
        <w:rPr>
          <w:i/>
        </w:rPr>
        <w:t>Genesis</w:t>
      </w:r>
      <w:r w:rsidRPr="004F617A">
        <w:t xml:space="preserve">, 225) </w:t>
      </w:r>
      <w:r>
        <w:t>suggests he was more likely 13, which seems the best guess.</w:t>
      </w:r>
    </w:p>
  </w:footnote>
  <w:footnote w:id="651">
    <w:p w14:paraId="7FD7604A" w14:textId="77777777" w:rsidR="000438B1" w:rsidRPr="00C16DAB" w:rsidRDefault="000438B1">
      <w:pPr>
        <w:pStyle w:val="FootnoteText"/>
      </w:pPr>
      <w:r>
        <w:rPr>
          <w:rStyle w:val="FootnoteReference"/>
        </w:rPr>
        <w:footnoteRef/>
      </w:r>
      <w:r>
        <w:t xml:space="preserve"> Brueggemann, </w:t>
      </w:r>
      <w:r>
        <w:rPr>
          <w:i/>
        </w:rPr>
        <w:t>Genesis</w:t>
      </w:r>
      <w:r>
        <w:t>, 187, 188.</w:t>
      </w:r>
    </w:p>
  </w:footnote>
  <w:footnote w:id="652">
    <w:p w14:paraId="0495F8BD" w14:textId="77777777" w:rsidR="000438B1" w:rsidRPr="00106DAC" w:rsidRDefault="000438B1" w:rsidP="00106DAC">
      <w:pPr>
        <w:pStyle w:val="FootnoteText"/>
        <w:tabs>
          <w:tab w:val="left" w:pos="9180"/>
        </w:tabs>
      </w:pPr>
      <w:r>
        <w:rPr>
          <w:rStyle w:val="FootnoteReference"/>
        </w:rPr>
        <w:footnoteRef/>
      </w:r>
      <w:r>
        <w:t xml:space="preserve"> See further Moberly, </w:t>
      </w:r>
      <w:r w:rsidRPr="00106DAC">
        <w:rPr>
          <w:i/>
        </w:rPr>
        <w:t>Bible, Theology, and Faith</w:t>
      </w:r>
      <w:r>
        <w:t>, 97-107.</w:t>
      </w:r>
    </w:p>
  </w:footnote>
  <w:footnote w:id="653">
    <w:p w14:paraId="6878C49C" w14:textId="77777777" w:rsidR="000438B1" w:rsidRDefault="000438B1">
      <w:pPr>
        <w:pStyle w:val="FootnoteText"/>
      </w:pPr>
      <w:r>
        <w:rPr>
          <w:rStyle w:val="FootnoteReference"/>
        </w:rPr>
        <w:footnoteRef/>
      </w:r>
      <w:r>
        <w:t xml:space="preserve"> Seebass (</w:t>
      </w:r>
      <w:r w:rsidRPr="00DE45D5">
        <w:rPr>
          <w:i/>
        </w:rPr>
        <w:t xml:space="preserve">Genesis </w:t>
      </w:r>
      <w:r>
        <w:t>2/1:203) notes 2 Chron 32:31 and discusses other possible exceptions.</w:t>
      </w:r>
    </w:p>
  </w:footnote>
  <w:footnote w:id="654">
    <w:p w14:paraId="61812893" w14:textId="77777777" w:rsidR="000438B1" w:rsidRPr="001C1F21" w:rsidRDefault="000438B1" w:rsidP="004A3F33">
      <w:pPr>
        <w:pStyle w:val="FootnoteText"/>
      </w:pPr>
      <w:r>
        <w:rPr>
          <w:rStyle w:val="FootnoteReference"/>
        </w:rPr>
        <w:footnoteRef/>
      </w:r>
      <w:r>
        <w:t xml:space="preserve"> Gunkel, </w:t>
      </w:r>
      <w:r>
        <w:rPr>
          <w:i/>
        </w:rPr>
        <w:t>Genesis</w:t>
      </w:r>
      <w:r>
        <w:t>, 233.</w:t>
      </w:r>
    </w:p>
  </w:footnote>
  <w:footnote w:id="655">
    <w:p w14:paraId="7C1B8D61" w14:textId="77777777" w:rsidR="000438B1" w:rsidRPr="00E73671" w:rsidRDefault="000438B1" w:rsidP="008C58A1">
      <w:pPr>
        <w:pStyle w:val="FootnoteText"/>
      </w:pPr>
      <w:r>
        <w:rPr>
          <w:rStyle w:val="FootnoteReference"/>
        </w:rPr>
        <w:footnoteRef/>
      </w:r>
      <w:r>
        <w:t xml:space="preserve"> </w:t>
      </w:r>
      <w:r>
        <w:rPr>
          <w:i/>
        </w:rPr>
        <w:t>City of God</w:t>
      </w:r>
      <w:r>
        <w:t xml:space="preserve"> 16:32.</w:t>
      </w:r>
    </w:p>
  </w:footnote>
  <w:footnote w:id="656">
    <w:p w14:paraId="040473D6" w14:textId="77777777" w:rsidR="000438B1" w:rsidRDefault="000438B1">
      <w:pPr>
        <w:pStyle w:val="FootnoteText"/>
      </w:pPr>
      <w:r>
        <w:rPr>
          <w:rStyle w:val="FootnoteReference"/>
        </w:rPr>
        <w:footnoteRef/>
      </w:r>
      <w:r>
        <w:t xml:space="preserve"> Cf. </w:t>
      </w:r>
      <w:r w:rsidRPr="0099428B">
        <w:t xml:space="preserve">J. L. Mays, “Now I Know,” in W. M. Alston and M. Welker (eds.), </w:t>
      </w:r>
      <w:r w:rsidRPr="0099428B">
        <w:rPr>
          <w:i/>
        </w:rPr>
        <w:t>Reformed Theology: Identity and Ecumenicity II</w:t>
      </w:r>
      <w:r w:rsidRPr="0099428B">
        <w:t xml:space="preserve"> (Grand Rapids: Eerdmans, 2007</w:t>
      </w:r>
      <w:r>
        <w:t>), 172-89: Mays brings together Gen 22 and Matt 26:36-56.</w:t>
      </w:r>
    </w:p>
  </w:footnote>
  <w:footnote w:id="657">
    <w:p w14:paraId="39DC8F71" w14:textId="77777777" w:rsidR="000438B1" w:rsidRDefault="000438B1" w:rsidP="007C2355">
      <w:pPr>
        <w:pStyle w:val="FootnoteText"/>
      </w:pPr>
      <w:r>
        <w:rPr>
          <w:rStyle w:val="FootnoteReference"/>
        </w:rPr>
        <w:footnoteRef/>
      </w:r>
      <w:r>
        <w:t xml:space="preserve"> Calvin, </w:t>
      </w:r>
      <w:r w:rsidRPr="002C1884">
        <w:rPr>
          <w:i/>
        </w:rPr>
        <w:t xml:space="preserve">Genesis </w:t>
      </w:r>
      <w:r w:rsidRPr="002C1884">
        <w:t>1</w:t>
      </w:r>
      <w:r>
        <w:t>:562.</w:t>
      </w:r>
    </w:p>
  </w:footnote>
  <w:footnote w:id="658">
    <w:p w14:paraId="5D77AC74" w14:textId="77777777" w:rsidR="000438B1" w:rsidRDefault="000438B1">
      <w:pPr>
        <w:pStyle w:val="FootnoteText"/>
      </w:pPr>
      <w:r>
        <w:rPr>
          <w:rStyle w:val="FootnoteReference"/>
        </w:rPr>
        <w:footnoteRef/>
      </w:r>
      <w:r>
        <w:t xml:space="preserve"> Cf. Zimmerli, </w:t>
      </w:r>
      <w:r w:rsidRPr="003E2253">
        <w:rPr>
          <w:i/>
        </w:rPr>
        <w:t>1. Mose 12—25</w:t>
      </w:r>
      <w:r w:rsidRPr="003E2253">
        <w:t>,</w:t>
      </w:r>
      <w:r>
        <w:t xml:space="preserve"> 110-11.</w:t>
      </w:r>
    </w:p>
  </w:footnote>
  <w:footnote w:id="659">
    <w:p w14:paraId="531FC624" w14:textId="77777777" w:rsidR="000438B1" w:rsidRPr="00846B75" w:rsidRDefault="000438B1" w:rsidP="002238C4">
      <w:pPr>
        <w:pStyle w:val="FootnoteText"/>
      </w:pPr>
      <w:r>
        <w:rPr>
          <w:rStyle w:val="FootnoteReference"/>
        </w:rPr>
        <w:footnoteRef/>
      </w:r>
      <w:r>
        <w:t xml:space="preserve"> Coats, </w:t>
      </w:r>
      <w:r>
        <w:rPr>
          <w:i/>
        </w:rPr>
        <w:t>Genesis</w:t>
      </w:r>
      <w:r>
        <w:t>, 158.</w:t>
      </w:r>
    </w:p>
  </w:footnote>
  <w:footnote w:id="660">
    <w:p w14:paraId="0501316B" w14:textId="77777777" w:rsidR="000438B1" w:rsidRDefault="000438B1">
      <w:pPr>
        <w:pStyle w:val="FootnoteText"/>
      </w:pPr>
      <w:r>
        <w:rPr>
          <w:rStyle w:val="FootnoteReference"/>
        </w:rPr>
        <w:footnoteRef/>
      </w:r>
      <w:r>
        <w:t xml:space="preserve"> Cf. </w:t>
      </w:r>
      <w:r w:rsidRPr="00690862">
        <w:t xml:space="preserve">Levenson, </w:t>
      </w:r>
      <w:r w:rsidRPr="00690862">
        <w:rPr>
          <w:i/>
        </w:rPr>
        <w:t>Death and Resurrection of the Beloved Son</w:t>
      </w:r>
      <w:r w:rsidRPr="00690862">
        <w:t>,</w:t>
      </w:r>
      <w:r>
        <w:t xml:space="preserve"> 126.</w:t>
      </w:r>
    </w:p>
  </w:footnote>
  <w:footnote w:id="661">
    <w:p w14:paraId="19D17D49" w14:textId="77777777" w:rsidR="000438B1" w:rsidRPr="003035A9" w:rsidRDefault="000438B1">
      <w:pPr>
        <w:pStyle w:val="FootnoteText"/>
      </w:pPr>
      <w:r>
        <w:rPr>
          <w:rStyle w:val="FootnoteReference"/>
        </w:rPr>
        <w:footnoteRef/>
      </w:r>
      <w:r>
        <w:t xml:space="preserve"> Cf. Heard, </w:t>
      </w:r>
      <w:r w:rsidRPr="003035A9">
        <w:rPr>
          <w:i/>
        </w:rPr>
        <w:t>Dynamics of Diselection</w:t>
      </w:r>
      <w:r>
        <w:t>, 94.</w:t>
      </w:r>
    </w:p>
  </w:footnote>
  <w:footnote w:id="662">
    <w:p w14:paraId="29DE805C" w14:textId="77777777" w:rsidR="000438B1" w:rsidRDefault="000438B1" w:rsidP="00EA5CAF">
      <w:pPr>
        <w:pStyle w:val="FootnoteText"/>
      </w:pPr>
      <w:r>
        <w:rPr>
          <w:rStyle w:val="FootnoteReference"/>
        </w:rPr>
        <w:footnoteRef/>
      </w:r>
      <w:r>
        <w:t xml:space="preserve"> De La T</w:t>
      </w:r>
      <w:r w:rsidRPr="00690B20">
        <w:t xml:space="preserve">orre, </w:t>
      </w:r>
      <w:r w:rsidRPr="00690B20">
        <w:rPr>
          <w:i/>
        </w:rPr>
        <w:t>Genesis</w:t>
      </w:r>
      <w:r w:rsidRPr="00690B20">
        <w:t>,</w:t>
      </w:r>
      <w:r>
        <w:t xml:space="preserve"> 215.</w:t>
      </w:r>
    </w:p>
  </w:footnote>
  <w:footnote w:id="663">
    <w:p w14:paraId="57EF01B1" w14:textId="77777777" w:rsidR="000438B1" w:rsidRPr="00F701A0" w:rsidRDefault="000438B1">
      <w:pPr>
        <w:pStyle w:val="FootnoteText"/>
      </w:pPr>
      <w:r>
        <w:rPr>
          <w:rStyle w:val="FootnoteReference"/>
        </w:rPr>
        <w:footnoteRef/>
      </w:r>
      <w:r>
        <w:t xml:space="preserve"> See C. A. Eberhart, “The Term ‘Sacrifice’ and the Problem of Theological Abstraction,” in C. Helmer with C. T. Higbe (eds.), </w:t>
      </w:r>
      <w:proofErr w:type="gramStart"/>
      <w:r>
        <w:rPr>
          <w:i/>
        </w:rPr>
        <w:t>The</w:t>
      </w:r>
      <w:proofErr w:type="gramEnd"/>
      <w:r>
        <w:rPr>
          <w:i/>
        </w:rPr>
        <w:t xml:space="preserve"> Multivalence of Biblical Texts and Theological Meanings</w:t>
      </w:r>
      <w:r>
        <w:t xml:space="preserve"> (Atlanta: SBL, 2006), 47-66.</w:t>
      </w:r>
    </w:p>
  </w:footnote>
  <w:footnote w:id="664">
    <w:p w14:paraId="0720CCF4" w14:textId="77777777" w:rsidR="000438B1" w:rsidRPr="004C5563" w:rsidRDefault="000438B1" w:rsidP="00EA5CAF">
      <w:pPr>
        <w:pStyle w:val="FootnoteText"/>
        <w:rPr>
          <w:i/>
        </w:rPr>
      </w:pPr>
      <w:r>
        <w:rPr>
          <w:rStyle w:val="FootnoteReference"/>
        </w:rPr>
        <w:footnoteRef/>
      </w:r>
      <w:r>
        <w:t xml:space="preserve"> </w:t>
      </w:r>
      <w:r w:rsidRPr="004C5563">
        <w:t xml:space="preserve">Luther, </w:t>
      </w:r>
      <w:r w:rsidRPr="004C5563">
        <w:rPr>
          <w:i/>
        </w:rPr>
        <w:t>Genesis 21—25</w:t>
      </w:r>
      <w:r w:rsidRPr="004C5563">
        <w:t>,</w:t>
      </w:r>
      <w:r>
        <w:t xml:space="preserve"> 92, 94: on Luther’s exposition, see further M. Buck, “God as Tempter,” </w:t>
      </w:r>
      <w:r w:rsidRPr="00F336C4">
        <w:rPr>
          <w:i/>
        </w:rPr>
        <w:t>Logia</w:t>
      </w:r>
      <w:r>
        <w:t xml:space="preserve"> 24 (2015): 23-27.</w:t>
      </w:r>
    </w:p>
  </w:footnote>
  <w:footnote w:id="665">
    <w:p w14:paraId="10636477" w14:textId="77777777" w:rsidR="000438B1" w:rsidRDefault="000438B1" w:rsidP="00DC1670">
      <w:pPr>
        <w:pStyle w:val="FootnoteText"/>
      </w:pPr>
      <w:r>
        <w:rPr>
          <w:rStyle w:val="FootnoteReference"/>
        </w:rPr>
        <w:footnoteRef/>
      </w:r>
      <w:r>
        <w:t xml:space="preserve"> </w:t>
      </w:r>
      <w:r w:rsidRPr="0043684D">
        <w:t xml:space="preserve">Calvin, </w:t>
      </w:r>
      <w:r w:rsidRPr="0043684D">
        <w:rPr>
          <w:i/>
        </w:rPr>
        <w:t xml:space="preserve">Genesis </w:t>
      </w:r>
      <w:r w:rsidRPr="0043684D">
        <w:t>1</w:t>
      </w:r>
      <w:r>
        <w:t>:565.</w:t>
      </w:r>
    </w:p>
  </w:footnote>
  <w:footnote w:id="666">
    <w:p w14:paraId="5011E912" w14:textId="77777777" w:rsidR="000438B1" w:rsidRDefault="000438B1" w:rsidP="00EA5CAF">
      <w:pPr>
        <w:pStyle w:val="FootnoteText"/>
      </w:pPr>
      <w:r>
        <w:rPr>
          <w:rStyle w:val="FootnoteReference"/>
        </w:rPr>
        <w:footnoteRef/>
      </w:r>
      <w:r>
        <w:t xml:space="preserve"> Fretheim, “Genesis,” 497.</w:t>
      </w:r>
    </w:p>
  </w:footnote>
  <w:footnote w:id="667">
    <w:p w14:paraId="5A272816" w14:textId="77777777" w:rsidR="000438B1" w:rsidRPr="00D936A1" w:rsidRDefault="000438B1" w:rsidP="00EA475E">
      <w:pPr>
        <w:pStyle w:val="FootnoteText"/>
      </w:pPr>
      <w:r>
        <w:rPr>
          <w:rStyle w:val="FootnoteReference"/>
        </w:rPr>
        <w:footnoteRef/>
      </w:r>
      <w:r>
        <w:t xml:space="preserve"> Cf. Tal, </w:t>
      </w:r>
      <w:r>
        <w:rPr>
          <w:i/>
        </w:rPr>
        <w:t>Genesis</w:t>
      </w:r>
      <w:r>
        <w:t xml:space="preserve">, 130-31*; I. Kalimi, “The Land of Moriah,” </w:t>
      </w:r>
      <w:r>
        <w:rPr>
          <w:i/>
        </w:rPr>
        <w:t>HTR</w:t>
      </w:r>
      <w:r>
        <w:t xml:space="preserve"> 83 (1990): 345-62.</w:t>
      </w:r>
    </w:p>
  </w:footnote>
  <w:footnote w:id="668">
    <w:p w14:paraId="2B39B7F3" w14:textId="77777777" w:rsidR="000438B1" w:rsidRPr="007524A7" w:rsidRDefault="000438B1">
      <w:pPr>
        <w:pStyle w:val="FootnoteText"/>
      </w:pPr>
      <w:r>
        <w:rPr>
          <w:rStyle w:val="FootnoteReference"/>
        </w:rPr>
        <w:footnoteRef/>
      </w:r>
      <w:r>
        <w:t xml:space="preserve"> </w:t>
      </w:r>
      <w:r>
        <w:rPr>
          <w:lang w:val="en-GB"/>
        </w:rPr>
        <w:t>TgNeoph has “Vision” for “Teacher</w:t>
      </w:r>
      <w:r w:rsidRPr="007524A7">
        <w:rPr>
          <w:lang w:val="en-GB"/>
        </w:rPr>
        <w:t>”</w:t>
      </w:r>
      <w:r>
        <w:rPr>
          <w:lang w:val="en-GB"/>
        </w:rPr>
        <w:t xml:space="preserve"> there. LXX has “high” for both </w:t>
      </w:r>
      <w:r>
        <w:rPr>
          <w:i/>
          <w:lang w:val="en-GB"/>
        </w:rPr>
        <w:t>môreh</w:t>
      </w:r>
      <w:r>
        <w:rPr>
          <w:lang w:val="en-GB"/>
        </w:rPr>
        <w:t xml:space="preserve"> and </w:t>
      </w:r>
      <w:r w:rsidRPr="007524A7">
        <w:rPr>
          <w:i/>
        </w:rPr>
        <w:t>mōriyyāh</w:t>
      </w:r>
      <w:r>
        <w:t>.</w:t>
      </w:r>
    </w:p>
  </w:footnote>
  <w:footnote w:id="669">
    <w:p w14:paraId="1EE3E854" w14:textId="14D9408E" w:rsidR="000438B1" w:rsidRPr="00C43037" w:rsidRDefault="000438B1" w:rsidP="00516011">
      <w:pPr>
        <w:pStyle w:val="FootnoteText"/>
        <w:rPr>
          <w:rFonts w:asciiTheme="minorHAnsi" w:hAnsiTheme="minorHAnsi"/>
        </w:rPr>
      </w:pPr>
      <w:r>
        <w:rPr>
          <w:rStyle w:val="FootnoteReference"/>
        </w:rPr>
        <w:footnoteRef/>
      </w:r>
      <w:r>
        <w:t xml:space="preserve"> </w:t>
      </w:r>
      <w:r w:rsidRPr="00C43037">
        <w:t xml:space="preserve">T. Staubli argues </w:t>
      </w:r>
      <w:r>
        <w:t xml:space="preserve">that the Canaanites were also </w:t>
      </w:r>
      <w:r w:rsidRPr="00C43037">
        <w:t>used to the idea of redeeming their children not sacrificing them</w:t>
      </w:r>
      <w:r>
        <w:t xml:space="preserve"> (“</w:t>
      </w:r>
      <w:r>
        <w:rPr>
          <w:rFonts w:eastAsiaTheme="minorHAnsi"/>
          <w:bCs/>
        </w:rPr>
        <w:t>Is There an Iconographic Pattern o</w:t>
      </w:r>
      <w:r w:rsidRPr="00C43037">
        <w:rPr>
          <w:rFonts w:eastAsiaTheme="minorHAnsi"/>
          <w:bCs/>
        </w:rPr>
        <w:t>f</w:t>
      </w:r>
      <w:r>
        <w:t xml:space="preserve"> t</w:t>
      </w:r>
      <w:r>
        <w:rPr>
          <w:rFonts w:asciiTheme="minorHAnsi" w:eastAsiaTheme="minorHAnsi" w:hAnsiTheme="minorHAnsi"/>
          <w:bCs/>
        </w:rPr>
        <w:t xml:space="preserve">he Binding </w:t>
      </w:r>
      <w:proofErr w:type="gramStart"/>
      <w:r>
        <w:rPr>
          <w:rFonts w:asciiTheme="minorHAnsi" w:eastAsiaTheme="minorHAnsi" w:hAnsiTheme="minorHAnsi"/>
          <w:bCs/>
        </w:rPr>
        <w:t>Of</w:t>
      </w:r>
      <w:proofErr w:type="gramEnd"/>
      <w:r>
        <w:rPr>
          <w:rFonts w:asciiTheme="minorHAnsi" w:eastAsiaTheme="minorHAnsi" w:hAnsiTheme="minorHAnsi"/>
          <w:bCs/>
        </w:rPr>
        <w:t xml:space="preserve"> Isaac?” </w:t>
      </w:r>
      <w:r w:rsidRPr="00C43037">
        <w:rPr>
          <w:rFonts w:asciiTheme="minorHAnsi" w:eastAsiaTheme="minorHAnsi" w:hAnsiTheme="minorHAnsi"/>
          <w:i/>
          <w:iCs/>
        </w:rPr>
        <w:t xml:space="preserve">Journal of Asia Adventist Seminary </w:t>
      </w:r>
      <w:r>
        <w:rPr>
          <w:rFonts w:asciiTheme="minorHAnsi" w:eastAsiaTheme="minorHAnsi" w:hAnsiTheme="minorHAnsi"/>
        </w:rPr>
        <w:t>12 [2009]</w:t>
      </w:r>
      <w:r w:rsidRPr="00C43037">
        <w:rPr>
          <w:rFonts w:asciiTheme="minorHAnsi" w:eastAsiaTheme="minorHAnsi" w:hAnsiTheme="minorHAnsi"/>
        </w:rPr>
        <w:t>: 111-131</w:t>
      </w:r>
      <w:r>
        <w:rPr>
          <w:rFonts w:asciiTheme="minorHAnsi" w:eastAsiaTheme="minorHAnsi" w:hAnsiTheme="minorHAnsi"/>
        </w:rPr>
        <w:t>)</w:t>
      </w:r>
      <w:r w:rsidRPr="00C43037">
        <w:rPr>
          <w:rFonts w:asciiTheme="minorHAnsi" w:eastAsiaTheme="minorHAnsi" w:hAnsiTheme="minorHAnsi"/>
        </w:rPr>
        <w:t>.</w:t>
      </w:r>
      <w:r>
        <w:rPr>
          <w:rFonts w:asciiTheme="minorHAnsi" w:eastAsiaTheme="minorHAnsi" w:hAnsiTheme="minorHAnsi"/>
        </w:rPr>
        <w:t xml:space="preserve"> </w:t>
      </w:r>
      <w:r>
        <w:t xml:space="preserve">On the view that Gen 22 explains why Israelites are not to sacrifice children, see </w:t>
      </w:r>
      <w:r w:rsidRPr="00C56AFD">
        <w:t xml:space="preserve">Levenson, </w:t>
      </w:r>
      <w:r w:rsidRPr="00C56AFD">
        <w:rPr>
          <w:i/>
        </w:rPr>
        <w:t>Death and Resurrection of the Beloved Son</w:t>
      </w:r>
      <w:r>
        <w:t>.</w:t>
      </w:r>
    </w:p>
  </w:footnote>
  <w:footnote w:id="670">
    <w:p w14:paraId="3DE95422" w14:textId="77777777" w:rsidR="000438B1" w:rsidRPr="00BA519D" w:rsidRDefault="000438B1" w:rsidP="00BA519D">
      <w:pPr>
        <w:pStyle w:val="FootnoteText"/>
        <w:tabs>
          <w:tab w:val="left" w:pos="2640"/>
        </w:tabs>
      </w:pPr>
      <w:r>
        <w:rPr>
          <w:rStyle w:val="FootnoteReference"/>
        </w:rPr>
        <w:footnoteRef/>
      </w:r>
      <w:r>
        <w:t xml:space="preserve"> E. F. Davis, “Self-Consciousness and Conversation,” </w:t>
      </w:r>
      <w:r>
        <w:rPr>
          <w:i/>
        </w:rPr>
        <w:t xml:space="preserve">Bulletin for Biblical Research </w:t>
      </w:r>
      <w:r>
        <w:t>1 (1991): 27-40 (32).</w:t>
      </w:r>
    </w:p>
  </w:footnote>
  <w:footnote w:id="671">
    <w:p w14:paraId="3B4D7F68" w14:textId="77777777" w:rsidR="000438B1" w:rsidRDefault="000438B1">
      <w:pPr>
        <w:pStyle w:val="FootnoteText"/>
      </w:pPr>
      <w:r>
        <w:rPr>
          <w:rStyle w:val="FootnoteReference"/>
        </w:rPr>
        <w:footnoteRef/>
      </w:r>
      <w:r>
        <w:t xml:space="preserve"> Origen, </w:t>
      </w:r>
      <w:r w:rsidRPr="00834ED2">
        <w:rPr>
          <w:i/>
        </w:rPr>
        <w:t>Genesis and Exodus</w:t>
      </w:r>
      <w:r w:rsidRPr="00834ED2">
        <w:t>,</w:t>
      </w:r>
      <w:r>
        <w:t xml:space="preserve"> 137, 139.</w:t>
      </w:r>
    </w:p>
  </w:footnote>
  <w:footnote w:id="672">
    <w:p w14:paraId="271D9791" w14:textId="77777777" w:rsidR="000438B1" w:rsidRPr="008651DF" w:rsidRDefault="000438B1" w:rsidP="002E489B">
      <w:pPr>
        <w:pStyle w:val="FootnoteText"/>
      </w:pPr>
      <w:r>
        <w:rPr>
          <w:rStyle w:val="FootnoteReference"/>
        </w:rPr>
        <w:footnoteRef/>
      </w:r>
      <w:r>
        <w:t xml:space="preserve"> Chrysostom, </w:t>
      </w:r>
      <w:r w:rsidRPr="008651DF">
        <w:rPr>
          <w:i/>
        </w:rPr>
        <w:t>Homilies on Genesis 18-45</w:t>
      </w:r>
      <w:r>
        <w:t xml:space="preserve">, 418. See Willet’s critique, </w:t>
      </w:r>
      <w:r w:rsidRPr="001933F6">
        <w:rPr>
          <w:i/>
        </w:rPr>
        <w:t>Hexapla in Genesin &amp; Exodum</w:t>
      </w:r>
      <w:r w:rsidRPr="001933F6">
        <w:t>,</w:t>
      </w:r>
      <w:r>
        <w:t xml:space="preserve"> 174.</w:t>
      </w:r>
    </w:p>
  </w:footnote>
  <w:footnote w:id="673">
    <w:p w14:paraId="354C66E6" w14:textId="77777777" w:rsidR="000438B1" w:rsidRPr="001425E6" w:rsidRDefault="000438B1">
      <w:pPr>
        <w:pStyle w:val="FootnoteText"/>
      </w:pPr>
      <w:r>
        <w:rPr>
          <w:rStyle w:val="FootnoteReference"/>
        </w:rPr>
        <w:footnoteRef/>
      </w:r>
      <w:r>
        <w:t xml:space="preserve"> Skinner, </w:t>
      </w:r>
      <w:r>
        <w:rPr>
          <w:i/>
        </w:rPr>
        <w:t>Genesis</w:t>
      </w:r>
      <w:r>
        <w:t>, 328.</w:t>
      </w:r>
    </w:p>
  </w:footnote>
  <w:footnote w:id="674">
    <w:p w14:paraId="4F145B7F" w14:textId="77777777" w:rsidR="000438B1" w:rsidRDefault="000438B1" w:rsidP="004A253C">
      <w:pPr>
        <w:pStyle w:val="FootnoteText"/>
      </w:pPr>
      <w:r>
        <w:rPr>
          <w:rStyle w:val="FootnoteReference"/>
        </w:rPr>
        <w:footnoteRef/>
      </w:r>
      <w:r>
        <w:t xml:space="preserve"> Zimmerli, </w:t>
      </w:r>
      <w:r w:rsidRPr="006510F6">
        <w:rPr>
          <w:i/>
        </w:rPr>
        <w:t>1. Mose 12—25</w:t>
      </w:r>
      <w:r w:rsidRPr="006510F6">
        <w:t>,</w:t>
      </w:r>
      <w:r>
        <w:t xml:space="preserve"> 113, summarizing E. Auerbach, </w:t>
      </w:r>
      <w:r>
        <w:rPr>
          <w:i/>
        </w:rPr>
        <w:t xml:space="preserve">Mimesis </w:t>
      </w:r>
      <w:r>
        <w:t xml:space="preserve">(Berne: Franke, 1946); ET </w:t>
      </w:r>
      <w:r>
        <w:rPr>
          <w:i/>
        </w:rPr>
        <w:t xml:space="preserve">Mimesis </w:t>
      </w:r>
      <w:r>
        <w:t>(reprinted Princeton: Princeton UP, 2003) which has the expression</w:t>
      </w:r>
      <w:r w:rsidRPr="00331AC9">
        <w:rPr>
          <w:rFonts w:asciiTheme="minorHAnsi" w:eastAsiaTheme="minorEastAsia" w:hAnsiTheme="minorHAnsi" w:cstheme="minorBidi"/>
          <w:sz w:val="22"/>
          <w:szCs w:val="22"/>
          <w:lang w:val="en-GB" w:bidi="ar-SA"/>
        </w:rPr>
        <w:t xml:space="preserve"> </w:t>
      </w:r>
      <w:r>
        <w:rPr>
          <w:rFonts w:asciiTheme="minorHAnsi" w:eastAsiaTheme="minorEastAsia" w:hAnsiTheme="minorHAnsi" w:cstheme="minorBidi"/>
          <w:sz w:val="22"/>
          <w:szCs w:val="22"/>
          <w:lang w:val="en-GB" w:bidi="ar-SA"/>
        </w:rPr>
        <w:t>“</w:t>
      </w:r>
      <w:r w:rsidRPr="00331AC9">
        <w:rPr>
          <w:lang w:val="en-GB"/>
        </w:rPr>
        <w:t>fraught with backgro</w:t>
      </w:r>
      <w:r>
        <w:rPr>
          <w:lang w:val="en-GB"/>
        </w:rPr>
        <w:t>und” (12)</w:t>
      </w:r>
    </w:p>
  </w:footnote>
  <w:footnote w:id="675">
    <w:p w14:paraId="5B06FE16" w14:textId="77777777" w:rsidR="000438B1" w:rsidRPr="00AE1C2D" w:rsidRDefault="000438B1">
      <w:pPr>
        <w:pStyle w:val="FootnoteText"/>
      </w:pPr>
      <w:r>
        <w:rPr>
          <w:rStyle w:val="FootnoteReference"/>
        </w:rPr>
        <w:footnoteRef/>
      </w:r>
      <w:r>
        <w:t xml:space="preserve"> So J. Jacobs, “Willing Obedience with Doubts,” </w:t>
      </w:r>
      <w:r>
        <w:rPr>
          <w:i/>
        </w:rPr>
        <w:t xml:space="preserve">VT </w:t>
      </w:r>
      <w:r>
        <w:t>60 (2010): 546-59 (552-55).</w:t>
      </w:r>
    </w:p>
  </w:footnote>
  <w:footnote w:id="676">
    <w:p w14:paraId="364E81DC" w14:textId="77777777" w:rsidR="000438B1" w:rsidRPr="00F83D4D" w:rsidRDefault="000438B1" w:rsidP="000C03B9">
      <w:pPr>
        <w:pStyle w:val="FootnoteText"/>
      </w:pPr>
      <w:r>
        <w:rPr>
          <w:rStyle w:val="FootnoteReference"/>
        </w:rPr>
        <w:footnoteRef/>
      </w:r>
      <w:r>
        <w:t xml:space="preserve"> Sarna, </w:t>
      </w:r>
      <w:r>
        <w:rPr>
          <w:i/>
        </w:rPr>
        <w:t>Genesis</w:t>
      </w:r>
      <w:r>
        <w:t>, 150.</w:t>
      </w:r>
    </w:p>
  </w:footnote>
  <w:footnote w:id="677">
    <w:p w14:paraId="7CD8B607" w14:textId="77777777" w:rsidR="000438B1" w:rsidRPr="00E514F6" w:rsidRDefault="000438B1">
      <w:pPr>
        <w:pStyle w:val="FootnoteText"/>
      </w:pPr>
      <w:r>
        <w:rPr>
          <w:rStyle w:val="FootnoteReference"/>
        </w:rPr>
        <w:footnoteRef/>
      </w:r>
      <w:r>
        <w:t xml:space="preserve"> Blenkinsopp, </w:t>
      </w:r>
      <w:r>
        <w:rPr>
          <w:i/>
        </w:rPr>
        <w:t>Abraham</w:t>
      </w:r>
      <w:r>
        <w:t>, 146.</w:t>
      </w:r>
    </w:p>
  </w:footnote>
  <w:footnote w:id="678">
    <w:p w14:paraId="20CC13F8" w14:textId="77777777" w:rsidR="000438B1" w:rsidRPr="00A13D22" w:rsidRDefault="000438B1">
      <w:pPr>
        <w:pStyle w:val="FootnoteText"/>
      </w:pPr>
      <w:r>
        <w:rPr>
          <w:rStyle w:val="FootnoteReference"/>
        </w:rPr>
        <w:footnoteRef/>
      </w:r>
      <w:r>
        <w:t xml:space="preserve"> </w:t>
      </w:r>
      <w:r>
        <w:rPr>
          <w:i/>
        </w:rPr>
        <w:t xml:space="preserve">GenR </w:t>
      </w:r>
      <w:r>
        <w:t>56:1 has a long list of things that happened “on the third day.”</w:t>
      </w:r>
    </w:p>
  </w:footnote>
  <w:footnote w:id="679">
    <w:p w14:paraId="5026DA73" w14:textId="77777777" w:rsidR="000438B1" w:rsidRDefault="000438B1">
      <w:pPr>
        <w:pStyle w:val="FootnoteText"/>
      </w:pPr>
      <w:r>
        <w:rPr>
          <w:rStyle w:val="FootnoteReference"/>
        </w:rPr>
        <w:footnoteRef/>
      </w:r>
      <w:r>
        <w:t xml:space="preserve"> Seebass, </w:t>
      </w:r>
      <w:r w:rsidRPr="00CD3E96">
        <w:rPr>
          <w:i/>
        </w:rPr>
        <w:t>Genesis</w:t>
      </w:r>
      <w:r>
        <w:t xml:space="preserve"> 2/1:201.</w:t>
      </w:r>
    </w:p>
  </w:footnote>
  <w:footnote w:id="680">
    <w:p w14:paraId="7D9740F2" w14:textId="77777777" w:rsidR="000438B1" w:rsidRDefault="000438B1">
      <w:pPr>
        <w:pStyle w:val="FootnoteText"/>
      </w:pPr>
      <w:r>
        <w:rPr>
          <w:rStyle w:val="FootnoteReference"/>
        </w:rPr>
        <w:footnoteRef/>
      </w:r>
      <w:r>
        <w:t xml:space="preserve"> Ephrem suggests the same reason for his not telling Sarah (</w:t>
      </w:r>
      <w:r w:rsidRPr="0092231C">
        <w:t>“Commentary on Genesis,”</w:t>
      </w:r>
      <w:r>
        <w:t xml:space="preserve"> 168).</w:t>
      </w:r>
    </w:p>
  </w:footnote>
  <w:footnote w:id="681">
    <w:p w14:paraId="2EA37595" w14:textId="77777777" w:rsidR="000438B1" w:rsidRDefault="000438B1">
      <w:pPr>
        <w:pStyle w:val="FootnoteText"/>
      </w:pPr>
      <w:r>
        <w:rPr>
          <w:rStyle w:val="FootnoteReference"/>
        </w:rPr>
        <w:footnoteRef/>
      </w:r>
      <w:r>
        <w:t xml:space="preserve"> Cf. </w:t>
      </w:r>
      <w:r w:rsidRPr="006B48BE">
        <w:t xml:space="preserve">von Rad, </w:t>
      </w:r>
      <w:r w:rsidRPr="006B48BE">
        <w:rPr>
          <w:i/>
        </w:rPr>
        <w:t>Genesis</w:t>
      </w:r>
      <w:r>
        <w:t>, 235.</w:t>
      </w:r>
    </w:p>
  </w:footnote>
  <w:footnote w:id="682">
    <w:p w14:paraId="4FE29DBC" w14:textId="77777777" w:rsidR="000438B1" w:rsidRPr="00CC4B1D" w:rsidRDefault="000438B1">
      <w:pPr>
        <w:pStyle w:val="FootnoteText"/>
      </w:pPr>
      <w:r>
        <w:rPr>
          <w:rStyle w:val="FootnoteReference"/>
        </w:rPr>
        <w:footnoteRef/>
      </w:r>
      <w:r>
        <w:t xml:space="preserve"> Cf.Brams’s study in light of game theory, </w:t>
      </w:r>
      <w:r>
        <w:rPr>
          <w:i/>
        </w:rPr>
        <w:t>Biblical Games</w:t>
      </w:r>
      <w:r>
        <w:t>, 36-45.</w:t>
      </w:r>
    </w:p>
  </w:footnote>
  <w:footnote w:id="683">
    <w:p w14:paraId="43CA0F83" w14:textId="77777777" w:rsidR="000438B1" w:rsidRDefault="000438B1">
      <w:pPr>
        <w:pStyle w:val="FootnoteText"/>
      </w:pPr>
      <w:r>
        <w:rPr>
          <w:rStyle w:val="FootnoteReference"/>
        </w:rPr>
        <w:footnoteRef/>
      </w:r>
      <w:r>
        <w:t xml:space="preserve"> </w:t>
      </w:r>
      <w:r w:rsidRPr="009D6CCC">
        <w:t xml:space="preserve">Fretheim, </w:t>
      </w:r>
      <w:r w:rsidRPr="009D6CCC">
        <w:rPr>
          <w:i/>
        </w:rPr>
        <w:t>Abraham</w:t>
      </w:r>
      <w:r>
        <w:t>, 133, 134.</w:t>
      </w:r>
    </w:p>
  </w:footnote>
  <w:footnote w:id="684">
    <w:p w14:paraId="39C1E2BE" w14:textId="77777777" w:rsidR="000438B1" w:rsidRDefault="000438B1">
      <w:pPr>
        <w:pStyle w:val="FootnoteText"/>
      </w:pPr>
      <w:r>
        <w:rPr>
          <w:rStyle w:val="FootnoteReference"/>
        </w:rPr>
        <w:footnoteRef/>
      </w:r>
      <w:r>
        <w:t xml:space="preserve"> Ephrem, </w:t>
      </w:r>
      <w:r w:rsidRPr="0092231C">
        <w:t>“Commentary on Genesis,”</w:t>
      </w:r>
      <w:r>
        <w:t xml:space="preserve"> 168-69.</w:t>
      </w:r>
    </w:p>
  </w:footnote>
  <w:footnote w:id="685">
    <w:p w14:paraId="5E2457CE" w14:textId="77777777" w:rsidR="000438B1" w:rsidRPr="00F2653F" w:rsidRDefault="000438B1">
      <w:pPr>
        <w:pStyle w:val="FootnoteText"/>
      </w:pPr>
      <w:r>
        <w:rPr>
          <w:rStyle w:val="FootnoteReference"/>
        </w:rPr>
        <w:footnoteRef/>
      </w:r>
      <w:r>
        <w:t xml:space="preserve"> Rashi comments that he was prophesying (</w:t>
      </w:r>
      <w:r w:rsidRPr="00F2653F">
        <w:rPr>
          <w:i/>
        </w:rPr>
        <w:t>Br’šyt</w:t>
      </w:r>
      <w:r w:rsidRPr="00F2653F">
        <w:t xml:space="preserve">, </w:t>
      </w:r>
      <w:r w:rsidRPr="00F2653F">
        <w:rPr>
          <w:rFonts w:asciiTheme="minorHAnsi" w:eastAsiaTheme="minorEastAsia" w:hAnsiTheme="minorHAnsi" w:cstheme="minorBidi"/>
          <w:lang w:bidi="ar-SA"/>
        </w:rPr>
        <w:t>233).</w:t>
      </w:r>
    </w:p>
  </w:footnote>
  <w:footnote w:id="686">
    <w:p w14:paraId="3349704C" w14:textId="77777777" w:rsidR="000438B1" w:rsidRPr="00113CE4" w:rsidRDefault="000438B1">
      <w:pPr>
        <w:pStyle w:val="FootnoteText"/>
      </w:pPr>
      <w:r>
        <w:rPr>
          <w:rStyle w:val="FootnoteReference"/>
        </w:rPr>
        <w:footnoteRef/>
      </w:r>
      <w:r>
        <w:t xml:space="preserve"> Coats, </w:t>
      </w:r>
      <w:r>
        <w:rPr>
          <w:i/>
        </w:rPr>
        <w:t>Genesis</w:t>
      </w:r>
      <w:r>
        <w:t>, 160.</w:t>
      </w:r>
    </w:p>
  </w:footnote>
  <w:footnote w:id="687">
    <w:p w14:paraId="2365F41E" w14:textId="77777777" w:rsidR="000438B1" w:rsidRDefault="000438B1">
      <w:pPr>
        <w:pStyle w:val="FootnoteText"/>
      </w:pPr>
      <w:r>
        <w:rPr>
          <w:rStyle w:val="FootnoteReference"/>
        </w:rPr>
        <w:footnoteRef/>
      </w:r>
      <w:r>
        <w:t xml:space="preserve"> </w:t>
      </w:r>
      <w:r w:rsidRPr="0043684D">
        <w:t xml:space="preserve">Calvin, </w:t>
      </w:r>
      <w:r w:rsidRPr="0043684D">
        <w:rPr>
          <w:i/>
        </w:rPr>
        <w:t xml:space="preserve">Genesis </w:t>
      </w:r>
      <w:r w:rsidRPr="0043684D">
        <w:t>1</w:t>
      </w:r>
      <w:r>
        <w:t>:568.</w:t>
      </w:r>
    </w:p>
  </w:footnote>
  <w:footnote w:id="688">
    <w:p w14:paraId="1952FAF1" w14:textId="77777777" w:rsidR="000438B1" w:rsidRDefault="000438B1">
      <w:pPr>
        <w:pStyle w:val="FootnoteText"/>
      </w:pPr>
      <w:r>
        <w:rPr>
          <w:rStyle w:val="FootnoteReference"/>
        </w:rPr>
        <w:footnoteRef/>
      </w:r>
      <w:r>
        <w:t xml:space="preserve"> Seebass</w:t>
      </w:r>
      <w:r w:rsidRPr="006C3E8B">
        <w:t xml:space="preserve"> </w:t>
      </w:r>
      <w:r w:rsidRPr="006C3E8B">
        <w:rPr>
          <w:i/>
        </w:rPr>
        <w:t xml:space="preserve">Genesis </w:t>
      </w:r>
      <w:r w:rsidRPr="006C3E8B">
        <w:t>2</w:t>
      </w:r>
      <w:r>
        <w:t>/1</w:t>
      </w:r>
      <w:r w:rsidRPr="006C3E8B">
        <w:t>:</w:t>
      </w:r>
      <w:r>
        <w:t>209.</w:t>
      </w:r>
    </w:p>
  </w:footnote>
  <w:footnote w:id="689">
    <w:p w14:paraId="190702CD" w14:textId="278531A2" w:rsidR="000438B1" w:rsidRDefault="000438B1">
      <w:pPr>
        <w:pStyle w:val="FootnoteText"/>
      </w:pPr>
      <w:r>
        <w:rPr>
          <w:rStyle w:val="FootnoteReference"/>
        </w:rPr>
        <w:footnoteRef/>
      </w:r>
      <w:r>
        <w:t xml:space="preserve"> KSG.</w:t>
      </w:r>
    </w:p>
  </w:footnote>
  <w:footnote w:id="690">
    <w:p w14:paraId="1F71B370" w14:textId="77777777" w:rsidR="000438B1" w:rsidRDefault="000438B1">
      <w:pPr>
        <w:pStyle w:val="FootnoteText"/>
      </w:pPr>
      <w:r>
        <w:rPr>
          <w:rStyle w:val="FootnoteReference"/>
        </w:rPr>
        <w:footnoteRef/>
      </w:r>
      <w:r>
        <w:t xml:space="preserve"> Fretheim, “Genesis,” 496.</w:t>
      </w:r>
    </w:p>
  </w:footnote>
  <w:footnote w:id="691">
    <w:p w14:paraId="67FD98E4" w14:textId="77777777" w:rsidR="000438B1" w:rsidRPr="00CB78FC" w:rsidRDefault="000438B1">
      <w:pPr>
        <w:pStyle w:val="FootnoteText"/>
      </w:pPr>
      <w:r>
        <w:rPr>
          <w:rStyle w:val="FootnoteReference"/>
        </w:rPr>
        <w:footnoteRef/>
      </w:r>
      <w:r>
        <w:t xml:space="preserve"> Fretheim, </w:t>
      </w:r>
      <w:r>
        <w:rPr>
          <w:i/>
        </w:rPr>
        <w:t>Abraham</w:t>
      </w:r>
      <w:r>
        <w:t>, 131.</w:t>
      </w:r>
    </w:p>
  </w:footnote>
  <w:footnote w:id="692">
    <w:p w14:paraId="06DF4E6E" w14:textId="77777777" w:rsidR="000438B1" w:rsidRPr="001D54D0" w:rsidRDefault="000438B1" w:rsidP="006F082D">
      <w:pPr>
        <w:pStyle w:val="FootnoteText"/>
      </w:pPr>
      <w:r>
        <w:rPr>
          <w:rStyle w:val="FootnoteReference"/>
        </w:rPr>
        <w:footnoteRef/>
      </w:r>
      <w:r>
        <w:t xml:space="preserve"> Speiser, </w:t>
      </w:r>
      <w:r>
        <w:rPr>
          <w:i/>
        </w:rPr>
        <w:t>Genesis</w:t>
      </w:r>
      <w:r>
        <w:t>, 165.</w:t>
      </w:r>
    </w:p>
  </w:footnote>
  <w:footnote w:id="693">
    <w:p w14:paraId="3FD07F25" w14:textId="77777777" w:rsidR="000438B1" w:rsidRPr="002B47EC" w:rsidRDefault="000438B1">
      <w:pPr>
        <w:pStyle w:val="FootnoteText"/>
      </w:pPr>
      <w:r>
        <w:rPr>
          <w:rStyle w:val="FootnoteReference"/>
        </w:rPr>
        <w:footnoteRef/>
      </w:r>
      <w:r>
        <w:t xml:space="preserve"> See references in </w:t>
      </w:r>
      <w:r>
        <w:rPr>
          <w:i/>
        </w:rPr>
        <w:t>DTT</w:t>
      </w:r>
      <w:r>
        <w:t xml:space="preserve">, 1104-5. LXX has “bound him hand and foot” (cf. Brayford, </w:t>
      </w:r>
      <w:r>
        <w:rPr>
          <w:i/>
        </w:rPr>
        <w:t>Genesis</w:t>
      </w:r>
      <w:r>
        <w:t>, 331).</w:t>
      </w:r>
    </w:p>
  </w:footnote>
  <w:footnote w:id="694">
    <w:p w14:paraId="3CAA7639" w14:textId="77777777" w:rsidR="000438B1" w:rsidRPr="00FE5A00" w:rsidRDefault="000438B1">
      <w:pPr>
        <w:pStyle w:val="FootnoteText"/>
      </w:pPr>
      <w:r>
        <w:rPr>
          <w:rStyle w:val="FootnoteReference"/>
        </w:rPr>
        <w:footnoteRef/>
      </w:r>
      <w:r>
        <w:t xml:space="preserve"> Hamilton, </w:t>
      </w:r>
      <w:r>
        <w:rPr>
          <w:i/>
        </w:rPr>
        <w:t>Genesis 18—50</w:t>
      </w:r>
      <w:r>
        <w:t>, 110.</w:t>
      </w:r>
    </w:p>
  </w:footnote>
  <w:footnote w:id="695">
    <w:p w14:paraId="728642FE" w14:textId="77777777" w:rsidR="000438B1" w:rsidRPr="00902DE9" w:rsidRDefault="000438B1">
      <w:pPr>
        <w:pStyle w:val="FootnoteText"/>
      </w:pPr>
      <w:r>
        <w:rPr>
          <w:rStyle w:val="FootnoteReference"/>
        </w:rPr>
        <w:footnoteRef/>
      </w:r>
      <w:r>
        <w:t xml:space="preserve"> So Luther, </w:t>
      </w:r>
      <w:r>
        <w:rPr>
          <w:i/>
        </w:rPr>
        <w:t>Genesis 21—25</w:t>
      </w:r>
      <w:r>
        <w:t>, 114.</w:t>
      </w:r>
    </w:p>
  </w:footnote>
  <w:footnote w:id="696">
    <w:p w14:paraId="21291932" w14:textId="19BE3270" w:rsidR="000438B1" w:rsidRDefault="000438B1">
      <w:pPr>
        <w:pStyle w:val="FootnoteText"/>
      </w:pPr>
      <w:r>
        <w:rPr>
          <w:rStyle w:val="FootnoteReference"/>
        </w:rPr>
        <w:footnoteRef/>
      </w:r>
      <w:r>
        <w:t xml:space="preserve"> KSG.</w:t>
      </w:r>
    </w:p>
  </w:footnote>
  <w:footnote w:id="697">
    <w:p w14:paraId="23C505C2" w14:textId="2ED8F67A" w:rsidR="000438B1" w:rsidRPr="00877FCF" w:rsidRDefault="000438B1" w:rsidP="00DD1A56">
      <w:pPr>
        <w:pStyle w:val="FootnoteText"/>
      </w:pPr>
      <w:r>
        <w:rPr>
          <w:rStyle w:val="FootnoteReference"/>
        </w:rPr>
        <w:footnoteRef/>
      </w:r>
      <w:r>
        <w:t xml:space="preserve"> See e.g., B. Chilton, “Genesis in Aramaic,” in Evans </w:t>
      </w:r>
      <w:r w:rsidRPr="007742BC">
        <w:t>et al. (</w:t>
      </w:r>
      <w:proofErr w:type="gramStart"/>
      <w:r w:rsidRPr="007742BC">
        <w:t>ed</w:t>
      </w:r>
      <w:r>
        <w:t>s</w:t>
      </w:r>
      <w:proofErr w:type="gramEnd"/>
      <w:r w:rsidRPr="007742BC">
        <w:t xml:space="preserve">.). </w:t>
      </w:r>
      <w:r w:rsidRPr="007742BC">
        <w:rPr>
          <w:i/>
        </w:rPr>
        <w:t>Book of Genesis</w:t>
      </w:r>
      <w:r>
        <w:t>,</w:t>
      </w:r>
      <w:r w:rsidRPr="007742BC">
        <w:t xml:space="preserve"> </w:t>
      </w:r>
      <w:r>
        <w:t xml:space="preserve">495-518; L. Kundert, </w:t>
      </w:r>
      <w:r>
        <w:rPr>
          <w:i/>
        </w:rPr>
        <w:t>Die Opferung/Bindung Isaaks</w:t>
      </w:r>
      <w:r>
        <w:t xml:space="preserve"> (2 vols; Neukirchen: Neukirchener, 1998). In a sense, then, Isaac was also being tested; though in addition Abraham was martyring his own future (I. Kalimi, “‘Go, I Beg You, Take Your Beloved Son and Slay Him,” </w:t>
      </w:r>
      <w:r>
        <w:rPr>
          <w:rFonts w:asciiTheme="minorHAnsi" w:eastAsia="TimesNewRomanPSMT" w:hAnsiTheme="minorHAnsi" w:cs="TimesNewRomanPSMT"/>
          <w:i/>
        </w:rPr>
        <w:t>Review of Rabbinic</w:t>
      </w:r>
      <w:r w:rsidRPr="00877FCF">
        <w:rPr>
          <w:rFonts w:asciiTheme="minorHAnsi" w:eastAsia="TimesNewRomanPSMT" w:hAnsiTheme="minorHAnsi" w:cs="TimesNewRomanPSMT"/>
          <w:i/>
        </w:rPr>
        <w:t xml:space="preserve"> Judaism</w:t>
      </w:r>
      <w:r>
        <w:rPr>
          <w:rFonts w:asciiTheme="minorHAnsi" w:eastAsia="TimesNewRomanPSMT" w:hAnsiTheme="minorHAnsi" w:cs="TimesNewRomanPSMT"/>
        </w:rPr>
        <w:t xml:space="preserve"> 13 [2010]: 1-29).</w:t>
      </w:r>
    </w:p>
  </w:footnote>
  <w:footnote w:id="698">
    <w:p w14:paraId="587AA423" w14:textId="77777777" w:rsidR="000438B1" w:rsidRPr="00A721D8" w:rsidRDefault="000438B1" w:rsidP="000A62F6">
      <w:pPr>
        <w:pStyle w:val="FootnoteText"/>
      </w:pPr>
      <w:r>
        <w:rPr>
          <w:rStyle w:val="FootnoteReference"/>
        </w:rPr>
        <w:footnoteRef/>
      </w:r>
      <w:r>
        <w:t xml:space="preserve"> Arnold, </w:t>
      </w:r>
      <w:r>
        <w:rPr>
          <w:i/>
        </w:rPr>
        <w:t>Genesis</w:t>
      </w:r>
      <w:r>
        <w:t>, 202.</w:t>
      </w:r>
    </w:p>
  </w:footnote>
  <w:footnote w:id="699">
    <w:p w14:paraId="73F7C98C" w14:textId="77777777" w:rsidR="000438B1" w:rsidRPr="00F56CB6" w:rsidRDefault="000438B1" w:rsidP="00F56CB6">
      <w:pPr>
        <w:pStyle w:val="FootnoteText"/>
      </w:pPr>
      <w:r>
        <w:rPr>
          <w:rStyle w:val="FootnoteReference"/>
        </w:rPr>
        <w:footnoteRef/>
      </w:r>
      <w:r>
        <w:t xml:space="preserve"> As quoted in S. R. Palmquist and P. M. Rudisill, “</w:t>
      </w:r>
      <w:r w:rsidRPr="00F56CB6">
        <w:rPr>
          <w:rFonts w:asciiTheme="minorHAnsi" w:eastAsiaTheme="minorHAnsi" w:hAnsiTheme="minorHAnsi"/>
        </w:rPr>
        <w:t>Three Perspectives on Abraham's</w:t>
      </w:r>
      <w:r>
        <w:rPr>
          <w:rFonts w:asciiTheme="minorHAnsi" w:eastAsiaTheme="minorHAnsi" w:hAnsiTheme="minorHAnsi"/>
        </w:rPr>
        <w:t xml:space="preserve"> Defense against </w:t>
      </w:r>
      <w:r w:rsidRPr="00F56CB6">
        <w:rPr>
          <w:rFonts w:asciiTheme="minorHAnsi" w:eastAsiaTheme="minorHAnsi" w:hAnsiTheme="minorHAnsi"/>
        </w:rPr>
        <w:t>Kant's Charge of</w:t>
      </w:r>
      <w:r>
        <w:t xml:space="preserve"> </w:t>
      </w:r>
      <w:r w:rsidRPr="00F56CB6">
        <w:rPr>
          <w:rFonts w:asciiTheme="minorHAnsi" w:eastAsiaTheme="minorHAnsi" w:hAnsiTheme="minorHAnsi"/>
        </w:rPr>
        <w:t>Immoral Conduct</w:t>
      </w:r>
      <w:r>
        <w:rPr>
          <w:rFonts w:asciiTheme="minorHAnsi" w:eastAsiaTheme="minorHAnsi" w:hAnsiTheme="minorHAnsi"/>
        </w:rPr>
        <w:t xml:space="preserve">,” </w:t>
      </w:r>
      <w:r>
        <w:rPr>
          <w:rFonts w:asciiTheme="minorHAnsi" w:eastAsiaTheme="minorHAnsi" w:hAnsiTheme="minorHAnsi"/>
          <w:i/>
        </w:rPr>
        <w:t>Journal of Religion</w:t>
      </w:r>
      <w:r>
        <w:rPr>
          <w:rFonts w:asciiTheme="minorHAnsi" w:eastAsiaTheme="minorHAnsi" w:hAnsiTheme="minorHAnsi"/>
        </w:rPr>
        <w:t xml:space="preserve"> 89 (2009): 467-97 (470-71).</w:t>
      </w:r>
    </w:p>
  </w:footnote>
  <w:footnote w:id="700">
    <w:p w14:paraId="03FC0336" w14:textId="77777777" w:rsidR="000438B1" w:rsidRDefault="000438B1">
      <w:pPr>
        <w:pStyle w:val="FootnoteText"/>
      </w:pPr>
      <w:r>
        <w:rPr>
          <w:rStyle w:val="FootnoteReference"/>
        </w:rPr>
        <w:footnoteRef/>
      </w:r>
      <w:r>
        <w:t xml:space="preserve"> Seebass, </w:t>
      </w:r>
      <w:r w:rsidRPr="00CD3E96">
        <w:rPr>
          <w:i/>
        </w:rPr>
        <w:t>Genesis</w:t>
      </w:r>
      <w:r>
        <w:t xml:space="preserve"> 2/1:209.</w:t>
      </w:r>
    </w:p>
  </w:footnote>
  <w:footnote w:id="701">
    <w:p w14:paraId="7613F220" w14:textId="1D04266E" w:rsidR="000438B1" w:rsidRPr="00471FA3" w:rsidRDefault="000438B1">
      <w:pPr>
        <w:pStyle w:val="FootnoteText"/>
      </w:pPr>
      <w:r>
        <w:rPr>
          <w:rStyle w:val="FootnoteReference"/>
        </w:rPr>
        <w:footnoteRef/>
      </w:r>
      <w:r>
        <w:t xml:space="preserve"> Luther, </w:t>
      </w:r>
      <w:r>
        <w:rPr>
          <w:i/>
        </w:rPr>
        <w:t>Genesis 21—25</w:t>
      </w:r>
      <w:r>
        <w:t>, 115.</w:t>
      </w:r>
    </w:p>
  </w:footnote>
  <w:footnote w:id="702">
    <w:p w14:paraId="763CA8B6" w14:textId="77777777" w:rsidR="000438B1" w:rsidRDefault="000438B1">
      <w:pPr>
        <w:pStyle w:val="FootnoteText"/>
      </w:pPr>
      <w:r>
        <w:rPr>
          <w:rStyle w:val="FootnoteReference"/>
        </w:rPr>
        <w:footnoteRef/>
      </w:r>
      <w:r>
        <w:t xml:space="preserve"> Cf. </w:t>
      </w:r>
      <w:r w:rsidRPr="00A6667E">
        <w:t xml:space="preserve">Calvin, </w:t>
      </w:r>
      <w:r w:rsidRPr="00A6667E">
        <w:rPr>
          <w:i/>
        </w:rPr>
        <w:t xml:space="preserve">Genesis </w:t>
      </w:r>
      <w:r w:rsidRPr="00A6667E">
        <w:t>1</w:t>
      </w:r>
      <w:r>
        <w:t>:570.</w:t>
      </w:r>
    </w:p>
  </w:footnote>
  <w:footnote w:id="703">
    <w:p w14:paraId="10214E53" w14:textId="77777777" w:rsidR="000438B1" w:rsidRPr="006070F8" w:rsidRDefault="000438B1" w:rsidP="00783115">
      <w:pPr>
        <w:pStyle w:val="FootnoteText"/>
      </w:pPr>
      <w:r>
        <w:rPr>
          <w:rStyle w:val="FootnoteReference"/>
        </w:rPr>
        <w:footnoteRef/>
      </w:r>
      <w:r>
        <w:t xml:space="preserve"> Attributed to Luther by John Osborne, </w:t>
      </w:r>
      <w:r w:rsidRPr="00EB7368">
        <w:rPr>
          <w:i/>
        </w:rPr>
        <w:t>Luther</w:t>
      </w:r>
      <w:r>
        <w:t xml:space="preserve">, </w:t>
      </w:r>
      <w:r w:rsidRPr="00EB7368">
        <w:t>Act 3, Scene2</w:t>
      </w:r>
      <w:r>
        <w:t xml:space="preserve"> (reprinted New York: New American Library, 1963), 111. </w:t>
      </w:r>
    </w:p>
  </w:footnote>
  <w:footnote w:id="704">
    <w:p w14:paraId="68C67189" w14:textId="77777777" w:rsidR="000438B1" w:rsidRDefault="000438B1" w:rsidP="00BF647F">
      <w:pPr>
        <w:pStyle w:val="FootnoteText"/>
      </w:pPr>
      <w:r>
        <w:rPr>
          <w:rStyle w:val="FootnoteReference"/>
        </w:rPr>
        <w:footnoteRef/>
      </w:r>
      <w:r>
        <w:t xml:space="preserve"> Luther, </w:t>
      </w:r>
      <w:r w:rsidRPr="00902DE9">
        <w:rPr>
          <w:i/>
        </w:rPr>
        <w:t>Genesis 21—25</w:t>
      </w:r>
      <w:r w:rsidRPr="00902DE9">
        <w:t>,</w:t>
      </w:r>
      <w:r>
        <w:t xml:space="preserve"> 116.</w:t>
      </w:r>
    </w:p>
  </w:footnote>
  <w:footnote w:id="705">
    <w:p w14:paraId="1FFE7521" w14:textId="77777777" w:rsidR="000438B1" w:rsidRPr="00C32695" w:rsidRDefault="000438B1" w:rsidP="00C32695">
      <w:pPr>
        <w:pStyle w:val="FootnoteText"/>
      </w:pPr>
      <w:r>
        <w:rPr>
          <w:rStyle w:val="FootnoteReference"/>
        </w:rPr>
        <w:footnoteRef/>
      </w:r>
      <w:r>
        <w:t xml:space="preserve"> Further on the parallels between Gen 21 and Gen 22, see D. W. Lim, “</w:t>
      </w:r>
      <w:r w:rsidRPr="00C32695">
        <w:rPr>
          <w:rFonts w:asciiTheme="minorHAnsi" w:eastAsiaTheme="minorHAnsi" w:hAnsiTheme="minorHAnsi" w:cstheme="minorHAnsi"/>
          <w:bCs/>
        </w:rPr>
        <w:t>A Study of the Repetition found in Genesis 21:8-21 and 22:1-19</w:t>
      </w:r>
      <w:r>
        <w:rPr>
          <w:rFonts w:asciiTheme="minorHAnsi" w:eastAsiaTheme="minorHAnsi" w:hAnsiTheme="minorHAnsi" w:cstheme="minorHAnsi"/>
          <w:bCs/>
        </w:rPr>
        <w:t xml:space="preserve">,” </w:t>
      </w:r>
      <w:r>
        <w:rPr>
          <w:rFonts w:asciiTheme="minorHAnsi" w:eastAsiaTheme="minorHAnsi" w:hAnsiTheme="minorHAnsi" w:cstheme="minorHAnsi"/>
          <w:bCs/>
          <w:i/>
        </w:rPr>
        <w:t>Korea Journal of Christian Studies</w:t>
      </w:r>
      <w:r>
        <w:rPr>
          <w:rFonts w:asciiTheme="minorHAnsi" w:eastAsiaTheme="minorHAnsi" w:hAnsiTheme="minorHAnsi" w:cstheme="minorHAnsi"/>
          <w:bCs/>
        </w:rPr>
        <w:t xml:space="preserve"> 25 (2002): 47-58.</w:t>
      </w:r>
    </w:p>
  </w:footnote>
  <w:footnote w:id="706">
    <w:p w14:paraId="7FE03D17" w14:textId="77777777" w:rsidR="000438B1" w:rsidRPr="00086999" w:rsidRDefault="000438B1" w:rsidP="005B0CE7">
      <w:pPr>
        <w:pStyle w:val="FootnoteText"/>
      </w:pPr>
      <w:r>
        <w:rPr>
          <w:rStyle w:val="FootnoteReference"/>
        </w:rPr>
        <w:footnoteRef/>
      </w:r>
      <w:r>
        <w:t xml:space="preserve"> Ibn Ezra, </w:t>
      </w:r>
      <w:r>
        <w:rPr>
          <w:i/>
        </w:rPr>
        <w:t>Genesis</w:t>
      </w:r>
      <w:r>
        <w:t>, 222.</w:t>
      </w:r>
    </w:p>
  </w:footnote>
  <w:footnote w:id="707">
    <w:p w14:paraId="58948DD8" w14:textId="77777777" w:rsidR="000438B1" w:rsidRPr="00C464F6" w:rsidRDefault="000438B1" w:rsidP="005B0CE7">
      <w:pPr>
        <w:pStyle w:val="FootnoteText"/>
      </w:pPr>
      <w:r>
        <w:rPr>
          <w:rStyle w:val="FootnoteReference"/>
        </w:rPr>
        <w:footnoteRef/>
      </w:r>
      <w:r>
        <w:t xml:space="preserve"> E.g., </w:t>
      </w:r>
      <w:r>
        <w:rPr>
          <w:i/>
        </w:rPr>
        <w:t>City of God</w:t>
      </w:r>
      <w:r>
        <w:t xml:space="preserve"> 11:7.</w:t>
      </w:r>
    </w:p>
  </w:footnote>
  <w:footnote w:id="708">
    <w:p w14:paraId="56128649" w14:textId="77777777" w:rsidR="000438B1" w:rsidRPr="00C464F6" w:rsidRDefault="000438B1" w:rsidP="005B0CE7">
      <w:pPr>
        <w:pStyle w:val="FootnoteText"/>
      </w:pPr>
      <w:r>
        <w:rPr>
          <w:rStyle w:val="FootnoteReference"/>
        </w:rPr>
        <w:footnoteRef/>
      </w:r>
      <w:r>
        <w:t xml:space="preserve"> Luther, </w:t>
      </w:r>
      <w:r>
        <w:rPr>
          <w:i/>
        </w:rPr>
        <w:t>Genesis 21—25</w:t>
      </w:r>
      <w:r>
        <w:t>, 133.</w:t>
      </w:r>
    </w:p>
  </w:footnote>
  <w:footnote w:id="709">
    <w:p w14:paraId="1FB6912A" w14:textId="77777777" w:rsidR="000438B1" w:rsidRPr="00E73671" w:rsidRDefault="000438B1" w:rsidP="008C58A1">
      <w:pPr>
        <w:pStyle w:val="FootnoteText"/>
      </w:pPr>
      <w:r>
        <w:rPr>
          <w:rStyle w:val="FootnoteReference"/>
        </w:rPr>
        <w:footnoteRef/>
      </w:r>
      <w:r>
        <w:t xml:space="preserve"> </w:t>
      </w:r>
      <w:r>
        <w:rPr>
          <w:i/>
        </w:rPr>
        <w:t>City of God</w:t>
      </w:r>
      <w:r>
        <w:t xml:space="preserve"> 16:32.</w:t>
      </w:r>
    </w:p>
  </w:footnote>
  <w:footnote w:id="710">
    <w:p w14:paraId="39EBA84A" w14:textId="77777777" w:rsidR="000438B1" w:rsidRDefault="000438B1">
      <w:pPr>
        <w:pStyle w:val="FootnoteText"/>
      </w:pPr>
      <w:r>
        <w:rPr>
          <w:rStyle w:val="FootnoteReference"/>
        </w:rPr>
        <w:footnoteRef/>
      </w:r>
      <w:r>
        <w:t xml:space="preserve"> Mays, “Now I Know,” 183.</w:t>
      </w:r>
    </w:p>
  </w:footnote>
  <w:footnote w:id="711">
    <w:p w14:paraId="20A3E2EC" w14:textId="77777777" w:rsidR="000438B1" w:rsidRPr="00520264" w:rsidRDefault="000438B1">
      <w:pPr>
        <w:pStyle w:val="FootnoteText"/>
      </w:pPr>
      <w:r>
        <w:rPr>
          <w:rStyle w:val="FootnoteReference"/>
        </w:rPr>
        <w:footnoteRef/>
      </w:r>
      <w:r>
        <w:t xml:space="preserve"> Cf. Levenson, </w:t>
      </w:r>
      <w:r>
        <w:rPr>
          <w:i/>
        </w:rPr>
        <w:t>Inheriting Abraham</w:t>
      </w:r>
      <w:r>
        <w:t>, 80.</w:t>
      </w:r>
    </w:p>
  </w:footnote>
  <w:footnote w:id="712">
    <w:p w14:paraId="4A452883" w14:textId="77777777" w:rsidR="000438B1" w:rsidRPr="00C20E61" w:rsidRDefault="000438B1">
      <w:pPr>
        <w:pStyle w:val="FootnoteText"/>
      </w:pPr>
      <w:r>
        <w:rPr>
          <w:rStyle w:val="FootnoteReference"/>
        </w:rPr>
        <w:footnoteRef/>
      </w:r>
      <w:r>
        <w:t xml:space="preserve"> Qimchi, </w:t>
      </w:r>
      <w:r>
        <w:rPr>
          <w:i/>
        </w:rPr>
        <w:t>Genesis</w:t>
      </w:r>
      <w:r>
        <w:t>, on the verse (“</w:t>
      </w:r>
      <w:r>
        <w:rPr>
          <w:i/>
        </w:rPr>
        <w:t>hyr’h hz’t hi’ ’hbh</w:t>
      </w:r>
      <w:r>
        <w:t>”).</w:t>
      </w:r>
    </w:p>
  </w:footnote>
  <w:footnote w:id="713">
    <w:p w14:paraId="012C06C6" w14:textId="187ADA5E" w:rsidR="000438B1" w:rsidRDefault="000438B1">
      <w:pPr>
        <w:pStyle w:val="FootnoteText"/>
      </w:pPr>
      <w:r>
        <w:rPr>
          <w:rStyle w:val="FootnoteReference"/>
        </w:rPr>
        <w:footnoteRef/>
      </w:r>
      <w:r>
        <w:t xml:space="preserve"> KSG.</w:t>
      </w:r>
    </w:p>
  </w:footnote>
  <w:footnote w:id="714">
    <w:p w14:paraId="006D7436" w14:textId="77777777" w:rsidR="000438B1" w:rsidRPr="005C0F90" w:rsidRDefault="000438B1">
      <w:pPr>
        <w:pStyle w:val="FootnoteText"/>
      </w:pPr>
      <w:r>
        <w:rPr>
          <w:rStyle w:val="FootnoteReference"/>
        </w:rPr>
        <w:footnoteRef/>
      </w:r>
      <w:r>
        <w:t xml:space="preserve"> Cf. K. Nielsen, “</w:t>
      </w:r>
      <w:r>
        <w:rPr>
          <w:rStyle w:val="nlmarticle-title"/>
          <w:rFonts w:asciiTheme="minorHAnsi" w:eastAsiaTheme="minorEastAsia" w:hAnsiTheme="minorHAnsi"/>
        </w:rPr>
        <w:t>To See and to B</w:t>
      </w:r>
      <w:r w:rsidRPr="005C0F90">
        <w:rPr>
          <w:rStyle w:val="nlmarticle-title"/>
          <w:rFonts w:asciiTheme="minorHAnsi" w:eastAsiaTheme="minorEastAsia" w:hAnsiTheme="minorHAnsi"/>
        </w:rPr>
        <w:t>e Seen</w:t>
      </w:r>
      <w:r w:rsidRPr="005C0F90">
        <w:rPr>
          <w:rStyle w:val="nlmarticle-title"/>
          <w:rFonts w:asciiTheme="minorHAnsi" w:hAnsiTheme="minorHAnsi"/>
        </w:rPr>
        <w:t>,”</w:t>
      </w:r>
      <w:r>
        <w:t xml:space="preserve"> </w:t>
      </w:r>
      <w:r>
        <w:rPr>
          <w:i/>
        </w:rPr>
        <w:t xml:space="preserve">SJOT </w:t>
      </w:r>
      <w:r>
        <w:t>27 (2013): 22-31.</w:t>
      </w:r>
    </w:p>
  </w:footnote>
  <w:footnote w:id="715">
    <w:p w14:paraId="020FFC5C" w14:textId="77777777" w:rsidR="000438B1" w:rsidRDefault="000438B1" w:rsidP="0001617E">
      <w:pPr>
        <w:pStyle w:val="FootnoteText"/>
      </w:pPr>
      <w:r>
        <w:rPr>
          <w:rStyle w:val="FootnoteReference"/>
        </w:rPr>
        <w:footnoteRef/>
      </w:r>
      <w:r>
        <w:t xml:space="preserve"> </w:t>
      </w:r>
      <w:r w:rsidRPr="006A7AA0">
        <w:rPr>
          <w:i/>
        </w:rPr>
        <w:t>Hebrew Questions on Genesis</w:t>
      </w:r>
      <w:r w:rsidRPr="006A7AA0">
        <w:t>,</w:t>
      </w:r>
      <w:r>
        <w:t xml:space="preserve"> 56.</w:t>
      </w:r>
    </w:p>
  </w:footnote>
  <w:footnote w:id="716">
    <w:p w14:paraId="07E3CA3D" w14:textId="77777777" w:rsidR="000438B1" w:rsidRDefault="000438B1" w:rsidP="001619A6">
      <w:pPr>
        <w:pStyle w:val="FootnoteText"/>
      </w:pPr>
      <w:r>
        <w:rPr>
          <w:rStyle w:val="FootnoteReference"/>
        </w:rPr>
        <w:footnoteRef/>
      </w:r>
      <w:r>
        <w:t xml:space="preserve"> B. S. </w:t>
      </w:r>
      <w:r w:rsidRPr="007603D0">
        <w:t xml:space="preserve">Childs, </w:t>
      </w:r>
      <w:r w:rsidRPr="007603D0">
        <w:rPr>
          <w:i/>
        </w:rPr>
        <w:t>Biblical Theology</w:t>
      </w:r>
      <w:r>
        <w:rPr>
          <w:i/>
        </w:rPr>
        <w:t xml:space="preserve"> of the Old and New Testaments </w:t>
      </w:r>
      <w:r>
        <w:t>(London: SCM, 1992)</w:t>
      </w:r>
      <w:r w:rsidRPr="007603D0">
        <w:t>, 334</w:t>
      </w:r>
      <w:r>
        <w:t>.</w:t>
      </w:r>
    </w:p>
  </w:footnote>
  <w:footnote w:id="717">
    <w:p w14:paraId="3A510680" w14:textId="77777777" w:rsidR="000438B1" w:rsidRPr="001F088C" w:rsidRDefault="000438B1" w:rsidP="0001617E">
      <w:pPr>
        <w:pStyle w:val="FootnoteText"/>
      </w:pPr>
      <w:r>
        <w:rPr>
          <w:rStyle w:val="FootnoteReference"/>
        </w:rPr>
        <w:footnoteRef/>
      </w:r>
      <w:r>
        <w:t xml:space="preserve"> Reno, </w:t>
      </w:r>
      <w:r>
        <w:rPr>
          <w:i/>
        </w:rPr>
        <w:t>Genesis</w:t>
      </w:r>
      <w:r>
        <w:t>, 199.</w:t>
      </w:r>
    </w:p>
  </w:footnote>
  <w:footnote w:id="718">
    <w:p w14:paraId="55AA804C" w14:textId="77777777" w:rsidR="000438B1" w:rsidRPr="00197432" w:rsidRDefault="000438B1">
      <w:pPr>
        <w:pStyle w:val="FootnoteText"/>
      </w:pPr>
      <w:r>
        <w:rPr>
          <w:rStyle w:val="FootnoteReference"/>
        </w:rPr>
        <w:footnoteRef/>
      </w:r>
      <w:r>
        <w:t xml:space="preserve"> Luther, </w:t>
      </w:r>
      <w:r>
        <w:rPr>
          <w:i/>
        </w:rPr>
        <w:t>Genesis 21—25</w:t>
      </w:r>
      <w:r>
        <w:t>, 143.</w:t>
      </w:r>
    </w:p>
  </w:footnote>
  <w:footnote w:id="719">
    <w:p w14:paraId="24FA3F8A" w14:textId="77777777" w:rsidR="000438B1" w:rsidRDefault="000438B1" w:rsidP="00682EE6">
      <w:pPr>
        <w:pStyle w:val="FootnoteText"/>
      </w:pPr>
      <w:r>
        <w:rPr>
          <w:rStyle w:val="FootnoteReference"/>
        </w:rPr>
        <w:footnoteRef/>
      </w:r>
      <w:r>
        <w:t xml:space="preserve"> </w:t>
      </w:r>
      <w:r w:rsidRPr="00BF1E3C">
        <w:t xml:space="preserve">Chrysostom, </w:t>
      </w:r>
      <w:r w:rsidRPr="00BF1E3C">
        <w:rPr>
          <w:i/>
        </w:rPr>
        <w:t>Homilies on Genesis 46-67</w:t>
      </w:r>
      <w:r w:rsidRPr="00BF1E3C">
        <w:t>,</w:t>
      </w:r>
      <w:r>
        <w:t xml:space="preserve"> 21.</w:t>
      </w:r>
    </w:p>
  </w:footnote>
  <w:footnote w:id="720">
    <w:p w14:paraId="0908D9ED" w14:textId="77777777" w:rsidR="000438B1" w:rsidRPr="0095139A" w:rsidRDefault="000438B1" w:rsidP="00A24572">
      <w:pPr>
        <w:pStyle w:val="FootnoteText"/>
      </w:pPr>
      <w:r>
        <w:rPr>
          <w:rStyle w:val="FootnoteReference"/>
        </w:rPr>
        <w:footnoteRef/>
      </w:r>
      <w:r>
        <w:t xml:space="preserve"> </w:t>
      </w:r>
      <w:r w:rsidRPr="0095139A">
        <w:t xml:space="preserve">Levenson, </w:t>
      </w:r>
      <w:r w:rsidRPr="0095139A">
        <w:rPr>
          <w:i/>
        </w:rPr>
        <w:t>Death and Resurrection of the Beloved Son</w:t>
      </w:r>
      <w:r w:rsidRPr="0095139A">
        <w:t>,</w:t>
      </w:r>
      <w:r>
        <w:t xml:space="preserve"> 142, alluding to H. C. White, “The Initiation Legend of Isaac,” </w:t>
      </w:r>
      <w:r>
        <w:rPr>
          <w:i/>
        </w:rPr>
        <w:t>ZAW</w:t>
      </w:r>
      <w:r>
        <w:t xml:space="preserve"> 91 (1979): 1-30.</w:t>
      </w:r>
    </w:p>
  </w:footnote>
  <w:footnote w:id="721">
    <w:p w14:paraId="339D054E" w14:textId="77777777" w:rsidR="000438B1" w:rsidRPr="009F5142" w:rsidRDefault="000438B1" w:rsidP="00CF2606">
      <w:pPr>
        <w:pStyle w:val="FootnoteText"/>
      </w:pPr>
      <w:r>
        <w:rPr>
          <w:rStyle w:val="FootnoteReference"/>
        </w:rPr>
        <w:footnoteRef/>
      </w:r>
      <w:r>
        <w:t xml:space="preserve"> Cf. Levenson’s comments, </w:t>
      </w:r>
      <w:r>
        <w:rPr>
          <w:i/>
        </w:rPr>
        <w:t>Inheriting Abraham</w:t>
      </w:r>
      <w:r>
        <w:t xml:space="preserve">, 85-87. The absence of reference to Isaac is the starting point of Spiegel’s </w:t>
      </w:r>
      <w:r>
        <w:rPr>
          <w:i/>
        </w:rPr>
        <w:t>The Last Trial</w:t>
      </w:r>
      <w:r>
        <w:t>.</w:t>
      </w:r>
    </w:p>
  </w:footnote>
  <w:footnote w:id="722">
    <w:p w14:paraId="29E1619F" w14:textId="37A2006E" w:rsidR="000438B1" w:rsidRPr="006505FA" w:rsidRDefault="000438B1">
      <w:pPr>
        <w:pStyle w:val="FootnoteText"/>
      </w:pPr>
      <w:r>
        <w:rPr>
          <w:rStyle w:val="FootnoteReference"/>
        </w:rPr>
        <w:footnoteRef/>
      </w:r>
      <w:r>
        <w:t xml:space="preserve"> Cf. </w:t>
      </w:r>
      <w:r w:rsidRPr="002F78D1">
        <w:t xml:space="preserve">A. Kuruvilla, “The </w:t>
      </w:r>
      <w:r w:rsidRPr="002F78D1">
        <w:rPr>
          <w:i/>
        </w:rPr>
        <w:t>Akedah</w:t>
      </w:r>
      <w:r w:rsidRPr="002F78D1">
        <w:t xml:space="preserve"> (Genesis 22),” </w:t>
      </w:r>
      <w:r w:rsidRPr="002F78D1">
        <w:rPr>
          <w:i/>
        </w:rPr>
        <w:t>JETS</w:t>
      </w:r>
      <w:r w:rsidRPr="002F78D1">
        <w:t xml:space="preserve"> 55 (2012): 489-508</w:t>
      </w:r>
      <w:r>
        <w:t xml:space="preserve"> (505); A. C. Leder, “Bound to the Altar,” </w:t>
      </w:r>
      <w:r>
        <w:rPr>
          <w:i/>
        </w:rPr>
        <w:t>CTJl</w:t>
      </w:r>
      <w:r>
        <w:t xml:space="preserve"> 51 (2016): 283-96 (290).</w:t>
      </w:r>
    </w:p>
  </w:footnote>
  <w:footnote w:id="723">
    <w:p w14:paraId="466AD3E6" w14:textId="77777777" w:rsidR="000438B1" w:rsidRDefault="000438B1">
      <w:pPr>
        <w:pStyle w:val="FootnoteText"/>
      </w:pPr>
      <w:r>
        <w:rPr>
          <w:rStyle w:val="FootnoteReference"/>
        </w:rPr>
        <w:footnoteRef/>
      </w:r>
      <w:r>
        <w:t xml:space="preserve"> P. Trible, “Genesis 22,” in J. P. Rosenblatt and J. C. Sitterson (eds.), </w:t>
      </w:r>
      <w:r>
        <w:rPr>
          <w:i/>
        </w:rPr>
        <w:t xml:space="preserve">“Not in Heaven” </w:t>
      </w:r>
      <w:r>
        <w:t>(Bloomington, IN:Indiana UP, 1991), 170-91 (190).</w:t>
      </w:r>
    </w:p>
  </w:footnote>
  <w:footnote w:id="724">
    <w:p w14:paraId="0B4FEECE" w14:textId="77777777" w:rsidR="000438B1" w:rsidRPr="00F85F3B" w:rsidRDefault="000438B1">
      <w:pPr>
        <w:pStyle w:val="FootnoteText"/>
      </w:pPr>
      <w:r>
        <w:rPr>
          <w:rStyle w:val="FootnoteReference"/>
        </w:rPr>
        <w:footnoteRef/>
      </w:r>
      <w:r>
        <w:t xml:space="preserve"> See e.g., </w:t>
      </w:r>
      <w:r w:rsidRPr="00D44342">
        <w:t>Kalimi, “‘Go, I Beg You,</w:t>
      </w:r>
      <w:r>
        <w:t>’” 26-27; and cf. the poems attributed to Ephrem noted by S. P. Brock ,</w:t>
      </w:r>
      <w:r w:rsidRPr="00533DEB">
        <w:t xml:space="preserve"> “Creating Women’s Voices,” in Grypeou/Spurling (eds.), </w:t>
      </w:r>
      <w:r w:rsidRPr="00533DEB">
        <w:rPr>
          <w:i/>
        </w:rPr>
        <w:t>Exegetical Encounter</w:t>
      </w:r>
      <w:r w:rsidRPr="00533DEB">
        <w:t>, 125-42</w:t>
      </w:r>
      <w:r>
        <w:t xml:space="preserve">. M. Romanska, “Sarah’s Gift,” in R. S. Sabbath (ed.), </w:t>
      </w:r>
      <w:r>
        <w:rPr>
          <w:i/>
        </w:rPr>
        <w:t xml:space="preserve">Sacred Tropes </w:t>
      </w:r>
      <w:r>
        <w:t xml:space="preserve">(Leiden: Brill, 2009), 393-408 reflects on the absence of Sarah from a feminist angle and in light of Jacques Derrida’s </w:t>
      </w:r>
      <w:r>
        <w:rPr>
          <w:i/>
        </w:rPr>
        <w:t xml:space="preserve">The Gift of Death </w:t>
      </w:r>
      <w:r>
        <w:t>(Chicago: University of Chicago, 1995).</w:t>
      </w:r>
    </w:p>
  </w:footnote>
  <w:footnote w:id="725">
    <w:p w14:paraId="14891CEC" w14:textId="77777777" w:rsidR="000438B1" w:rsidRPr="0025290A" w:rsidRDefault="000438B1">
      <w:pPr>
        <w:pStyle w:val="FootnoteText"/>
      </w:pPr>
      <w:r>
        <w:rPr>
          <w:rStyle w:val="FootnoteReference"/>
        </w:rPr>
        <w:footnoteRef/>
      </w:r>
      <w:r>
        <w:t xml:space="preserve"> Wenham, </w:t>
      </w:r>
      <w:r>
        <w:rPr>
          <w:i/>
        </w:rPr>
        <w:t>Genesis 16—50</w:t>
      </w:r>
      <w:r>
        <w:t>, 103.</w:t>
      </w:r>
    </w:p>
  </w:footnote>
  <w:footnote w:id="726">
    <w:p w14:paraId="6B27332B" w14:textId="77777777" w:rsidR="000438B1" w:rsidRPr="00C0490A" w:rsidRDefault="000438B1">
      <w:pPr>
        <w:pStyle w:val="FootnoteText"/>
      </w:pPr>
      <w:r>
        <w:rPr>
          <w:rStyle w:val="FootnoteReference"/>
        </w:rPr>
        <w:footnoteRef/>
      </w:r>
      <w:r>
        <w:t xml:space="preserve"> Blenkinsopp, </w:t>
      </w:r>
      <w:r>
        <w:rPr>
          <w:i/>
        </w:rPr>
        <w:t>Abraham</w:t>
      </w:r>
      <w:r>
        <w:t xml:space="preserve">, 140. </w:t>
      </w:r>
    </w:p>
  </w:footnote>
  <w:footnote w:id="727">
    <w:p w14:paraId="59E2E39E" w14:textId="77777777" w:rsidR="000438B1" w:rsidRDefault="000438B1">
      <w:pPr>
        <w:pStyle w:val="FootnoteText"/>
      </w:pPr>
      <w:r>
        <w:rPr>
          <w:rStyle w:val="FootnoteReference"/>
        </w:rPr>
        <w:footnoteRef/>
      </w:r>
      <w:r>
        <w:t xml:space="preserve"> </w:t>
      </w:r>
      <w:r w:rsidRPr="002C1884">
        <w:rPr>
          <w:i/>
        </w:rPr>
        <w:t xml:space="preserve">Genesis </w:t>
      </w:r>
      <w:r w:rsidRPr="002C1884">
        <w:t>1</w:t>
      </w:r>
      <w:r>
        <w:t>:557-74.</w:t>
      </w:r>
    </w:p>
  </w:footnote>
  <w:footnote w:id="728">
    <w:p w14:paraId="70430CEC" w14:textId="77777777" w:rsidR="000438B1" w:rsidRPr="00CE48A2" w:rsidRDefault="000438B1">
      <w:pPr>
        <w:pStyle w:val="FootnoteText"/>
      </w:pPr>
      <w:r>
        <w:rPr>
          <w:rStyle w:val="FootnoteReference"/>
        </w:rPr>
        <w:footnoteRef/>
      </w:r>
      <w:r>
        <w:t xml:space="preserve"> Cf. Fretheim, </w:t>
      </w:r>
      <w:r>
        <w:rPr>
          <w:i/>
        </w:rPr>
        <w:t>Abraham</w:t>
      </w:r>
      <w:r>
        <w:t>, 200.</w:t>
      </w:r>
    </w:p>
  </w:footnote>
  <w:footnote w:id="729">
    <w:p w14:paraId="5753A27C" w14:textId="33FEBE61" w:rsidR="000438B1" w:rsidRPr="003576C2" w:rsidRDefault="000438B1">
      <w:pPr>
        <w:pStyle w:val="FootnoteText"/>
      </w:pPr>
      <w:r>
        <w:rPr>
          <w:rStyle w:val="FootnoteReference"/>
        </w:rPr>
        <w:footnoteRef/>
      </w:r>
      <w:r>
        <w:t xml:space="preserve"> “The Conflict of the Faculties,” in </w:t>
      </w:r>
      <w:r>
        <w:rPr>
          <w:i/>
        </w:rPr>
        <w:t>Religion and Rational Theology</w:t>
      </w:r>
      <w:r>
        <w:t xml:space="preserve"> (Cambridge: Cambridge University Press, 1996), 233-327 (283). In </w:t>
      </w:r>
      <w:r w:rsidRPr="00186673">
        <w:t>“Three Perspectives on Abraham's Defense against Kant's Charge of Immoral Conduct,”</w:t>
      </w:r>
      <w:r w:rsidRPr="00186673">
        <w:rPr>
          <w:rFonts w:asciiTheme="minorHAnsi" w:eastAsiaTheme="minorEastAsia" w:hAnsiTheme="minorHAnsi" w:cstheme="minorBidi"/>
          <w:sz w:val="22"/>
          <w:szCs w:val="22"/>
          <w:lang w:bidi="ar-SA"/>
        </w:rPr>
        <w:t xml:space="preserve"> </w:t>
      </w:r>
      <w:r>
        <w:t>Palmquist and Rudisill provide many references to the expansive literature on Kant and Abraham.</w:t>
      </w:r>
    </w:p>
  </w:footnote>
  <w:footnote w:id="730">
    <w:p w14:paraId="3E8D467D" w14:textId="77777777" w:rsidR="000438B1" w:rsidRPr="00E37725" w:rsidRDefault="000438B1" w:rsidP="0001617E">
      <w:pPr>
        <w:pStyle w:val="FootnoteText"/>
      </w:pPr>
      <w:r>
        <w:rPr>
          <w:rStyle w:val="FootnoteReference"/>
        </w:rPr>
        <w:footnoteRef/>
      </w:r>
      <w:r>
        <w:t xml:space="preserve"> Cf. Westermann, </w:t>
      </w:r>
      <w:r>
        <w:rPr>
          <w:i/>
        </w:rPr>
        <w:t>Genesis 12—36</w:t>
      </w:r>
      <w:r>
        <w:t>, 356-57.</w:t>
      </w:r>
    </w:p>
  </w:footnote>
  <w:footnote w:id="731">
    <w:p w14:paraId="4CD60246" w14:textId="77777777" w:rsidR="000438B1" w:rsidRPr="00132FEC" w:rsidRDefault="000438B1">
      <w:pPr>
        <w:pStyle w:val="FootnoteText"/>
      </w:pPr>
      <w:r>
        <w:rPr>
          <w:rStyle w:val="FootnoteReference"/>
        </w:rPr>
        <w:footnoteRef/>
      </w:r>
      <w:r>
        <w:t xml:space="preserve"> See e.g., M. S. Rindge, “Reconfiguring the Akedah and Recasting God,” </w:t>
      </w:r>
      <w:r>
        <w:rPr>
          <w:i/>
        </w:rPr>
        <w:t xml:space="preserve">JBL </w:t>
      </w:r>
      <w:r>
        <w:t>130 (2011): 755-74.</w:t>
      </w:r>
    </w:p>
  </w:footnote>
  <w:footnote w:id="732">
    <w:p w14:paraId="4922219A" w14:textId="77777777" w:rsidR="000438B1" w:rsidRPr="00C64876" w:rsidRDefault="000438B1">
      <w:pPr>
        <w:pStyle w:val="FootnoteText"/>
      </w:pPr>
      <w:r>
        <w:rPr>
          <w:rStyle w:val="FootnoteReference"/>
        </w:rPr>
        <w:footnoteRef/>
      </w:r>
      <w:r>
        <w:t xml:space="preserve"> J. de Silentio [Kierkegaard’s pseudonym], </w:t>
      </w:r>
      <w:r>
        <w:rPr>
          <w:i/>
        </w:rPr>
        <w:t xml:space="preserve">Fear and </w:t>
      </w:r>
      <w:proofErr w:type="gramStart"/>
      <w:r>
        <w:rPr>
          <w:i/>
        </w:rPr>
        <w:t>Trembling</w:t>
      </w:r>
      <w:proofErr w:type="gramEnd"/>
      <w:r>
        <w:rPr>
          <w:i/>
        </w:rPr>
        <w:t xml:space="preserve"> </w:t>
      </w:r>
      <w:r>
        <w:t xml:space="preserve">(Princeton: Princeton UP, 1983). </w:t>
      </w:r>
    </w:p>
  </w:footnote>
  <w:footnote w:id="733">
    <w:p w14:paraId="1186581E" w14:textId="71705DCC" w:rsidR="000438B1" w:rsidRPr="00122969" w:rsidRDefault="000438B1" w:rsidP="00F61581">
      <w:pPr>
        <w:pStyle w:val="FootnoteText"/>
        <w:rPr>
          <w:bCs/>
        </w:rPr>
      </w:pPr>
      <w:r>
        <w:rPr>
          <w:rStyle w:val="FootnoteReference"/>
        </w:rPr>
        <w:footnoteRef/>
      </w:r>
      <w:r>
        <w:t xml:space="preserve"> A. LaCocoque, “</w:t>
      </w:r>
      <w:r>
        <w:rPr>
          <w:bCs/>
        </w:rPr>
        <w:t>About the ‘Aqedah’</w:t>
      </w:r>
      <w:r w:rsidRPr="00DF21B4">
        <w:rPr>
          <w:bCs/>
        </w:rPr>
        <w:t xml:space="preserve"> in Genesis 22</w:t>
      </w:r>
      <w:r>
        <w:rPr>
          <w:bCs/>
        </w:rPr>
        <w:t xml:space="preserve">,” </w:t>
      </w:r>
      <w:r>
        <w:rPr>
          <w:bCs/>
          <w:i/>
        </w:rPr>
        <w:t>LTQ</w:t>
      </w:r>
      <w:r>
        <w:rPr>
          <w:bCs/>
        </w:rPr>
        <w:t xml:space="preserve"> 40 (2005): 191-201 (191), r</w:t>
      </w:r>
      <w:r>
        <w:t xml:space="preserve">esponding to </w:t>
      </w:r>
      <w:r>
        <w:rPr>
          <w:bCs/>
        </w:rPr>
        <w:t>L.</w:t>
      </w:r>
      <w:r w:rsidRPr="00122969">
        <w:rPr>
          <w:bCs/>
        </w:rPr>
        <w:t xml:space="preserve"> H. Kant, "Some Restorative Thoughts on</w:t>
      </w:r>
      <w:r>
        <w:rPr>
          <w:bCs/>
        </w:rPr>
        <w:t xml:space="preserve"> an Agonizing Text," </w:t>
      </w:r>
      <w:r>
        <w:rPr>
          <w:bCs/>
          <w:i/>
        </w:rPr>
        <w:t>LTQ</w:t>
      </w:r>
      <w:r w:rsidRPr="00122969">
        <w:rPr>
          <w:bCs/>
          <w:i/>
          <w:iCs/>
        </w:rPr>
        <w:t xml:space="preserve"> </w:t>
      </w:r>
      <w:r>
        <w:rPr>
          <w:bCs/>
        </w:rPr>
        <w:t>38 (2003): 77-109, 161-94; see also Kant, “Arguing w</w:t>
      </w:r>
      <w:r w:rsidRPr="00122969">
        <w:rPr>
          <w:bCs/>
        </w:rPr>
        <w:t xml:space="preserve">ith God and </w:t>
      </w:r>
      <w:r w:rsidRPr="00122969">
        <w:rPr>
          <w:bCs/>
          <w:i/>
          <w:iCs/>
        </w:rPr>
        <w:t>Tiqqun Olam</w:t>
      </w:r>
      <w:r>
        <w:rPr>
          <w:bCs/>
          <w:iCs/>
        </w:rPr>
        <w:t xml:space="preserve">,” </w:t>
      </w:r>
      <w:r>
        <w:rPr>
          <w:bCs/>
          <w:i/>
          <w:iCs/>
        </w:rPr>
        <w:t xml:space="preserve">LTQ </w:t>
      </w:r>
      <w:r>
        <w:rPr>
          <w:bCs/>
          <w:iCs/>
        </w:rPr>
        <w:t>40 (2005): 203-19. Kant suggests that Abraham misunderstood God and failed to argue when he should have done.</w:t>
      </w:r>
    </w:p>
  </w:footnote>
  <w:footnote w:id="734">
    <w:p w14:paraId="3D6FF98C" w14:textId="77777777" w:rsidR="000438B1" w:rsidRPr="00AC3BF4" w:rsidRDefault="000438B1" w:rsidP="0033123A">
      <w:pPr>
        <w:pStyle w:val="FootnoteText"/>
      </w:pPr>
      <w:r>
        <w:rPr>
          <w:rStyle w:val="FootnoteReference"/>
        </w:rPr>
        <w:footnoteRef/>
      </w:r>
      <w:r>
        <w:t xml:space="preserve"> See e.g., T. E. Fretheim, “</w:t>
      </w:r>
      <w:r w:rsidRPr="0033123A">
        <w:rPr>
          <w:rFonts w:asciiTheme="minorHAnsi" w:eastAsiaTheme="minorHAnsi" w:hAnsiTheme="minorHAnsi" w:cs="BookAntiqua-Bold"/>
          <w:bCs/>
        </w:rPr>
        <w:t>God, Abraham, and the</w:t>
      </w:r>
      <w:r>
        <w:t xml:space="preserve"> </w:t>
      </w:r>
      <w:r w:rsidRPr="0033123A">
        <w:rPr>
          <w:rFonts w:asciiTheme="minorHAnsi" w:eastAsiaTheme="minorHAnsi" w:hAnsiTheme="minorHAnsi" w:cs="BookAntiqua-Bold"/>
          <w:bCs/>
        </w:rPr>
        <w:t>Abuse of Isaac</w:t>
      </w:r>
      <w:r>
        <w:rPr>
          <w:rFonts w:asciiTheme="minorHAnsi" w:eastAsiaTheme="minorHAnsi" w:hAnsiTheme="minorHAnsi" w:cs="BookAntiqua-Bold"/>
          <w:bCs/>
        </w:rPr>
        <w:t xml:space="preserve">,” </w:t>
      </w:r>
      <w:r>
        <w:rPr>
          <w:rFonts w:asciiTheme="minorHAnsi" w:eastAsiaTheme="minorHAnsi" w:hAnsiTheme="minorHAnsi" w:cs="BookAntiqua-Bold"/>
          <w:bCs/>
          <w:i/>
        </w:rPr>
        <w:t>Word and World</w:t>
      </w:r>
      <w:r>
        <w:rPr>
          <w:rFonts w:asciiTheme="minorHAnsi" w:eastAsiaTheme="minorHAnsi" w:hAnsiTheme="minorHAnsi" w:cs="BookAntiqua-Bold"/>
          <w:bCs/>
        </w:rPr>
        <w:t xml:space="preserve"> 15 (1995): 49-57; Fretheim, “‘God </w:t>
      </w:r>
      <w:proofErr w:type="gramStart"/>
      <w:r>
        <w:rPr>
          <w:rFonts w:asciiTheme="minorHAnsi" w:eastAsiaTheme="minorHAnsi" w:hAnsiTheme="minorHAnsi" w:cs="BookAntiqua-Bold"/>
          <w:bCs/>
        </w:rPr>
        <w:t>Was</w:t>
      </w:r>
      <w:proofErr w:type="gramEnd"/>
      <w:r>
        <w:rPr>
          <w:rFonts w:asciiTheme="minorHAnsi" w:eastAsiaTheme="minorHAnsi" w:hAnsiTheme="minorHAnsi" w:cs="BookAntiqua-Bold"/>
          <w:bCs/>
        </w:rPr>
        <w:t xml:space="preserve"> with the Boy,’” in M. J. Bunge et al. (eds.), </w:t>
      </w:r>
      <w:r>
        <w:rPr>
          <w:rFonts w:asciiTheme="minorHAnsi" w:eastAsiaTheme="minorHAnsi" w:hAnsiTheme="minorHAnsi" w:cs="BookAntiqua-Bold"/>
          <w:bCs/>
          <w:i/>
        </w:rPr>
        <w:t>The Child in the Bible</w:t>
      </w:r>
      <w:r>
        <w:rPr>
          <w:rFonts w:asciiTheme="minorHAnsi" w:eastAsiaTheme="minorHAnsi" w:hAnsiTheme="minorHAnsi" w:cs="BookAntiqua-Bold"/>
          <w:bCs/>
        </w:rPr>
        <w:t xml:space="preserve"> (Grand Rapids: Eerdmans, 2008), 3-23 (14-23).</w:t>
      </w:r>
    </w:p>
  </w:footnote>
  <w:footnote w:id="735">
    <w:p w14:paraId="0BC53938" w14:textId="77777777" w:rsidR="000438B1" w:rsidRPr="00733049" w:rsidRDefault="000438B1" w:rsidP="00183FB1">
      <w:pPr>
        <w:pStyle w:val="FootnoteText"/>
      </w:pPr>
      <w:r>
        <w:rPr>
          <w:rStyle w:val="FootnoteReference"/>
        </w:rPr>
        <w:footnoteRef/>
      </w:r>
      <w:r>
        <w:t xml:space="preserve"> Fretheim, </w:t>
      </w:r>
      <w:r>
        <w:rPr>
          <w:i/>
        </w:rPr>
        <w:t>Abraham</w:t>
      </w:r>
      <w:r>
        <w:t>, 119.</w:t>
      </w:r>
    </w:p>
  </w:footnote>
  <w:footnote w:id="736">
    <w:p w14:paraId="2830C627" w14:textId="3055552D" w:rsidR="000438B1" w:rsidRPr="003C29D8" w:rsidRDefault="000438B1" w:rsidP="00A01D96">
      <w:pPr>
        <w:pStyle w:val="FootnoteText"/>
      </w:pPr>
      <w:r>
        <w:rPr>
          <w:rStyle w:val="FootnoteReference"/>
        </w:rPr>
        <w:footnoteRef/>
      </w:r>
      <w:r>
        <w:t xml:space="preserve"> A. Miller’s treatment of Isaac in her book on childhood trauma, </w:t>
      </w:r>
      <w:r>
        <w:rPr>
          <w:i/>
        </w:rPr>
        <w:t>The Untouched Key</w:t>
      </w:r>
      <w:r>
        <w:t xml:space="preserve"> (New York: reprinted Anchor, 1991), 137-45, tellingly starts from paintings of the scene not from the story in Genesis.</w:t>
      </w:r>
    </w:p>
  </w:footnote>
  <w:footnote w:id="737">
    <w:p w14:paraId="722E9178" w14:textId="77777777" w:rsidR="000438B1" w:rsidRPr="007603D0" w:rsidRDefault="000438B1" w:rsidP="00183FB1">
      <w:pPr>
        <w:pStyle w:val="FootnoteText"/>
      </w:pPr>
      <w:r>
        <w:rPr>
          <w:rStyle w:val="FootnoteReference"/>
        </w:rPr>
        <w:footnoteRef/>
      </w:r>
      <w:r>
        <w:t xml:space="preserve"> Childs, </w:t>
      </w:r>
      <w:r>
        <w:rPr>
          <w:i/>
        </w:rPr>
        <w:t>Biblical Theology</w:t>
      </w:r>
      <w:r>
        <w:t>, 334.</w:t>
      </w:r>
    </w:p>
  </w:footnote>
  <w:footnote w:id="738">
    <w:p w14:paraId="7F8F977C" w14:textId="77777777" w:rsidR="000438B1" w:rsidRPr="002A247D" w:rsidRDefault="000438B1">
      <w:pPr>
        <w:pStyle w:val="FootnoteText"/>
      </w:pPr>
      <w:r>
        <w:rPr>
          <w:rStyle w:val="FootnoteReference"/>
        </w:rPr>
        <w:footnoteRef/>
      </w:r>
      <w:r>
        <w:t xml:space="preserve"> Cf. Kuruvilla, “The </w:t>
      </w:r>
      <w:r>
        <w:rPr>
          <w:i/>
        </w:rPr>
        <w:t>Akedah</w:t>
      </w:r>
      <w:r>
        <w:t xml:space="preserve"> (Genesis 22),” 498.</w:t>
      </w:r>
    </w:p>
  </w:footnote>
  <w:footnote w:id="739">
    <w:p w14:paraId="42B369A8" w14:textId="77777777" w:rsidR="000438B1" w:rsidRPr="00106DAC" w:rsidRDefault="000438B1" w:rsidP="00BF0376">
      <w:pPr>
        <w:pStyle w:val="FootnoteText"/>
      </w:pPr>
      <w:r>
        <w:rPr>
          <w:rStyle w:val="FootnoteReference"/>
        </w:rPr>
        <w:footnoteRef/>
      </w:r>
      <w:r>
        <w:t xml:space="preserve"> Moberly, </w:t>
      </w:r>
      <w:r>
        <w:rPr>
          <w:i/>
        </w:rPr>
        <w:t>Bible, Theology, and Faith</w:t>
      </w:r>
      <w:r>
        <w:t>, 92</w:t>
      </w:r>
    </w:p>
  </w:footnote>
  <w:footnote w:id="740">
    <w:p w14:paraId="77E92460" w14:textId="77777777" w:rsidR="000438B1" w:rsidRDefault="000438B1" w:rsidP="00BF0376">
      <w:pPr>
        <w:pStyle w:val="FootnoteText"/>
      </w:pPr>
      <w:r>
        <w:rPr>
          <w:rStyle w:val="FootnoteReference"/>
        </w:rPr>
        <w:footnoteRef/>
      </w:r>
      <w:r>
        <w:t xml:space="preserve"> </w:t>
      </w:r>
      <w:r w:rsidRPr="00AF1751">
        <w:t xml:space="preserve">Brichto, </w:t>
      </w:r>
      <w:r w:rsidRPr="00AF1751">
        <w:rPr>
          <w:i/>
        </w:rPr>
        <w:t>Names of God</w:t>
      </w:r>
      <w:r>
        <w:t>, 289-90.</w:t>
      </w:r>
    </w:p>
  </w:footnote>
  <w:footnote w:id="741">
    <w:p w14:paraId="4625689E" w14:textId="6ADAB51F" w:rsidR="000438B1" w:rsidRPr="0095139A" w:rsidRDefault="000438B1">
      <w:pPr>
        <w:pStyle w:val="FootnoteText"/>
      </w:pPr>
      <w:r>
        <w:rPr>
          <w:rStyle w:val="FootnoteReference"/>
        </w:rPr>
        <w:footnoteRef/>
      </w:r>
      <w:r>
        <w:t xml:space="preserve"> </w:t>
      </w:r>
      <w:r w:rsidRPr="0095139A">
        <w:t xml:space="preserve">Levenson, </w:t>
      </w:r>
      <w:r w:rsidRPr="0095139A">
        <w:rPr>
          <w:i/>
        </w:rPr>
        <w:t>Death and Resurrection of the Beloved Son</w:t>
      </w:r>
      <w:r w:rsidRPr="0095139A">
        <w:t>,</w:t>
      </w:r>
      <w:r>
        <w:t xml:space="preserve"> 141-42.</w:t>
      </w:r>
    </w:p>
  </w:footnote>
  <w:footnote w:id="742">
    <w:p w14:paraId="242B450D" w14:textId="77777777" w:rsidR="000438B1" w:rsidRPr="002F78D1" w:rsidRDefault="000438B1">
      <w:pPr>
        <w:pStyle w:val="FootnoteText"/>
      </w:pPr>
      <w:r>
        <w:rPr>
          <w:rStyle w:val="FootnoteReference"/>
        </w:rPr>
        <w:footnoteRef/>
      </w:r>
      <w:r>
        <w:t xml:space="preserve"> Origen, </w:t>
      </w:r>
      <w:r>
        <w:rPr>
          <w:i/>
        </w:rPr>
        <w:t>Genesis</w:t>
      </w:r>
      <w:r>
        <w:t>, 143.</w:t>
      </w:r>
    </w:p>
  </w:footnote>
  <w:footnote w:id="743">
    <w:p w14:paraId="6F708BA3" w14:textId="2C5026BB" w:rsidR="000438B1" w:rsidRDefault="000438B1" w:rsidP="00BB4E2F">
      <w:pPr>
        <w:pStyle w:val="FootnoteText"/>
      </w:pPr>
      <w:r>
        <w:rPr>
          <w:rStyle w:val="FootnoteReference"/>
        </w:rPr>
        <w:footnoteRef/>
      </w:r>
      <w:r>
        <w:t xml:space="preserve"> Keil</w:t>
      </w:r>
      <w:r w:rsidRPr="00D86E3E">
        <w:t xml:space="preserve">/Delitzsch, </w:t>
      </w:r>
      <w:r w:rsidRPr="00D86E3E">
        <w:rPr>
          <w:i/>
        </w:rPr>
        <w:t>Pentateuch</w:t>
      </w:r>
      <w:r>
        <w:t>, 253.</w:t>
      </w:r>
    </w:p>
  </w:footnote>
  <w:footnote w:id="744">
    <w:p w14:paraId="4BA9D437" w14:textId="60D32C87" w:rsidR="000438B1" w:rsidRDefault="000438B1">
      <w:pPr>
        <w:pStyle w:val="FootnoteText"/>
      </w:pPr>
      <w:r>
        <w:rPr>
          <w:rStyle w:val="FootnoteReference"/>
        </w:rPr>
        <w:footnoteRef/>
      </w:r>
      <w:r>
        <w:t xml:space="preserve"> See the footnote to 22:1.</w:t>
      </w:r>
    </w:p>
  </w:footnote>
  <w:footnote w:id="745">
    <w:p w14:paraId="4D3F2051" w14:textId="77777777" w:rsidR="000438B1" w:rsidRPr="00044E3D" w:rsidRDefault="000438B1">
      <w:pPr>
        <w:pStyle w:val="FootnoteText"/>
      </w:pPr>
      <w:r>
        <w:rPr>
          <w:rStyle w:val="FootnoteReference"/>
        </w:rPr>
        <w:footnoteRef/>
      </w:r>
      <w:r>
        <w:t xml:space="preserve"> Literally, “the sons of Ḥēt”; only in speaking of Ephron himself in v. 10b does Genesis use the word </w:t>
      </w:r>
      <w:r>
        <w:rPr>
          <w:i/>
        </w:rPr>
        <w:t>Ḥittî</w:t>
      </w:r>
      <w:r>
        <w:t>.</w:t>
      </w:r>
    </w:p>
  </w:footnote>
  <w:footnote w:id="746">
    <w:p w14:paraId="09C79134" w14:textId="77777777" w:rsidR="000438B1" w:rsidRPr="005C15C4" w:rsidRDefault="000438B1">
      <w:pPr>
        <w:pStyle w:val="FootnoteText"/>
      </w:pPr>
      <w:r>
        <w:rPr>
          <w:rStyle w:val="FootnoteReference"/>
        </w:rPr>
        <w:footnoteRef/>
      </w:r>
      <w:r>
        <w:t xml:space="preserve"> For </w:t>
      </w:r>
      <w:r>
        <w:rPr>
          <w:i/>
        </w:rPr>
        <w:t>lô</w:t>
      </w:r>
      <w:r>
        <w:t xml:space="preserve"> (which is almost unparalleled after </w:t>
      </w:r>
      <w:proofErr w:type="gramStart"/>
      <w:r>
        <w:rPr>
          <w:i/>
        </w:rPr>
        <w:t>lē’mōr</w:t>
      </w:r>
      <w:proofErr w:type="gramEnd"/>
      <w:r>
        <w:t xml:space="preserve">) SP and LXX imply </w:t>
      </w:r>
      <w:r>
        <w:rPr>
          <w:i/>
        </w:rPr>
        <w:t>lō’</w:t>
      </w:r>
      <w:r>
        <w:t xml:space="preserve"> “No!” which leads well into the next verse (cf. v. 11, though there, ironically, LXX seems to lack the </w:t>
      </w:r>
      <w:r w:rsidRPr="005C15C4">
        <w:rPr>
          <w:i/>
        </w:rPr>
        <w:t>lō’</w:t>
      </w:r>
      <w:r>
        <w:t xml:space="preserve">) (cf. Tal, </w:t>
      </w:r>
      <w:r>
        <w:rPr>
          <w:i/>
        </w:rPr>
        <w:t>Genesis</w:t>
      </w:r>
      <w:r>
        <w:t>, 134*).</w:t>
      </w:r>
    </w:p>
  </w:footnote>
  <w:footnote w:id="747">
    <w:p w14:paraId="481A4032" w14:textId="77777777" w:rsidR="000438B1" w:rsidRPr="00B37C0B" w:rsidRDefault="000438B1">
      <w:pPr>
        <w:pStyle w:val="FootnoteText"/>
      </w:pPr>
      <w:r>
        <w:rPr>
          <w:rStyle w:val="FootnoteReference"/>
        </w:rPr>
        <w:footnoteRef/>
      </w:r>
      <w:r>
        <w:t xml:space="preserve"> Literally, “a leader of God” or “God’s leader” (cf. the usage in 30:8). An Israelite audience might take it more literally: cf. Abraham as God’s friend (Isa 41:8) (von Rad, </w:t>
      </w:r>
      <w:r>
        <w:rPr>
          <w:i/>
        </w:rPr>
        <w:t>Genesis</w:t>
      </w:r>
      <w:r>
        <w:t>, 243). LXX has “king.”</w:t>
      </w:r>
    </w:p>
  </w:footnote>
  <w:footnote w:id="748">
    <w:p w14:paraId="321DA2DE" w14:textId="6CF54155" w:rsidR="000438B1" w:rsidRPr="00BC2C58" w:rsidRDefault="000438B1">
      <w:pPr>
        <w:pStyle w:val="FootnoteText"/>
      </w:pPr>
      <w:r>
        <w:rPr>
          <w:rStyle w:val="FootnoteReference"/>
        </w:rPr>
        <w:footnoteRef/>
      </w:r>
      <w:r>
        <w:t xml:space="preserve"> I follow LXX, Vg, </w:t>
      </w:r>
      <w:proofErr w:type="gramStart"/>
      <w:r>
        <w:t>Tg</w:t>
      </w:r>
      <w:proofErr w:type="gramEnd"/>
      <w:r>
        <w:t xml:space="preserve"> in translating the name rather than transliterating it as Makpelah, which is supported by the fact that it has the article.</w:t>
      </w:r>
    </w:p>
  </w:footnote>
  <w:footnote w:id="749">
    <w:p w14:paraId="35FDFD49" w14:textId="77777777" w:rsidR="000438B1" w:rsidRDefault="000438B1">
      <w:pPr>
        <w:pStyle w:val="FootnoteText"/>
      </w:pPr>
      <w:r>
        <w:rPr>
          <w:rStyle w:val="FootnoteReference"/>
        </w:rPr>
        <w:footnoteRef/>
      </w:r>
      <w:r>
        <w:t xml:space="preserve"> The resumptive naming of Ephron suggests the beginning of a new paragraph, following the circumstantial clause in v. 10a. The same applies within v. 16.</w:t>
      </w:r>
    </w:p>
  </w:footnote>
  <w:footnote w:id="750">
    <w:p w14:paraId="6BEA9CCE" w14:textId="77777777" w:rsidR="000438B1" w:rsidRDefault="000438B1" w:rsidP="0081149A">
      <w:pPr>
        <w:pStyle w:val="FootnoteText"/>
      </w:pPr>
      <w:r>
        <w:rPr>
          <w:rStyle w:val="FootnoteReference"/>
        </w:rPr>
        <w:footnoteRef/>
      </w:r>
      <w:r>
        <w:t xml:space="preserve"> Ephron anticipatorily uses the declarative/performative qatal three times, suggesting a speech act, and Abraham follows in v. 13.</w:t>
      </w:r>
    </w:p>
  </w:footnote>
  <w:footnote w:id="751">
    <w:p w14:paraId="228E6906" w14:textId="77777777" w:rsidR="000438B1" w:rsidRPr="00EF5737" w:rsidRDefault="000438B1">
      <w:pPr>
        <w:pStyle w:val="FootnoteText"/>
        <w:rPr>
          <w:rFonts w:asciiTheme="minorHAnsi" w:hAnsiTheme="minorHAnsi" w:cstheme="minorHAnsi"/>
        </w:rPr>
      </w:pPr>
      <w:r>
        <w:rPr>
          <w:rStyle w:val="FootnoteReference"/>
        </w:rPr>
        <w:footnoteRef/>
      </w:r>
      <w:r>
        <w:t xml:space="preserve"> V. A. Hurowitz, “</w:t>
      </w:r>
      <w:r>
        <w:rPr>
          <w:rFonts w:asciiTheme="minorHAnsi" w:eastAsiaTheme="minorHAnsi" w:hAnsiTheme="minorHAnsi" w:cstheme="minorHAnsi"/>
          <w:i/>
          <w:iCs/>
        </w:rPr>
        <w:t>kæsæp 'ober lassoḅ</w:t>
      </w:r>
      <w:r w:rsidRPr="00EF5737">
        <w:rPr>
          <w:rFonts w:asciiTheme="minorHAnsi" w:eastAsiaTheme="minorHAnsi" w:hAnsiTheme="minorHAnsi" w:cstheme="minorHAnsi"/>
          <w:i/>
          <w:iCs/>
        </w:rPr>
        <w:t>er</w:t>
      </w:r>
      <w:r>
        <w:rPr>
          <w:rFonts w:asciiTheme="minorHAnsi" w:eastAsiaTheme="minorHAnsi" w:hAnsiTheme="minorHAnsi" w:cstheme="minorHAnsi"/>
          <w:iCs/>
        </w:rPr>
        <w:t xml:space="preserve">,” </w:t>
      </w:r>
      <w:r>
        <w:rPr>
          <w:rFonts w:asciiTheme="minorHAnsi" w:eastAsiaTheme="minorHAnsi" w:hAnsiTheme="minorHAnsi" w:cstheme="minorHAnsi"/>
          <w:i/>
          <w:iCs/>
        </w:rPr>
        <w:t>ZAW</w:t>
      </w:r>
      <w:r>
        <w:rPr>
          <w:rFonts w:asciiTheme="minorHAnsi" w:eastAsiaTheme="minorHAnsi" w:hAnsiTheme="minorHAnsi" w:cstheme="minorHAnsi"/>
          <w:iCs/>
        </w:rPr>
        <w:t xml:space="preserve"> 108 (1996): 12-19, suggests background for this expression. </w:t>
      </w:r>
    </w:p>
  </w:footnote>
  <w:footnote w:id="752">
    <w:p w14:paraId="4C5FCB18" w14:textId="77777777" w:rsidR="000438B1" w:rsidRPr="00BC2C58" w:rsidRDefault="000438B1">
      <w:pPr>
        <w:pStyle w:val="FootnoteText"/>
      </w:pPr>
      <w:r>
        <w:rPr>
          <w:rStyle w:val="FootnoteReference"/>
        </w:rPr>
        <w:footnoteRef/>
      </w:r>
      <w:r>
        <w:t xml:space="preserve"> The verb </w:t>
      </w:r>
      <w:r>
        <w:rPr>
          <w:i/>
        </w:rPr>
        <w:t>qûm</w:t>
      </w:r>
      <w:r>
        <w:t>, literally “arose”; so also in v. 20.</w:t>
      </w:r>
    </w:p>
  </w:footnote>
  <w:footnote w:id="753">
    <w:p w14:paraId="11FF2F3D" w14:textId="77777777" w:rsidR="000438B1" w:rsidRPr="005A25AB" w:rsidRDefault="000438B1">
      <w:pPr>
        <w:pStyle w:val="FootnoteText"/>
      </w:pPr>
      <w:r>
        <w:rPr>
          <w:rStyle w:val="FootnoteReference"/>
        </w:rPr>
        <w:footnoteRef/>
      </w:r>
      <w:r>
        <w:t xml:space="preserve"> Calvin, </w:t>
      </w:r>
      <w:r>
        <w:rPr>
          <w:i/>
        </w:rPr>
        <w:t>Genesis</w:t>
      </w:r>
      <w:r>
        <w:t xml:space="preserve"> 1:575.</w:t>
      </w:r>
    </w:p>
  </w:footnote>
  <w:footnote w:id="754">
    <w:p w14:paraId="05C3F0A2" w14:textId="77777777" w:rsidR="000438B1" w:rsidRDefault="000438B1" w:rsidP="00F47194">
      <w:pPr>
        <w:pStyle w:val="FootnoteText"/>
      </w:pPr>
      <w:r>
        <w:rPr>
          <w:rStyle w:val="FootnoteReference"/>
        </w:rPr>
        <w:footnoteRef/>
      </w:r>
      <w:r>
        <w:t xml:space="preserve"> Cf. Rashi, </w:t>
      </w:r>
      <w:r w:rsidRPr="007051AD">
        <w:rPr>
          <w:i/>
        </w:rPr>
        <w:t>Br’šyt</w:t>
      </w:r>
      <w:r w:rsidRPr="007051AD">
        <w:t>,</w:t>
      </w:r>
      <w:r>
        <w:t xml:space="preserve"> 239.</w:t>
      </w:r>
    </w:p>
  </w:footnote>
  <w:footnote w:id="755">
    <w:p w14:paraId="48F3368A" w14:textId="77777777" w:rsidR="000438B1" w:rsidRDefault="000438B1">
      <w:pPr>
        <w:pStyle w:val="FootnoteText"/>
      </w:pPr>
      <w:r>
        <w:rPr>
          <w:rStyle w:val="FootnoteReference"/>
        </w:rPr>
        <w:footnoteRef/>
      </w:r>
      <w:r>
        <w:t xml:space="preserve"> Cf. Rashi, </w:t>
      </w:r>
      <w:r w:rsidRPr="00C6239F">
        <w:rPr>
          <w:i/>
        </w:rPr>
        <w:t>Br’šyt</w:t>
      </w:r>
      <w:r w:rsidRPr="00C6239F">
        <w:t>,</w:t>
      </w:r>
      <w:r>
        <w:t xml:space="preserve"> 242.</w:t>
      </w:r>
    </w:p>
  </w:footnote>
  <w:footnote w:id="756">
    <w:p w14:paraId="3580351C" w14:textId="77777777" w:rsidR="000438B1" w:rsidRDefault="000438B1" w:rsidP="00C15506">
      <w:pPr>
        <w:pStyle w:val="FootnoteText"/>
      </w:pPr>
      <w:r>
        <w:rPr>
          <w:rStyle w:val="FootnoteReference"/>
        </w:rPr>
        <w:footnoteRef/>
      </w:r>
      <w:r>
        <w:t xml:space="preserve"> Rashi, </w:t>
      </w:r>
      <w:r w:rsidRPr="008D6814">
        <w:rPr>
          <w:i/>
        </w:rPr>
        <w:t>Br’šyt</w:t>
      </w:r>
      <w:r w:rsidRPr="008D6814">
        <w:t xml:space="preserve">, </w:t>
      </w:r>
      <w:r>
        <w:t>241.</w:t>
      </w:r>
    </w:p>
  </w:footnote>
  <w:footnote w:id="757">
    <w:p w14:paraId="12823902" w14:textId="77777777" w:rsidR="000438B1" w:rsidRPr="00B97294" w:rsidRDefault="000438B1" w:rsidP="00C15506">
      <w:pPr>
        <w:pStyle w:val="FootnoteText"/>
      </w:pPr>
      <w:r>
        <w:rPr>
          <w:rStyle w:val="FootnoteReference"/>
        </w:rPr>
        <w:footnoteRef/>
      </w:r>
      <w:r>
        <w:t xml:space="preserve"> TgNeoph calls it “the town of the four </w:t>
      </w:r>
      <w:bookmarkStart w:id="1" w:name="_GoBack"/>
      <w:r>
        <w:t>ancestors</w:t>
      </w:r>
      <w:bookmarkEnd w:id="1"/>
      <w:r>
        <w:t>,” Adam, Abraham, Isaac, and Jacob (</w:t>
      </w:r>
      <w:r>
        <w:rPr>
          <w:i/>
        </w:rPr>
        <w:t xml:space="preserve">GenR </w:t>
      </w:r>
      <w:r>
        <w:t>58:4 suggests further identifications).</w:t>
      </w:r>
    </w:p>
  </w:footnote>
  <w:footnote w:id="758">
    <w:p w14:paraId="28D1C04B" w14:textId="77777777" w:rsidR="000438B1" w:rsidRPr="00943B64" w:rsidRDefault="000438B1" w:rsidP="00C15506">
      <w:pPr>
        <w:pStyle w:val="FootnoteText"/>
      </w:pPr>
      <w:r>
        <w:rPr>
          <w:rStyle w:val="FootnoteReference"/>
        </w:rPr>
        <w:footnoteRef/>
      </w:r>
      <w:r>
        <w:t xml:space="preserve"> Wenham, </w:t>
      </w:r>
      <w:r>
        <w:rPr>
          <w:i/>
        </w:rPr>
        <w:t>Genesis 16—50</w:t>
      </w:r>
      <w:r>
        <w:t>, 126.</w:t>
      </w:r>
    </w:p>
  </w:footnote>
  <w:footnote w:id="759">
    <w:p w14:paraId="11CACA6D" w14:textId="77777777" w:rsidR="000438B1" w:rsidRPr="00EC2812" w:rsidRDefault="000438B1">
      <w:pPr>
        <w:pStyle w:val="FootnoteText"/>
      </w:pPr>
      <w:r>
        <w:rPr>
          <w:rStyle w:val="FootnoteReference"/>
        </w:rPr>
        <w:footnoteRef/>
      </w:r>
      <w:r>
        <w:t xml:space="preserve"> Gunkel, </w:t>
      </w:r>
      <w:r>
        <w:rPr>
          <w:i/>
        </w:rPr>
        <w:t>Genesis</w:t>
      </w:r>
      <w:r>
        <w:t>, 270.</w:t>
      </w:r>
    </w:p>
  </w:footnote>
  <w:footnote w:id="760">
    <w:p w14:paraId="2BC46E86" w14:textId="77777777" w:rsidR="000438B1" w:rsidRDefault="000438B1" w:rsidP="00C15506">
      <w:pPr>
        <w:pStyle w:val="FootnoteText"/>
      </w:pPr>
      <w:r>
        <w:rPr>
          <w:rStyle w:val="FootnoteReference"/>
        </w:rPr>
        <w:footnoteRef/>
      </w:r>
      <w:r>
        <w:t xml:space="preserve"> Zimmerli, </w:t>
      </w:r>
      <w:r w:rsidRPr="00D97703">
        <w:rPr>
          <w:i/>
        </w:rPr>
        <w:t>1. Mose 12—25</w:t>
      </w:r>
      <w:r>
        <w:t>, 120.</w:t>
      </w:r>
    </w:p>
  </w:footnote>
  <w:footnote w:id="761">
    <w:p w14:paraId="29D0C3A0" w14:textId="77777777" w:rsidR="000438B1" w:rsidRPr="00F9497C" w:rsidRDefault="000438B1" w:rsidP="0072607A">
      <w:pPr>
        <w:pStyle w:val="FootnoteText"/>
      </w:pPr>
      <w:r>
        <w:rPr>
          <w:rStyle w:val="FootnoteReference"/>
        </w:rPr>
        <w:footnoteRef/>
      </w:r>
      <w:r>
        <w:t xml:space="preserve"> Cf. Luther, </w:t>
      </w:r>
      <w:r>
        <w:rPr>
          <w:i/>
        </w:rPr>
        <w:t>Genesis 21—25</w:t>
      </w:r>
      <w:r>
        <w:t>, 189-92, 198.</w:t>
      </w:r>
    </w:p>
  </w:footnote>
  <w:footnote w:id="762">
    <w:p w14:paraId="48EDACC3" w14:textId="77777777" w:rsidR="000438B1" w:rsidRPr="005A25AB" w:rsidRDefault="000438B1">
      <w:pPr>
        <w:pStyle w:val="FootnoteText"/>
      </w:pPr>
      <w:r>
        <w:rPr>
          <w:rStyle w:val="FootnoteReference"/>
        </w:rPr>
        <w:footnoteRef/>
      </w:r>
      <w:r>
        <w:t xml:space="preserve"> And cf. 22:17, just before (Brett, </w:t>
      </w:r>
      <w:r>
        <w:rPr>
          <w:i/>
        </w:rPr>
        <w:t>Genesis</w:t>
      </w:r>
      <w:r>
        <w:t>, 79).</w:t>
      </w:r>
    </w:p>
  </w:footnote>
  <w:footnote w:id="763">
    <w:p w14:paraId="6109944C" w14:textId="77777777" w:rsidR="000438B1" w:rsidRPr="000831F5" w:rsidRDefault="000438B1">
      <w:pPr>
        <w:pStyle w:val="FootnoteText"/>
      </w:pPr>
      <w:r>
        <w:rPr>
          <w:rStyle w:val="FootnoteReference"/>
        </w:rPr>
        <w:footnoteRef/>
      </w:r>
      <w:r>
        <w:t xml:space="preserve"> Blenkinsopp, </w:t>
      </w:r>
      <w:r>
        <w:rPr>
          <w:i/>
        </w:rPr>
        <w:t>Abraham</w:t>
      </w:r>
      <w:r>
        <w:t>, 178.</w:t>
      </w:r>
    </w:p>
  </w:footnote>
  <w:footnote w:id="764">
    <w:p w14:paraId="478B112F" w14:textId="77777777" w:rsidR="000438B1" w:rsidRPr="00F86E19" w:rsidRDefault="000438B1">
      <w:pPr>
        <w:pStyle w:val="FootnoteText"/>
      </w:pPr>
      <w:r>
        <w:rPr>
          <w:rStyle w:val="FootnoteReference"/>
        </w:rPr>
        <w:footnoteRef/>
      </w:r>
      <w:r>
        <w:t xml:space="preserve"> De La Torre, </w:t>
      </w:r>
      <w:r>
        <w:rPr>
          <w:i/>
        </w:rPr>
        <w:t>Genesis</w:t>
      </w:r>
      <w:r>
        <w:t>, 224.</w:t>
      </w:r>
    </w:p>
  </w:footnote>
  <w:footnote w:id="765">
    <w:p w14:paraId="3D1F0F4B" w14:textId="77777777" w:rsidR="000438B1" w:rsidRPr="00673E20" w:rsidRDefault="000438B1">
      <w:pPr>
        <w:pStyle w:val="FootnoteText"/>
      </w:pPr>
      <w:r>
        <w:rPr>
          <w:rStyle w:val="FootnoteReference"/>
        </w:rPr>
        <w:footnoteRef/>
      </w:r>
      <w:r>
        <w:t xml:space="preserve"> Cf. Skinner, </w:t>
      </w:r>
      <w:r>
        <w:rPr>
          <w:i/>
        </w:rPr>
        <w:t>Genesis</w:t>
      </w:r>
      <w:r>
        <w:t>, 337.</w:t>
      </w:r>
    </w:p>
  </w:footnote>
  <w:footnote w:id="766">
    <w:p w14:paraId="6B9A7434" w14:textId="77777777" w:rsidR="000438B1" w:rsidRPr="007D6796" w:rsidRDefault="000438B1" w:rsidP="00151574">
      <w:pPr>
        <w:pStyle w:val="FootnoteText"/>
      </w:pPr>
      <w:r>
        <w:rPr>
          <w:rStyle w:val="FootnoteReference"/>
        </w:rPr>
        <w:footnoteRef/>
      </w:r>
      <w:r>
        <w:t xml:space="preserve"> Cf. Dillmann, </w:t>
      </w:r>
      <w:r>
        <w:rPr>
          <w:i/>
        </w:rPr>
        <w:t>Genesis</w:t>
      </w:r>
      <w:r>
        <w:t xml:space="preserve"> 2:154.</w:t>
      </w:r>
    </w:p>
  </w:footnote>
  <w:footnote w:id="767">
    <w:p w14:paraId="19F22296" w14:textId="651F0023" w:rsidR="000438B1" w:rsidRDefault="000438B1">
      <w:pPr>
        <w:pStyle w:val="FootnoteText"/>
      </w:pPr>
      <w:r>
        <w:rPr>
          <w:rStyle w:val="FootnoteReference"/>
        </w:rPr>
        <w:footnoteRef/>
      </w:r>
      <w:r>
        <w:t xml:space="preserve"> KSG</w:t>
      </w:r>
    </w:p>
  </w:footnote>
  <w:footnote w:id="768">
    <w:p w14:paraId="1F68E56E" w14:textId="51F21F16" w:rsidR="000438B1" w:rsidRPr="0033123A" w:rsidRDefault="000438B1">
      <w:pPr>
        <w:pStyle w:val="FootnoteText"/>
      </w:pPr>
      <w:r>
        <w:rPr>
          <w:rStyle w:val="FootnoteReference"/>
        </w:rPr>
        <w:footnoteRef/>
      </w:r>
      <w:r>
        <w:t xml:space="preserve"> See S. C. Russell, “</w:t>
      </w:r>
      <w:r w:rsidRPr="0033123A">
        <w:rPr>
          <w:rFonts w:asciiTheme="minorHAnsi" w:eastAsiaTheme="minorHAnsi" w:hAnsiTheme="minorHAnsi"/>
        </w:rPr>
        <w:t>Abraham’s Purchase of Ephron’s Land in Anthropological Perspective</w:t>
      </w:r>
      <w:r>
        <w:rPr>
          <w:rFonts w:asciiTheme="minorHAnsi" w:eastAsiaTheme="minorHAnsi" w:hAnsiTheme="minorHAnsi"/>
        </w:rPr>
        <w:t xml:space="preserve">,” </w:t>
      </w:r>
      <w:r>
        <w:rPr>
          <w:rFonts w:asciiTheme="minorHAnsi" w:eastAsiaTheme="minorHAnsi" w:hAnsiTheme="minorHAnsi"/>
          <w:i/>
        </w:rPr>
        <w:t>BibInt</w:t>
      </w:r>
      <w:r>
        <w:rPr>
          <w:rFonts w:asciiTheme="minorHAnsi" w:eastAsiaTheme="minorHAnsi" w:hAnsiTheme="minorHAnsi"/>
        </w:rPr>
        <w:t xml:space="preserve"> 21 (2013): 153-70.</w:t>
      </w:r>
    </w:p>
  </w:footnote>
  <w:footnote w:id="769">
    <w:p w14:paraId="16366E3A" w14:textId="77777777" w:rsidR="000438B1" w:rsidRDefault="000438B1" w:rsidP="005378C9">
      <w:pPr>
        <w:pStyle w:val="FootnoteText"/>
      </w:pPr>
      <w:r>
        <w:rPr>
          <w:rStyle w:val="FootnoteReference"/>
        </w:rPr>
        <w:footnoteRef/>
      </w:r>
      <w:r>
        <w:t xml:space="preserve"> Cf. </w:t>
      </w:r>
      <w:r w:rsidRPr="009947A7">
        <w:t xml:space="preserve">De La Torre, </w:t>
      </w:r>
      <w:r w:rsidRPr="009947A7">
        <w:rPr>
          <w:i/>
        </w:rPr>
        <w:t>Genesis</w:t>
      </w:r>
      <w:r>
        <w:t>, 224-26.</w:t>
      </w:r>
    </w:p>
  </w:footnote>
  <w:footnote w:id="770">
    <w:p w14:paraId="412F6290" w14:textId="77777777" w:rsidR="000438B1" w:rsidRPr="00DC11F5" w:rsidRDefault="000438B1">
      <w:pPr>
        <w:pStyle w:val="FootnoteText"/>
      </w:pPr>
      <w:r>
        <w:rPr>
          <w:rStyle w:val="FootnoteReference"/>
        </w:rPr>
        <w:footnoteRef/>
      </w:r>
      <w:r>
        <w:t xml:space="preserve"> See N. MacDonald, “Driving a Hard Bargain,” in L. L. Lawrence and M. I. Aguilar (eds.), </w:t>
      </w:r>
      <w:r>
        <w:rPr>
          <w:i/>
        </w:rPr>
        <w:t>Anthropology and Biblical Studies</w:t>
      </w:r>
      <w:r>
        <w:t xml:space="preserve"> Leiden: Deo, 2004), 79-96.</w:t>
      </w:r>
    </w:p>
  </w:footnote>
  <w:footnote w:id="771">
    <w:p w14:paraId="51E510B1" w14:textId="77777777" w:rsidR="000438B1" w:rsidRPr="00EA3F55" w:rsidRDefault="000438B1">
      <w:pPr>
        <w:pStyle w:val="FootnoteText"/>
      </w:pPr>
      <w:r>
        <w:rPr>
          <w:rStyle w:val="FootnoteReference"/>
        </w:rPr>
        <w:footnoteRef/>
      </w:r>
      <w:r>
        <w:t xml:space="preserve"> Cf. Sarna, </w:t>
      </w:r>
      <w:r>
        <w:rPr>
          <w:i/>
        </w:rPr>
        <w:t>Genesis</w:t>
      </w:r>
      <w:r>
        <w:t>, 157.</w:t>
      </w:r>
    </w:p>
  </w:footnote>
  <w:footnote w:id="772">
    <w:p w14:paraId="5BBE4318" w14:textId="77777777" w:rsidR="000438B1" w:rsidRPr="00862E75" w:rsidRDefault="000438B1">
      <w:pPr>
        <w:pStyle w:val="FootnoteText"/>
      </w:pPr>
      <w:r>
        <w:rPr>
          <w:rStyle w:val="FootnoteReference"/>
        </w:rPr>
        <w:footnoteRef/>
      </w:r>
      <w:r>
        <w:t xml:space="preserve"> So Hamilton, </w:t>
      </w:r>
      <w:r>
        <w:rPr>
          <w:i/>
        </w:rPr>
        <w:t>Genesis 18—50</w:t>
      </w:r>
      <w:r>
        <w:t>, 129.</w:t>
      </w:r>
    </w:p>
  </w:footnote>
  <w:footnote w:id="773">
    <w:p w14:paraId="2D20E608" w14:textId="77777777" w:rsidR="000438B1" w:rsidRPr="00592DAB" w:rsidRDefault="000438B1">
      <w:pPr>
        <w:pStyle w:val="FootnoteText"/>
      </w:pPr>
      <w:r>
        <w:rPr>
          <w:rStyle w:val="FootnoteReference"/>
        </w:rPr>
        <w:footnoteRef/>
      </w:r>
      <w:r>
        <w:t xml:space="preserve"> Hamilton, </w:t>
      </w:r>
      <w:r>
        <w:rPr>
          <w:i/>
        </w:rPr>
        <w:t>Genesis 18—50</w:t>
      </w:r>
      <w:r>
        <w:t>, 135.</w:t>
      </w:r>
    </w:p>
  </w:footnote>
  <w:footnote w:id="774">
    <w:p w14:paraId="6225937A" w14:textId="77777777" w:rsidR="000438B1" w:rsidRPr="00002C0B" w:rsidRDefault="000438B1">
      <w:pPr>
        <w:pStyle w:val="FootnoteText"/>
      </w:pPr>
      <w:r>
        <w:rPr>
          <w:rStyle w:val="FootnoteReference"/>
        </w:rPr>
        <w:footnoteRef/>
      </w:r>
      <w:r>
        <w:t xml:space="preserve"> Cf. Alter, </w:t>
      </w:r>
      <w:r>
        <w:rPr>
          <w:i/>
        </w:rPr>
        <w:t>Genesis</w:t>
      </w:r>
      <w:r>
        <w:t>, 112.</w:t>
      </w:r>
    </w:p>
  </w:footnote>
  <w:footnote w:id="775">
    <w:p w14:paraId="56978F9A" w14:textId="77777777" w:rsidR="000438B1" w:rsidRPr="00825A9B" w:rsidRDefault="000438B1" w:rsidP="0035161A">
      <w:pPr>
        <w:pStyle w:val="FootnoteText"/>
      </w:pPr>
      <w:r>
        <w:rPr>
          <w:rStyle w:val="FootnoteReference"/>
        </w:rPr>
        <w:footnoteRef/>
      </w:r>
      <w:r>
        <w:t xml:space="preserve"> Reno, </w:t>
      </w:r>
      <w:r>
        <w:rPr>
          <w:i/>
        </w:rPr>
        <w:t>Genesis</w:t>
      </w:r>
      <w:r>
        <w:t>, 211.</w:t>
      </w:r>
    </w:p>
  </w:footnote>
  <w:footnote w:id="776">
    <w:p w14:paraId="0F6CF073" w14:textId="77777777" w:rsidR="000438B1" w:rsidRPr="008D6814" w:rsidRDefault="000438B1" w:rsidP="0035161A">
      <w:pPr>
        <w:pStyle w:val="FootnoteText"/>
      </w:pPr>
      <w:r>
        <w:rPr>
          <w:rStyle w:val="FootnoteReference"/>
        </w:rPr>
        <w:footnoteRef/>
      </w:r>
      <w:r>
        <w:t xml:space="preserve"> Ibn Ezra, </w:t>
      </w:r>
      <w:r>
        <w:rPr>
          <w:i/>
        </w:rPr>
        <w:t>Genesis</w:t>
      </w:r>
      <w:r>
        <w:t>, 232.</w:t>
      </w:r>
    </w:p>
  </w:footnote>
  <w:footnote w:id="777">
    <w:p w14:paraId="13CCE975" w14:textId="77777777" w:rsidR="000438B1" w:rsidRDefault="000438B1" w:rsidP="00913EE7">
      <w:pPr>
        <w:pStyle w:val="FootnoteText"/>
      </w:pPr>
      <w:r>
        <w:rPr>
          <w:rStyle w:val="FootnoteReference"/>
        </w:rPr>
        <w:footnoteRef/>
      </w:r>
      <w:r>
        <w:t xml:space="preserve"> See Cohn, “Negotiating with the Natives.”</w:t>
      </w:r>
    </w:p>
  </w:footnote>
  <w:footnote w:id="778">
    <w:p w14:paraId="615115A9" w14:textId="77777777" w:rsidR="000438B1" w:rsidRPr="00EB5019" w:rsidRDefault="000438B1">
      <w:pPr>
        <w:pStyle w:val="FootnoteText"/>
      </w:pPr>
      <w:r>
        <w:rPr>
          <w:rStyle w:val="FootnoteReference"/>
        </w:rPr>
        <w:footnoteRef/>
      </w:r>
      <w:r>
        <w:t xml:space="preserve"> Seebass, </w:t>
      </w:r>
      <w:r>
        <w:rPr>
          <w:i/>
        </w:rPr>
        <w:t>Genesis</w:t>
      </w:r>
      <w:r>
        <w:t xml:space="preserve"> 2/2:235.</w:t>
      </w:r>
    </w:p>
  </w:footnote>
  <w:footnote w:id="779">
    <w:p w14:paraId="6BE05C49" w14:textId="7887C517" w:rsidR="000438B1" w:rsidRPr="002C251C" w:rsidRDefault="000438B1" w:rsidP="00791481">
      <w:pPr>
        <w:pStyle w:val="FootnoteText"/>
      </w:pPr>
      <w:r w:rsidRPr="002C251C">
        <w:rPr>
          <w:rStyle w:val="FootnoteReference"/>
        </w:rPr>
        <w:footnoteRef/>
      </w:r>
      <w:r>
        <w:t xml:space="preserve"> The infinitive</w:t>
      </w:r>
      <w:r w:rsidRPr="002C251C">
        <w:t xml:space="preserve"> precedes the finite verb for emphasis: </w:t>
      </w:r>
      <w:r>
        <w:t>more l</w:t>
      </w:r>
      <w:r w:rsidRPr="002C251C">
        <w:t>iteral</w:t>
      </w:r>
      <w:r>
        <w:t>ly, “taking back should I take back?”</w:t>
      </w:r>
    </w:p>
  </w:footnote>
  <w:footnote w:id="780">
    <w:p w14:paraId="54F9CA74" w14:textId="771A5D97" w:rsidR="000438B1" w:rsidRDefault="000438B1">
      <w:pPr>
        <w:pStyle w:val="FootnoteText"/>
      </w:pPr>
      <w:r>
        <w:rPr>
          <w:rStyle w:val="FootnoteReference"/>
        </w:rPr>
        <w:footnoteRef/>
      </w:r>
      <w:r>
        <w:t xml:space="preserve"> Literally, “had known.”</w:t>
      </w:r>
    </w:p>
  </w:footnote>
  <w:footnote w:id="781">
    <w:p w14:paraId="15E321E8" w14:textId="7B5D122F" w:rsidR="000438B1" w:rsidRDefault="000438B1">
      <w:pPr>
        <w:pStyle w:val="FootnoteText"/>
      </w:pPr>
      <w:r>
        <w:rPr>
          <w:rStyle w:val="FootnoteReference"/>
        </w:rPr>
        <w:footnoteRef/>
      </w:r>
      <w:r>
        <w:t xml:space="preserve"> LXX, </w:t>
      </w:r>
      <w:proofErr w:type="gramStart"/>
      <w:r>
        <w:t>Tg</w:t>
      </w:r>
      <w:proofErr w:type="gramEnd"/>
      <w:r>
        <w:t xml:space="preserve"> have “brother,” assimilating to v. 48.</w:t>
      </w:r>
    </w:p>
  </w:footnote>
  <w:footnote w:id="782">
    <w:p w14:paraId="459885FE" w14:textId="77777777" w:rsidR="000438B1" w:rsidRDefault="000438B1">
      <w:pPr>
        <w:pStyle w:val="FootnoteText"/>
      </w:pPr>
      <w:r>
        <w:rPr>
          <w:rStyle w:val="FootnoteReference"/>
        </w:rPr>
        <w:footnoteRef/>
      </w:r>
      <w:r>
        <w:t xml:space="preserve"> The repeat of Rebekah’s name suggests that a new paragraph begins here.</w:t>
      </w:r>
    </w:p>
  </w:footnote>
  <w:footnote w:id="783">
    <w:p w14:paraId="07592A68" w14:textId="77777777" w:rsidR="000438B1" w:rsidRDefault="000438B1">
      <w:pPr>
        <w:pStyle w:val="FootnoteText"/>
      </w:pPr>
      <w:r>
        <w:rPr>
          <w:rStyle w:val="FootnoteReference"/>
        </w:rPr>
        <w:footnoteRef/>
      </w:r>
      <w:r>
        <w:t xml:space="preserve"> One would initially take the servant to be the subject of “unharnessed” and “gave,” but it was not he who gave the water. One might then take the subject of these two verbs as impersonal, “someone.” But the subject of the subsequent “he said” has to be Laban, and it is simplest to take Laban as also the subject of “unharnessed” and “gave,” which fits with his demonstrativeness in word and action in vv. 29-31. LXX, SP have “they said” for the final verb, an easier reading.</w:t>
      </w:r>
    </w:p>
  </w:footnote>
  <w:footnote w:id="784">
    <w:p w14:paraId="02BC960D" w14:textId="77777777" w:rsidR="000438B1" w:rsidRPr="00D223E4" w:rsidRDefault="000438B1">
      <w:pPr>
        <w:pStyle w:val="FootnoteText"/>
      </w:pPr>
      <w:r>
        <w:rPr>
          <w:rStyle w:val="FootnoteReference"/>
        </w:rPr>
        <w:footnoteRef/>
      </w:r>
      <w:r>
        <w:t xml:space="preserve"> K implies qal passive </w:t>
      </w:r>
      <w:r>
        <w:rPr>
          <w:i/>
        </w:rPr>
        <w:t xml:space="preserve">wayyîśem </w:t>
      </w:r>
      <w:r>
        <w:t xml:space="preserve">(cf. 50:26; GK 53u; 73f); Q has hophal </w:t>
      </w:r>
      <w:r>
        <w:rPr>
          <w:i/>
        </w:rPr>
        <w:t>wayyûśam</w:t>
      </w:r>
      <w:r>
        <w:t xml:space="preserve"> (Tal, </w:t>
      </w:r>
      <w:r>
        <w:rPr>
          <w:i/>
        </w:rPr>
        <w:t>Genesis</w:t>
      </w:r>
      <w:r>
        <w:t>, 138*).</w:t>
      </w:r>
    </w:p>
  </w:footnote>
  <w:footnote w:id="785">
    <w:p w14:paraId="17D52207" w14:textId="77777777" w:rsidR="000438B1" w:rsidRDefault="000438B1">
      <w:pPr>
        <w:pStyle w:val="FootnoteText"/>
      </w:pPr>
      <w:r>
        <w:rPr>
          <w:rStyle w:val="FootnoteReference"/>
        </w:rPr>
        <w:footnoteRef/>
      </w:r>
      <w:r>
        <w:t xml:space="preserve"> LXX, SP have “his.”</w:t>
      </w:r>
    </w:p>
  </w:footnote>
  <w:footnote w:id="786">
    <w:p w14:paraId="6AFAB817" w14:textId="77777777" w:rsidR="000438B1" w:rsidRDefault="000438B1">
      <w:pPr>
        <w:pStyle w:val="FootnoteText"/>
      </w:pPr>
      <w:r>
        <w:rPr>
          <w:rStyle w:val="FootnoteReference"/>
        </w:rPr>
        <w:footnoteRef/>
      </w:r>
      <w:r>
        <w:t xml:space="preserve"> In the broad sense of “relative.”</w:t>
      </w:r>
    </w:p>
  </w:footnote>
  <w:footnote w:id="787">
    <w:p w14:paraId="2F752B04" w14:textId="77777777" w:rsidR="000438B1" w:rsidRDefault="000438B1">
      <w:pPr>
        <w:pStyle w:val="FootnoteText"/>
      </w:pPr>
      <w:r>
        <w:rPr>
          <w:rStyle w:val="FootnoteReference"/>
        </w:rPr>
        <w:footnoteRef/>
      </w:r>
      <w:r>
        <w:t xml:space="preserve"> Literally, “Answered [singular] Laban and </w:t>
      </w:r>
      <w:r w:rsidRPr="00347BE9">
        <w:rPr>
          <w:lang w:val="en-GB"/>
        </w:rPr>
        <w:t>Betu’el</w:t>
      </w:r>
      <w:r>
        <w:rPr>
          <w:lang w:val="en-GB"/>
        </w:rPr>
        <w:t>, and said [plural].” For singular verb followed by plural subject, cf. v. 55; v. 61 is even closer as it has singular verb followed by plural verb.</w:t>
      </w:r>
    </w:p>
  </w:footnote>
  <w:footnote w:id="788">
    <w:p w14:paraId="3CFFF838" w14:textId="77777777" w:rsidR="000438B1" w:rsidRPr="007D0074" w:rsidRDefault="000438B1">
      <w:pPr>
        <w:pStyle w:val="FootnoteText"/>
      </w:pPr>
      <w:r>
        <w:rPr>
          <w:rStyle w:val="FootnoteReference"/>
        </w:rPr>
        <w:footnoteRef/>
      </w:r>
      <w:r>
        <w:t xml:space="preserve"> S. Bar suggests that </w:t>
      </w:r>
      <w:r>
        <w:rPr>
          <w:i/>
        </w:rPr>
        <w:t>migdānōt</w:t>
      </w:r>
      <w:r>
        <w:t xml:space="preserve"> are specifically fruit (“</w:t>
      </w:r>
      <w:r w:rsidRPr="007D0074">
        <w:rPr>
          <w:rFonts w:asciiTheme="minorHAnsi" w:eastAsiaTheme="minorHAnsi" w:hAnsiTheme="minorHAnsi" w:cs="TimesNewRomanPS-BoldMT"/>
          <w:bCs/>
        </w:rPr>
        <w:t>Wh</w:t>
      </w:r>
      <w:r>
        <w:rPr>
          <w:rFonts w:asciiTheme="minorHAnsi" w:eastAsiaTheme="minorHAnsi" w:hAnsiTheme="minorHAnsi" w:cs="TimesNewRomanPS-BoldMT"/>
          <w:bCs/>
        </w:rPr>
        <w:t xml:space="preserve">at Did the Servant Give to Rebecca’s Brother and Mother?” </w:t>
      </w:r>
      <w:r>
        <w:rPr>
          <w:rFonts w:asciiTheme="minorHAnsi" w:eastAsiaTheme="minorHAnsi" w:hAnsiTheme="minorHAnsi" w:cs="TimesNewRomanPS-BoldMT"/>
          <w:bCs/>
          <w:i/>
        </w:rPr>
        <w:t xml:space="preserve">Biblical </w:t>
      </w:r>
      <w:r>
        <w:rPr>
          <w:rFonts w:asciiTheme="minorHAnsi" w:eastAsiaTheme="minorHAnsi" w:hAnsiTheme="minorHAnsi" w:cs="TimesNewRomanPS-BoldMT"/>
          <w:bCs/>
        </w:rPr>
        <w:t>94 [2013]: 565-72).</w:t>
      </w:r>
    </w:p>
  </w:footnote>
  <w:footnote w:id="789">
    <w:p w14:paraId="42E245EC" w14:textId="77777777" w:rsidR="000438B1" w:rsidRDefault="000438B1">
      <w:pPr>
        <w:pStyle w:val="FootnoteText"/>
      </w:pPr>
      <w:r>
        <w:rPr>
          <w:rStyle w:val="FootnoteReference"/>
        </w:rPr>
        <w:footnoteRef/>
      </w:r>
      <w:r>
        <w:t xml:space="preserve"> Literally, “for days or ten.” The expression is unclear. TgOnq, for instance, has “a year, or [at least] ten months.”</w:t>
      </w:r>
    </w:p>
  </w:footnote>
  <w:footnote w:id="790">
    <w:p w14:paraId="7DA156CE" w14:textId="77777777" w:rsidR="000438B1" w:rsidRPr="00F42072" w:rsidRDefault="000438B1">
      <w:pPr>
        <w:pStyle w:val="FootnoteText"/>
      </w:pPr>
      <w:r>
        <w:rPr>
          <w:rStyle w:val="FootnoteReference"/>
        </w:rPr>
        <w:footnoteRef/>
      </w:r>
      <w:r>
        <w:t xml:space="preserve"> </w:t>
      </w:r>
      <w:r w:rsidRPr="00F26C3D">
        <w:t>“</w:t>
      </w:r>
      <w:r>
        <w:t>T</w:t>
      </w:r>
      <w:r w:rsidRPr="00F26C3D">
        <w:t>he Masoretic vocalization doesn’t make much sense</w:t>
      </w:r>
      <w:r>
        <w:t xml:space="preserve">” (Tal, </w:t>
      </w:r>
      <w:r>
        <w:rPr>
          <w:i/>
        </w:rPr>
        <w:t>Genesis</w:t>
      </w:r>
      <w:r>
        <w:t>, 139*);</w:t>
      </w:r>
      <w:r w:rsidRPr="00F26C3D">
        <w:t xml:space="preserve"> </w:t>
      </w:r>
      <w:r>
        <w:t xml:space="preserve">the expression is tortuous. The words </w:t>
      </w:r>
      <w:r>
        <w:rPr>
          <w:i/>
        </w:rPr>
        <w:t>bā’ mibbô’ bᵉ’ēr</w:t>
      </w:r>
      <w:r>
        <w:t xml:space="preserve"> look as if they may reflect some dittography, but neither the versions nor modern scholarship suggests a consensus on what might have been a more original text.</w:t>
      </w:r>
    </w:p>
  </w:footnote>
  <w:footnote w:id="791">
    <w:p w14:paraId="318C2881" w14:textId="77777777" w:rsidR="000438B1" w:rsidRPr="00BA67DA" w:rsidRDefault="000438B1">
      <w:pPr>
        <w:pStyle w:val="FootnoteText"/>
      </w:pPr>
      <w:r>
        <w:rPr>
          <w:rStyle w:val="FootnoteReference"/>
        </w:rPr>
        <w:footnoteRef/>
      </w:r>
      <w:r>
        <w:t xml:space="preserve"> I follow LXX, Vg, and </w:t>
      </w:r>
      <w:proofErr w:type="gramStart"/>
      <w:r>
        <w:t>Tg</w:t>
      </w:r>
      <w:proofErr w:type="gramEnd"/>
      <w:r>
        <w:t xml:space="preserve"> in linking the hapax </w:t>
      </w:r>
      <w:r>
        <w:rPr>
          <w:i/>
        </w:rPr>
        <w:t>śûaḥ</w:t>
      </w:r>
      <w:r>
        <w:t xml:space="preserve"> with </w:t>
      </w:r>
      <w:r>
        <w:rPr>
          <w:i/>
        </w:rPr>
        <w:t>śî</w:t>
      </w:r>
      <w:r w:rsidRPr="00864186">
        <w:rPr>
          <w:i/>
        </w:rPr>
        <w:t>aḥ</w:t>
      </w:r>
      <w:r>
        <w:rPr>
          <w:i/>
        </w:rPr>
        <w:t xml:space="preserve"> </w:t>
      </w:r>
      <w:r>
        <w:t xml:space="preserve">I, which can mean talk or reflect, esp. reflect out loud (see </w:t>
      </w:r>
      <w:r>
        <w:rPr>
          <w:i/>
        </w:rPr>
        <w:t>HALOT</w:t>
      </w:r>
      <w:r>
        <w:t xml:space="preserve">, 1319-20). Other possibilities are that he was out for a walk (cf. v. 65; see </w:t>
      </w:r>
      <w:r>
        <w:rPr>
          <w:i/>
        </w:rPr>
        <w:t>HALOT</w:t>
      </w:r>
      <w:r>
        <w:t xml:space="preserve">, 1312), or that he was gardening (cf. </w:t>
      </w:r>
      <w:r>
        <w:rPr>
          <w:i/>
        </w:rPr>
        <w:t xml:space="preserve">śîaḥ </w:t>
      </w:r>
      <w:r>
        <w:t xml:space="preserve">II; see Z. Ron, “Isaac’s Personality,” </w:t>
      </w:r>
      <w:r>
        <w:rPr>
          <w:i/>
        </w:rPr>
        <w:t>JBQ</w:t>
      </w:r>
      <w:r>
        <w:t xml:space="preserve"> 43 [2015]: 29-34).</w:t>
      </w:r>
    </w:p>
  </w:footnote>
  <w:footnote w:id="792">
    <w:p w14:paraId="68FAA684" w14:textId="2132373D" w:rsidR="000438B1" w:rsidRPr="001066EA" w:rsidRDefault="000438B1">
      <w:pPr>
        <w:pStyle w:val="FootnoteText"/>
      </w:pPr>
      <w:r>
        <w:rPr>
          <w:rStyle w:val="FootnoteReference"/>
        </w:rPr>
        <w:footnoteRef/>
      </w:r>
      <w:r>
        <w:t xml:space="preserve"> On the use of </w:t>
      </w:r>
      <w:r>
        <w:rPr>
          <w:i/>
        </w:rPr>
        <w:t>nāpal</w:t>
      </w:r>
      <w:r>
        <w:t>, see the footnote to 14:10.</w:t>
      </w:r>
    </w:p>
  </w:footnote>
  <w:footnote w:id="793">
    <w:p w14:paraId="72D304FE" w14:textId="77777777" w:rsidR="000438B1" w:rsidRPr="003D11BC" w:rsidRDefault="000438B1">
      <w:pPr>
        <w:pStyle w:val="FootnoteText"/>
      </w:pPr>
      <w:r>
        <w:rPr>
          <w:rStyle w:val="FootnoteReference"/>
        </w:rPr>
        <w:footnoteRef/>
      </w:r>
      <w:r>
        <w:t xml:space="preserve"> “Into the tent” (</w:t>
      </w:r>
      <w:r>
        <w:rPr>
          <w:i/>
        </w:rPr>
        <w:t>hā’ōhĕlāh</w:t>
      </w:r>
      <w:r>
        <w:t>) has the article (and then -</w:t>
      </w:r>
      <w:r>
        <w:rPr>
          <w:i/>
        </w:rPr>
        <w:t>āh</w:t>
      </w:r>
      <w:r>
        <w:t xml:space="preserve"> indicating destination), so it is not construct; the genitive is periphrastic (see GK 127f, which takes the bracketed phrase as a gloss).</w:t>
      </w:r>
    </w:p>
  </w:footnote>
  <w:footnote w:id="794">
    <w:p w14:paraId="24738BD2" w14:textId="5BFC154D" w:rsidR="000438B1" w:rsidRPr="009D13E8" w:rsidRDefault="000438B1">
      <w:pPr>
        <w:pStyle w:val="FootnoteText"/>
      </w:pPr>
      <w:r>
        <w:rPr>
          <w:rStyle w:val="FootnoteReference"/>
        </w:rPr>
        <w:footnoteRef/>
      </w:r>
      <w:r>
        <w:t xml:space="preserve"> Cf. Hamilton, </w:t>
      </w:r>
      <w:r>
        <w:rPr>
          <w:i/>
        </w:rPr>
        <w:t>Genesis 18—50</w:t>
      </w:r>
      <w:r>
        <w:t>, 138.</w:t>
      </w:r>
    </w:p>
  </w:footnote>
  <w:footnote w:id="795">
    <w:p w14:paraId="7FC7C164" w14:textId="77777777" w:rsidR="000438B1" w:rsidRDefault="000438B1">
      <w:pPr>
        <w:pStyle w:val="FootnoteText"/>
      </w:pPr>
      <w:r>
        <w:rPr>
          <w:rStyle w:val="FootnoteReference"/>
        </w:rPr>
        <w:footnoteRef/>
      </w:r>
      <w:r>
        <w:t xml:space="preserve"> E</w:t>
      </w:r>
      <w:r w:rsidRPr="00DA3CA7">
        <w:t xml:space="preserve">.g., Gunkel, </w:t>
      </w:r>
      <w:r w:rsidRPr="00DA3CA7">
        <w:rPr>
          <w:i/>
        </w:rPr>
        <w:t>Genesis</w:t>
      </w:r>
      <w:r w:rsidRPr="00DA3CA7">
        <w:t>, 246</w:t>
      </w:r>
      <w:r>
        <w:t>.</w:t>
      </w:r>
    </w:p>
  </w:footnote>
  <w:footnote w:id="796">
    <w:p w14:paraId="2D530BD2" w14:textId="77777777" w:rsidR="000438B1" w:rsidRPr="00DA3CA7" w:rsidRDefault="000438B1">
      <w:pPr>
        <w:pStyle w:val="FootnoteText"/>
        <w:rPr>
          <w:i/>
        </w:rPr>
      </w:pPr>
      <w:r>
        <w:rPr>
          <w:rStyle w:val="FootnoteReference"/>
        </w:rPr>
        <w:footnoteRef/>
      </w:r>
      <w:r>
        <w:t xml:space="preserve"> Cf. e.g., Zimmerli, </w:t>
      </w:r>
      <w:r w:rsidRPr="00DA3CA7">
        <w:rPr>
          <w:i/>
        </w:rPr>
        <w:t>1. Mose 12—25</w:t>
      </w:r>
      <w:r w:rsidRPr="00DA3CA7">
        <w:t>,</w:t>
      </w:r>
      <w:r>
        <w:t xml:space="preserve"> 127.</w:t>
      </w:r>
    </w:p>
  </w:footnote>
  <w:footnote w:id="797">
    <w:p w14:paraId="7199C6A7" w14:textId="77777777" w:rsidR="000438B1" w:rsidRDefault="000438B1" w:rsidP="009A0E2D">
      <w:pPr>
        <w:pStyle w:val="FootnoteText"/>
      </w:pPr>
      <w:r>
        <w:rPr>
          <w:rStyle w:val="FootnoteReference"/>
        </w:rPr>
        <w:footnoteRef/>
      </w:r>
      <w:r>
        <w:t xml:space="preserve"> A. Olrick, “Epic Laws of Folk Narratve,” in Dundes (ed.), </w:t>
      </w:r>
      <w:r>
        <w:rPr>
          <w:i/>
        </w:rPr>
        <w:t>Study of Folklore</w:t>
      </w:r>
      <w:r>
        <w:t>, 129-41 (132-34).</w:t>
      </w:r>
    </w:p>
  </w:footnote>
  <w:footnote w:id="798">
    <w:p w14:paraId="3366D5ED" w14:textId="26F5EB55" w:rsidR="000438B1" w:rsidRPr="006B123F" w:rsidRDefault="000438B1" w:rsidP="003B6839">
      <w:pPr>
        <w:pStyle w:val="FootnoteText"/>
      </w:pPr>
      <w:r>
        <w:rPr>
          <w:rStyle w:val="FootnoteReference"/>
        </w:rPr>
        <w:footnoteRef/>
      </w:r>
      <w:r>
        <w:t xml:space="preserve"> See Alter, </w:t>
      </w:r>
      <w:r>
        <w:rPr>
          <w:i/>
        </w:rPr>
        <w:t>Art of Biblical Narrative</w:t>
      </w:r>
      <w:r>
        <w:t xml:space="preserve">, 88-113; Sternberg, </w:t>
      </w:r>
      <w:r>
        <w:rPr>
          <w:i/>
        </w:rPr>
        <w:t>Poetics of Biblical Narrative</w:t>
      </w:r>
      <w:r>
        <w:t>, 365-440.</w:t>
      </w:r>
    </w:p>
  </w:footnote>
  <w:footnote w:id="799">
    <w:p w14:paraId="65F93FBE" w14:textId="77777777" w:rsidR="000438B1" w:rsidRPr="006E5B22" w:rsidRDefault="000438B1">
      <w:pPr>
        <w:pStyle w:val="FootnoteText"/>
      </w:pPr>
      <w:r>
        <w:rPr>
          <w:rStyle w:val="FootnoteReference"/>
        </w:rPr>
        <w:footnoteRef/>
      </w:r>
      <w:r>
        <w:t xml:space="preserve"> See Barth, </w:t>
      </w:r>
      <w:r>
        <w:rPr>
          <w:i/>
        </w:rPr>
        <w:t>CD</w:t>
      </w:r>
      <w:r>
        <w:t xml:space="preserve"> III, 3:3-4; Barth goes on to note (35) that this providence is however operating in connection with God pursuing his covenantal purpose.</w:t>
      </w:r>
    </w:p>
  </w:footnote>
  <w:footnote w:id="800">
    <w:p w14:paraId="5207B826" w14:textId="77777777" w:rsidR="000438B1" w:rsidRPr="00A42120" w:rsidRDefault="000438B1" w:rsidP="003B6839">
      <w:pPr>
        <w:pStyle w:val="FootnoteText"/>
      </w:pPr>
      <w:r>
        <w:rPr>
          <w:rStyle w:val="FootnoteReference"/>
        </w:rPr>
        <w:footnoteRef/>
      </w:r>
      <w:r>
        <w:t xml:space="preserve"> See Wenham, </w:t>
      </w:r>
      <w:r>
        <w:rPr>
          <w:i/>
        </w:rPr>
        <w:t>Genesis 16—50</w:t>
      </w:r>
      <w:r>
        <w:t>, 137, 138.</w:t>
      </w:r>
    </w:p>
  </w:footnote>
  <w:footnote w:id="801">
    <w:p w14:paraId="4581AA43" w14:textId="77777777" w:rsidR="000438B1" w:rsidRPr="005B557D" w:rsidRDefault="000438B1" w:rsidP="00500892">
      <w:pPr>
        <w:pStyle w:val="FootnoteText"/>
      </w:pPr>
      <w:r>
        <w:rPr>
          <w:rStyle w:val="FootnoteReference"/>
        </w:rPr>
        <w:footnoteRef/>
      </w:r>
      <w:r>
        <w:t xml:space="preserve"> Against e.g., Luther, </w:t>
      </w:r>
      <w:r>
        <w:rPr>
          <w:i/>
        </w:rPr>
        <w:t>Genesis 21—25</w:t>
      </w:r>
      <w:r>
        <w:t>, 218-99: Luther is especially concerned about clandestine betrothals and betrothal without parental approval.</w:t>
      </w:r>
    </w:p>
  </w:footnote>
  <w:footnote w:id="802">
    <w:p w14:paraId="005F2560" w14:textId="77777777" w:rsidR="000438B1" w:rsidRDefault="000438B1" w:rsidP="003B6839">
      <w:pPr>
        <w:pStyle w:val="FootnoteText"/>
      </w:pPr>
      <w:r>
        <w:rPr>
          <w:rStyle w:val="FootnoteReference"/>
        </w:rPr>
        <w:footnoteRef/>
      </w:r>
      <w:r>
        <w:t xml:space="preserve"> See Cohn, “Negotiating with the Natives.”</w:t>
      </w:r>
    </w:p>
  </w:footnote>
  <w:footnote w:id="803">
    <w:p w14:paraId="447C77BC" w14:textId="77777777" w:rsidR="000438B1" w:rsidRPr="001811F7" w:rsidRDefault="000438B1" w:rsidP="003B6839">
      <w:pPr>
        <w:pStyle w:val="FootnoteText"/>
      </w:pPr>
      <w:r>
        <w:rPr>
          <w:rStyle w:val="FootnoteReference"/>
        </w:rPr>
        <w:footnoteRef/>
      </w:r>
      <w:r>
        <w:t xml:space="preserve"> Contrast De La Torre, </w:t>
      </w:r>
      <w:r>
        <w:rPr>
          <w:i/>
        </w:rPr>
        <w:t>Genesis</w:t>
      </w:r>
      <w:r>
        <w:t xml:space="preserve">, </w:t>
      </w:r>
      <w:proofErr w:type="gramStart"/>
      <w:r>
        <w:t>227</w:t>
      </w:r>
      <w:proofErr w:type="gramEnd"/>
      <w:r>
        <w:t>-28.</w:t>
      </w:r>
    </w:p>
  </w:footnote>
  <w:footnote w:id="804">
    <w:p w14:paraId="682034DC" w14:textId="77777777" w:rsidR="000438B1" w:rsidRPr="00CF7B1A" w:rsidRDefault="000438B1">
      <w:pPr>
        <w:pStyle w:val="FootnoteText"/>
      </w:pPr>
      <w:r>
        <w:rPr>
          <w:rStyle w:val="FootnoteReference"/>
        </w:rPr>
        <w:footnoteRef/>
      </w:r>
      <w:r>
        <w:t xml:space="preserve"> Blenkinsopp, </w:t>
      </w:r>
      <w:r>
        <w:rPr>
          <w:i/>
        </w:rPr>
        <w:t>Abraham</w:t>
      </w:r>
      <w:r>
        <w:t>, 186.</w:t>
      </w:r>
    </w:p>
  </w:footnote>
  <w:footnote w:id="805">
    <w:p w14:paraId="3698DBFA" w14:textId="77777777" w:rsidR="000438B1" w:rsidRPr="00735B5A" w:rsidRDefault="000438B1">
      <w:pPr>
        <w:pStyle w:val="FootnoteText"/>
      </w:pPr>
      <w:r>
        <w:rPr>
          <w:rStyle w:val="FootnoteReference"/>
        </w:rPr>
        <w:footnoteRef/>
      </w:r>
      <w:r>
        <w:t xml:space="preserve"> Cf. L. M. Teugels, </w:t>
      </w:r>
      <w:r>
        <w:rPr>
          <w:i/>
        </w:rPr>
        <w:t>Bible and Midrash</w:t>
      </w:r>
      <w:r>
        <w:t xml:space="preserve"> (Leuven: Peeters, 2004), 55.</w:t>
      </w:r>
    </w:p>
  </w:footnote>
  <w:footnote w:id="806">
    <w:p w14:paraId="213BC98F" w14:textId="77777777" w:rsidR="000438B1" w:rsidRPr="00E3308A" w:rsidRDefault="000438B1">
      <w:pPr>
        <w:pStyle w:val="FootnoteText"/>
      </w:pPr>
      <w:r>
        <w:rPr>
          <w:rStyle w:val="FootnoteReference"/>
        </w:rPr>
        <w:footnoteRef/>
      </w:r>
      <w:r>
        <w:t xml:space="preserve"> Cf. Alter, </w:t>
      </w:r>
      <w:r>
        <w:rPr>
          <w:i/>
        </w:rPr>
        <w:t>The Art of Biblical Narrative</w:t>
      </w:r>
      <w:r>
        <w:t>, 53; Alter notes that in this story and elsewhere Isaac contrasts with the hustling and bustling Rebekah.</w:t>
      </w:r>
    </w:p>
  </w:footnote>
  <w:footnote w:id="807">
    <w:p w14:paraId="0DB02E39" w14:textId="77777777" w:rsidR="000438B1" w:rsidRDefault="000438B1" w:rsidP="00524113">
      <w:pPr>
        <w:pStyle w:val="FootnoteText"/>
      </w:pPr>
      <w:r>
        <w:rPr>
          <w:rStyle w:val="FootnoteReference"/>
        </w:rPr>
        <w:footnoteRef/>
      </w:r>
      <w:r>
        <w:t xml:space="preserve"> Cf. </w:t>
      </w:r>
      <w:r w:rsidRPr="00A71DBD">
        <w:t xml:space="preserve">J. M. Sasson, “The Servant’s Tale,” </w:t>
      </w:r>
      <w:r w:rsidRPr="00A71DBD">
        <w:rPr>
          <w:i/>
        </w:rPr>
        <w:t xml:space="preserve">JNES </w:t>
      </w:r>
      <w:r w:rsidRPr="00A71DBD">
        <w:t xml:space="preserve">65 (2006): </w:t>
      </w:r>
      <w:r>
        <w:t>241-65 (243-48).</w:t>
      </w:r>
    </w:p>
  </w:footnote>
  <w:footnote w:id="808">
    <w:p w14:paraId="3AE9E7D2" w14:textId="77777777" w:rsidR="000438B1" w:rsidRDefault="000438B1">
      <w:pPr>
        <w:pStyle w:val="FootnoteText"/>
      </w:pPr>
      <w:r>
        <w:rPr>
          <w:rStyle w:val="FootnoteReference"/>
        </w:rPr>
        <w:footnoteRef/>
      </w:r>
      <w:r>
        <w:t xml:space="preserve"> </w:t>
      </w:r>
      <w:r w:rsidRPr="00BA30CA">
        <w:t xml:space="preserve">Zimmerli, </w:t>
      </w:r>
      <w:r w:rsidRPr="00BA30CA">
        <w:rPr>
          <w:i/>
        </w:rPr>
        <w:t>Mose 12—25</w:t>
      </w:r>
      <w:r w:rsidRPr="00BA30CA">
        <w:t>, 129.</w:t>
      </w:r>
    </w:p>
  </w:footnote>
  <w:footnote w:id="809">
    <w:p w14:paraId="3A6F3616" w14:textId="77777777" w:rsidR="000438B1" w:rsidRPr="00474093" w:rsidRDefault="000438B1" w:rsidP="00524113">
      <w:pPr>
        <w:pStyle w:val="FootnoteText"/>
      </w:pPr>
      <w:r>
        <w:rPr>
          <w:rStyle w:val="FootnoteReference"/>
        </w:rPr>
        <w:footnoteRef/>
      </w:r>
      <w:r>
        <w:t xml:space="preserve"> So e.g., </w:t>
      </w:r>
      <w:r w:rsidRPr="00797112">
        <w:t>TgPsJ</w:t>
      </w:r>
      <w:r>
        <w:t xml:space="preserve">; contrast Dillmann, </w:t>
      </w:r>
      <w:r>
        <w:rPr>
          <w:i/>
        </w:rPr>
        <w:t xml:space="preserve">Genesis </w:t>
      </w:r>
      <w:r>
        <w:t>2:160.</w:t>
      </w:r>
    </w:p>
  </w:footnote>
  <w:footnote w:id="810">
    <w:p w14:paraId="577AB8D1" w14:textId="77777777" w:rsidR="000438B1" w:rsidRDefault="000438B1" w:rsidP="00524113">
      <w:pPr>
        <w:pStyle w:val="FootnoteText"/>
      </w:pPr>
      <w:r>
        <w:rPr>
          <w:rStyle w:val="FootnoteReference"/>
        </w:rPr>
        <w:footnoteRef/>
      </w:r>
      <w:r>
        <w:t xml:space="preserve"> Zimmerli, </w:t>
      </w:r>
      <w:r w:rsidRPr="00BA30CA">
        <w:rPr>
          <w:i/>
        </w:rPr>
        <w:t>Mose 12—25</w:t>
      </w:r>
      <w:r w:rsidRPr="00BA30CA">
        <w:t>,</w:t>
      </w:r>
      <w:r>
        <w:t xml:space="preserve"> 129.</w:t>
      </w:r>
    </w:p>
  </w:footnote>
  <w:footnote w:id="811">
    <w:p w14:paraId="1A110710" w14:textId="77777777" w:rsidR="000438B1" w:rsidRDefault="000438B1">
      <w:pPr>
        <w:pStyle w:val="FootnoteText"/>
      </w:pPr>
      <w:r>
        <w:rPr>
          <w:rStyle w:val="FootnoteReference"/>
        </w:rPr>
        <w:footnoteRef/>
      </w:r>
      <w:r>
        <w:t xml:space="preserve"> So e.g., </w:t>
      </w:r>
      <w:r w:rsidRPr="00797112">
        <w:t>TgPsJ</w:t>
      </w:r>
      <w:r>
        <w:t>.</w:t>
      </w:r>
    </w:p>
  </w:footnote>
  <w:footnote w:id="812">
    <w:p w14:paraId="1A48C230" w14:textId="77777777" w:rsidR="000438B1" w:rsidRPr="007A2160" w:rsidRDefault="000438B1" w:rsidP="0091387A">
      <w:pPr>
        <w:pStyle w:val="FootnoteText"/>
      </w:pPr>
      <w:r>
        <w:rPr>
          <w:rStyle w:val="FootnoteReference"/>
        </w:rPr>
        <w:footnoteRef/>
      </w:r>
      <w:r>
        <w:t xml:space="preserve"> Cf. Arnold, </w:t>
      </w:r>
      <w:r>
        <w:rPr>
          <w:i/>
        </w:rPr>
        <w:t>Genesis</w:t>
      </w:r>
      <w:r>
        <w:t>, 218.</w:t>
      </w:r>
    </w:p>
  </w:footnote>
  <w:footnote w:id="813">
    <w:p w14:paraId="744E68F3" w14:textId="43D699BB" w:rsidR="000438B1" w:rsidRPr="00440F77" w:rsidRDefault="000438B1">
      <w:pPr>
        <w:pStyle w:val="FootnoteText"/>
      </w:pPr>
      <w:r>
        <w:rPr>
          <w:rStyle w:val="FootnoteReference"/>
        </w:rPr>
        <w:footnoteRef/>
      </w:r>
      <w:r>
        <w:t xml:space="preserve"> Cf. Cohn, “Negotiating (with) the Natives.”</w:t>
      </w:r>
    </w:p>
  </w:footnote>
  <w:footnote w:id="814">
    <w:p w14:paraId="7F1D3759" w14:textId="77777777" w:rsidR="000438B1" w:rsidRPr="00665962" w:rsidRDefault="000438B1" w:rsidP="00665962">
      <w:pPr>
        <w:pStyle w:val="FootnoteText"/>
        <w:tabs>
          <w:tab w:val="left" w:pos="3150"/>
        </w:tabs>
      </w:pPr>
      <w:r>
        <w:rPr>
          <w:rStyle w:val="FootnoteReference"/>
        </w:rPr>
        <w:footnoteRef/>
      </w:r>
      <w:r>
        <w:t xml:space="preserve"> Cf. Sasson, “The Servant’s Tale,” 242.</w:t>
      </w:r>
    </w:p>
  </w:footnote>
  <w:footnote w:id="815">
    <w:p w14:paraId="1EE141F4" w14:textId="7916C058" w:rsidR="000438B1" w:rsidRPr="008D2A92" w:rsidRDefault="000438B1" w:rsidP="008D355C">
      <w:pPr>
        <w:pStyle w:val="FootnoteText"/>
      </w:pPr>
      <w:r>
        <w:rPr>
          <w:rStyle w:val="FootnoteReference"/>
        </w:rPr>
        <w:footnoteRef/>
      </w:r>
      <w:r>
        <w:t xml:space="preserve"> Cf. Sternberg, </w:t>
      </w:r>
      <w:r>
        <w:rPr>
          <w:i/>
        </w:rPr>
        <w:t>Poetics of Biblical Narrative</w:t>
      </w:r>
      <w:r>
        <w:t>, 133.</w:t>
      </w:r>
    </w:p>
  </w:footnote>
  <w:footnote w:id="816">
    <w:p w14:paraId="42ABE16B" w14:textId="77777777" w:rsidR="000438B1" w:rsidRDefault="000438B1" w:rsidP="003E2AAF">
      <w:pPr>
        <w:pStyle w:val="FootnoteText"/>
      </w:pPr>
      <w:r>
        <w:rPr>
          <w:rStyle w:val="FootnoteReference"/>
        </w:rPr>
        <w:footnoteRef/>
      </w:r>
      <w:r>
        <w:t xml:space="preserve"> </w:t>
      </w:r>
      <w:r w:rsidRPr="0050721A">
        <w:t xml:space="preserve">Luther, </w:t>
      </w:r>
      <w:r w:rsidRPr="0050721A">
        <w:rPr>
          <w:i/>
        </w:rPr>
        <w:t>Genesis 21—25</w:t>
      </w:r>
      <w:r>
        <w:t>, 253.</w:t>
      </w:r>
    </w:p>
  </w:footnote>
  <w:footnote w:id="817">
    <w:p w14:paraId="56F38D0D" w14:textId="382F8109" w:rsidR="000438B1" w:rsidRDefault="000438B1">
      <w:pPr>
        <w:pStyle w:val="FootnoteText"/>
      </w:pPr>
      <w:r>
        <w:rPr>
          <w:rStyle w:val="FootnoteReference"/>
        </w:rPr>
        <w:footnoteRef/>
      </w:r>
      <w:r>
        <w:t xml:space="preserve"> </w:t>
      </w:r>
      <w:r w:rsidRPr="002800CC">
        <w:t xml:space="preserve">Cf. Sternberg, </w:t>
      </w:r>
      <w:r w:rsidRPr="002800CC">
        <w:rPr>
          <w:i/>
        </w:rPr>
        <w:t>Poetics of Biblical Narrative</w:t>
      </w:r>
      <w:r>
        <w:t>, 136.</w:t>
      </w:r>
    </w:p>
  </w:footnote>
  <w:footnote w:id="818">
    <w:p w14:paraId="58771AFD" w14:textId="77777777" w:rsidR="000438B1" w:rsidRPr="00AD231E" w:rsidRDefault="000438B1">
      <w:pPr>
        <w:pStyle w:val="FootnoteText"/>
      </w:pPr>
      <w:r>
        <w:rPr>
          <w:rStyle w:val="FootnoteReference"/>
        </w:rPr>
        <w:footnoteRef/>
      </w:r>
      <w:r>
        <w:t xml:space="preserve"> See G. A. Rendsburg, “Some False Leads in the Identification of Late Biblical Texts,” </w:t>
      </w:r>
      <w:r>
        <w:rPr>
          <w:i/>
        </w:rPr>
        <w:t>JBL</w:t>
      </w:r>
      <w:r>
        <w:t xml:space="preserve"> 121 (2002): 23-46.</w:t>
      </w:r>
    </w:p>
  </w:footnote>
  <w:footnote w:id="819">
    <w:p w14:paraId="6C5351FF" w14:textId="77777777" w:rsidR="000438B1" w:rsidRDefault="000438B1" w:rsidP="003E2AAF">
      <w:pPr>
        <w:pStyle w:val="FootnoteText"/>
      </w:pPr>
      <w:r>
        <w:rPr>
          <w:rStyle w:val="FootnoteReference"/>
        </w:rPr>
        <w:footnoteRef/>
      </w:r>
      <w:r>
        <w:t xml:space="preserve"> Cf, Fretheim, “Genesis,” 510.</w:t>
      </w:r>
    </w:p>
  </w:footnote>
  <w:footnote w:id="820">
    <w:p w14:paraId="537D87AA" w14:textId="77777777" w:rsidR="000438B1" w:rsidRPr="001D239A" w:rsidRDefault="000438B1">
      <w:pPr>
        <w:pStyle w:val="FootnoteText"/>
      </w:pPr>
      <w:r>
        <w:rPr>
          <w:rStyle w:val="FootnoteReference"/>
        </w:rPr>
        <w:footnoteRef/>
      </w:r>
      <w:r>
        <w:t xml:space="preserve"> Cf. BDB, 74b. But </w:t>
      </w:r>
      <w:r w:rsidRPr="00D214FC">
        <w:rPr>
          <w:i/>
        </w:rPr>
        <w:t>nahara</w:t>
      </w:r>
      <w:r>
        <w:rPr>
          <w:i/>
        </w:rPr>
        <w:t>y</w:t>
      </w:r>
      <w:r w:rsidRPr="00D214FC">
        <w:rPr>
          <w:i/>
        </w:rPr>
        <w:t>im</w:t>
      </w:r>
      <w:r>
        <w:t xml:space="preserve"> may be only a quasi-dual (cf. GK 88c), equivalent to </w:t>
      </w:r>
      <w:r>
        <w:rPr>
          <w:i/>
        </w:rPr>
        <w:t>Naḫrima</w:t>
      </w:r>
      <w:r>
        <w:t xml:space="preserve"> in the Amarna Letters (cf. Wenham, </w:t>
      </w:r>
      <w:r>
        <w:rPr>
          <w:i/>
        </w:rPr>
        <w:t>Genesis 16—50</w:t>
      </w:r>
      <w:r>
        <w:t>, 143).</w:t>
      </w:r>
    </w:p>
  </w:footnote>
  <w:footnote w:id="821">
    <w:p w14:paraId="11CA717B" w14:textId="77777777" w:rsidR="000438B1" w:rsidRPr="002B3368" w:rsidRDefault="000438B1">
      <w:pPr>
        <w:pStyle w:val="FootnoteText"/>
      </w:pPr>
      <w:r>
        <w:rPr>
          <w:rStyle w:val="FootnoteReference"/>
        </w:rPr>
        <w:footnoteRef/>
      </w:r>
      <w:r>
        <w:t xml:space="preserve"> Gunkel, </w:t>
      </w:r>
      <w:r>
        <w:rPr>
          <w:i/>
        </w:rPr>
        <w:t>Genesis</w:t>
      </w:r>
      <w:r>
        <w:t>, 251.</w:t>
      </w:r>
    </w:p>
  </w:footnote>
  <w:footnote w:id="822">
    <w:p w14:paraId="18BFF199" w14:textId="0D2BF4E1" w:rsidR="000438B1" w:rsidRDefault="000438B1">
      <w:pPr>
        <w:pStyle w:val="FootnoteText"/>
      </w:pPr>
      <w:r>
        <w:rPr>
          <w:rStyle w:val="FootnoteReference"/>
        </w:rPr>
        <w:footnoteRef/>
      </w:r>
      <w:r>
        <w:t xml:space="preserve"> S</w:t>
      </w:r>
      <w:r w:rsidRPr="00044150">
        <w:t>ee the comment on 19:19</w:t>
      </w:r>
      <w:r>
        <w:t>.</w:t>
      </w:r>
    </w:p>
  </w:footnote>
  <w:footnote w:id="823">
    <w:p w14:paraId="1E7044AB" w14:textId="2CE694B3" w:rsidR="000438B1" w:rsidRDefault="000438B1">
      <w:pPr>
        <w:pStyle w:val="FootnoteText"/>
      </w:pPr>
      <w:r>
        <w:rPr>
          <w:rStyle w:val="FootnoteReference"/>
        </w:rPr>
        <w:footnoteRef/>
      </w:r>
      <w:r>
        <w:t xml:space="preserve"> </w:t>
      </w:r>
      <w:r w:rsidRPr="004A76F9">
        <w:t xml:space="preserve">Cf. Sternberg, </w:t>
      </w:r>
      <w:r w:rsidRPr="004A76F9">
        <w:rPr>
          <w:i/>
        </w:rPr>
        <w:t>Poetics of Biblical Narrative</w:t>
      </w:r>
      <w:r>
        <w:t>, 137.</w:t>
      </w:r>
    </w:p>
  </w:footnote>
  <w:footnote w:id="824">
    <w:p w14:paraId="54070473" w14:textId="7BA7C9D4" w:rsidR="000438B1" w:rsidRDefault="000438B1">
      <w:pPr>
        <w:pStyle w:val="FootnoteText"/>
      </w:pPr>
      <w:r>
        <w:rPr>
          <w:rStyle w:val="FootnoteReference"/>
        </w:rPr>
        <w:footnoteRef/>
      </w:r>
      <w:r>
        <w:t xml:space="preserve"> Cf. </w:t>
      </w:r>
      <w:r w:rsidRPr="004A76F9">
        <w:t xml:space="preserve">Sternberg, </w:t>
      </w:r>
      <w:r w:rsidRPr="004A76F9">
        <w:rPr>
          <w:i/>
        </w:rPr>
        <w:t>Poetics of Biblical Narrative</w:t>
      </w:r>
      <w:r>
        <w:t>, 137</w:t>
      </w:r>
      <w:r w:rsidRPr="004A76F9">
        <w:t>.</w:t>
      </w:r>
    </w:p>
  </w:footnote>
  <w:footnote w:id="825">
    <w:p w14:paraId="2C428FB0" w14:textId="4D737E4E" w:rsidR="000438B1" w:rsidRPr="000061D3" w:rsidRDefault="000438B1">
      <w:pPr>
        <w:pStyle w:val="FootnoteText"/>
      </w:pPr>
      <w:r>
        <w:rPr>
          <w:rStyle w:val="FootnoteReference"/>
        </w:rPr>
        <w:footnoteRef/>
      </w:r>
      <w:r>
        <w:t xml:space="preserve"> On the characterization of Rebekah, see S. Gillmayr-Bucher, “The Woman of Their Dreams,” in Davies/Clines (eds.), </w:t>
      </w:r>
      <w:r>
        <w:rPr>
          <w:i/>
        </w:rPr>
        <w:t>World of Genesis</w:t>
      </w:r>
      <w:r>
        <w:t>, 90-101.</w:t>
      </w:r>
    </w:p>
  </w:footnote>
  <w:footnote w:id="826">
    <w:p w14:paraId="04AA6417" w14:textId="3A38D24D" w:rsidR="000438B1" w:rsidRPr="00EA767D" w:rsidRDefault="000438B1">
      <w:pPr>
        <w:pStyle w:val="FootnoteText"/>
      </w:pPr>
      <w:r>
        <w:rPr>
          <w:rStyle w:val="FootnoteReference"/>
        </w:rPr>
        <w:footnoteRef/>
      </w:r>
      <w:r>
        <w:t xml:space="preserve"> Schneider, </w:t>
      </w:r>
      <w:r>
        <w:rPr>
          <w:i/>
        </w:rPr>
        <w:t>Mothers of Promise</w:t>
      </w:r>
      <w:r>
        <w:t>, 52.</w:t>
      </w:r>
    </w:p>
  </w:footnote>
  <w:footnote w:id="827">
    <w:p w14:paraId="108F1999" w14:textId="77777777" w:rsidR="000438B1" w:rsidRPr="002C7A2A" w:rsidRDefault="000438B1">
      <w:pPr>
        <w:pStyle w:val="FootnoteText"/>
      </w:pPr>
      <w:r>
        <w:rPr>
          <w:rStyle w:val="FootnoteReference"/>
        </w:rPr>
        <w:footnoteRef/>
      </w:r>
      <w:r>
        <w:t xml:space="preserve"> Teugels, </w:t>
      </w:r>
      <w:r>
        <w:rPr>
          <w:i/>
        </w:rPr>
        <w:t>Bible and Midrash</w:t>
      </w:r>
      <w:r>
        <w:t>, 95.</w:t>
      </w:r>
    </w:p>
  </w:footnote>
  <w:footnote w:id="828">
    <w:p w14:paraId="5CD5C112" w14:textId="4ECE647F" w:rsidR="000438B1" w:rsidRDefault="000438B1">
      <w:pPr>
        <w:pStyle w:val="FootnoteText"/>
      </w:pPr>
      <w:r>
        <w:rPr>
          <w:rStyle w:val="FootnoteReference"/>
        </w:rPr>
        <w:footnoteRef/>
      </w:r>
      <w:r>
        <w:t xml:space="preserve"> D. Penchansky notes the comparison and contrast between the use of this verb in Gen 24 and Gen 19 (“Staying the Night,” in Nolan Fewell [ed.]</w:t>
      </w:r>
      <w:r w:rsidRPr="005114A3">
        <w:t xml:space="preserve">, </w:t>
      </w:r>
      <w:r>
        <w:rPr>
          <w:i/>
        </w:rPr>
        <w:t>Reading between Texts</w:t>
      </w:r>
      <w:r w:rsidRPr="005114A3">
        <w:t>,</w:t>
      </w:r>
      <w:r>
        <w:t xml:space="preserve"> 77-88).</w:t>
      </w:r>
    </w:p>
  </w:footnote>
  <w:footnote w:id="829">
    <w:p w14:paraId="0F5CBC1D" w14:textId="77777777" w:rsidR="000438B1" w:rsidRPr="00037B6D" w:rsidRDefault="000438B1" w:rsidP="00567BC1">
      <w:pPr>
        <w:pStyle w:val="FootnoteText"/>
      </w:pPr>
      <w:r>
        <w:rPr>
          <w:rStyle w:val="FootnoteReference"/>
        </w:rPr>
        <w:footnoteRef/>
      </w:r>
      <w:r>
        <w:t xml:space="preserve"> Ibn Ezra, </w:t>
      </w:r>
      <w:r>
        <w:rPr>
          <w:i/>
        </w:rPr>
        <w:t>Genesis</w:t>
      </w:r>
      <w:r>
        <w:t>, 239.</w:t>
      </w:r>
    </w:p>
  </w:footnote>
  <w:footnote w:id="830">
    <w:p w14:paraId="73A95F93" w14:textId="77777777" w:rsidR="000438B1" w:rsidRPr="00647867" w:rsidRDefault="000438B1">
      <w:pPr>
        <w:pStyle w:val="FootnoteText"/>
      </w:pPr>
      <w:r>
        <w:rPr>
          <w:rStyle w:val="FootnoteReference"/>
        </w:rPr>
        <w:footnoteRef/>
      </w:r>
      <w:r>
        <w:t xml:space="preserve"> But what of Gen 29:12, </w:t>
      </w:r>
      <w:r>
        <w:rPr>
          <w:i/>
        </w:rPr>
        <w:t>GenR</w:t>
      </w:r>
      <w:r>
        <w:t xml:space="preserve"> asks, and answers that her mother was dead.</w:t>
      </w:r>
    </w:p>
  </w:footnote>
  <w:footnote w:id="831">
    <w:p w14:paraId="43C48FB3" w14:textId="77777777" w:rsidR="000438B1" w:rsidRPr="00B54385" w:rsidRDefault="000438B1">
      <w:pPr>
        <w:pStyle w:val="FootnoteText"/>
      </w:pPr>
      <w:r>
        <w:rPr>
          <w:rStyle w:val="FootnoteReference"/>
        </w:rPr>
        <w:footnoteRef/>
      </w:r>
      <w:r>
        <w:t xml:space="preserve"> See Teugels, </w:t>
      </w:r>
      <w:r>
        <w:rPr>
          <w:i/>
        </w:rPr>
        <w:t>Bible and Midrash</w:t>
      </w:r>
      <w:r>
        <w:t>, 114-18.</w:t>
      </w:r>
    </w:p>
  </w:footnote>
  <w:footnote w:id="832">
    <w:p w14:paraId="66C9A542" w14:textId="77777777" w:rsidR="000438B1" w:rsidRPr="00140874" w:rsidRDefault="000438B1">
      <w:pPr>
        <w:pStyle w:val="FootnoteText"/>
      </w:pPr>
      <w:r>
        <w:rPr>
          <w:rStyle w:val="FootnoteReference"/>
        </w:rPr>
        <w:footnoteRef/>
      </w:r>
      <w:r>
        <w:t xml:space="preserve"> Cf. Hamilton, </w:t>
      </w:r>
      <w:r>
        <w:rPr>
          <w:i/>
        </w:rPr>
        <w:t>Genesis 18—50</w:t>
      </w:r>
      <w:r>
        <w:t>, 150.</w:t>
      </w:r>
    </w:p>
  </w:footnote>
  <w:footnote w:id="833">
    <w:p w14:paraId="60D5D002" w14:textId="77777777" w:rsidR="000438B1" w:rsidRPr="003C39BB" w:rsidRDefault="000438B1">
      <w:pPr>
        <w:pStyle w:val="FootnoteText"/>
      </w:pPr>
      <w:r>
        <w:rPr>
          <w:rStyle w:val="FootnoteReference"/>
        </w:rPr>
        <w:footnoteRef/>
      </w:r>
      <w:r>
        <w:t xml:space="preserve"> See </w:t>
      </w:r>
      <w:r w:rsidRPr="004F30A5">
        <w:rPr>
          <w:rFonts w:asciiTheme="minorHAnsi" w:hAnsiTheme="minorHAnsi"/>
        </w:rPr>
        <w:t>E. J. van Wolde</w:t>
      </w:r>
      <w:r>
        <w:rPr>
          <w:rFonts w:asciiTheme="minorHAnsi" w:hAnsiTheme="minorHAnsi"/>
        </w:rPr>
        <w:t>, “Telling and Retelling,” in J. C. de Moor</w:t>
      </w:r>
      <w:r w:rsidRPr="004F30A5">
        <w:rPr>
          <w:rFonts w:asciiTheme="minorHAnsi" w:hAnsiTheme="minorHAnsi"/>
        </w:rPr>
        <w:t xml:space="preserve"> </w:t>
      </w:r>
      <w:r>
        <w:rPr>
          <w:rFonts w:asciiTheme="minorHAnsi" w:hAnsiTheme="minorHAnsi"/>
        </w:rPr>
        <w:t>(</w:t>
      </w:r>
      <w:r w:rsidRPr="004F30A5">
        <w:rPr>
          <w:rFonts w:asciiTheme="minorHAnsi" w:hAnsiTheme="minorHAnsi"/>
        </w:rPr>
        <w:t>ed.</w:t>
      </w:r>
      <w:r>
        <w:rPr>
          <w:rFonts w:asciiTheme="minorHAnsi" w:hAnsiTheme="minorHAnsi"/>
        </w:rPr>
        <w:t>)</w:t>
      </w:r>
      <w:r w:rsidRPr="004F30A5">
        <w:rPr>
          <w:rFonts w:asciiTheme="minorHAnsi" w:hAnsiTheme="minorHAnsi"/>
        </w:rPr>
        <w:t xml:space="preserve">, </w:t>
      </w:r>
      <w:r w:rsidRPr="004F30A5">
        <w:rPr>
          <w:rFonts w:asciiTheme="minorHAnsi" w:hAnsiTheme="minorHAnsi" w:cs="BFIKM H+ Times Eis"/>
          <w:i/>
          <w:iCs/>
        </w:rPr>
        <w:t>Synchr</w:t>
      </w:r>
      <w:r>
        <w:rPr>
          <w:rFonts w:asciiTheme="minorHAnsi" w:hAnsiTheme="minorHAnsi" w:cs="BFIKM H+ Times Eis"/>
          <w:i/>
          <w:iCs/>
        </w:rPr>
        <w:t>onic or Diachronic?</w:t>
      </w:r>
      <w:r w:rsidRPr="004F30A5">
        <w:rPr>
          <w:rFonts w:asciiTheme="minorHAnsi" w:hAnsiTheme="minorHAnsi" w:cs="BFIKM H+ Times Eis"/>
          <w:i/>
          <w:iCs/>
        </w:rPr>
        <w:t xml:space="preserve"> </w:t>
      </w:r>
      <w:r w:rsidRPr="004F30A5">
        <w:rPr>
          <w:rFonts w:asciiTheme="minorHAnsi" w:hAnsiTheme="minorHAnsi"/>
        </w:rPr>
        <w:t>(Leiden</w:t>
      </w:r>
      <w:r>
        <w:rPr>
          <w:rFonts w:asciiTheme="minorHAnsi" w:hAnsiTheme="minorHAnsi"/>
        </w:rPr>
        <w:t xml:space="preserve">: Brill, 1995), </w:t>
      </w:r>
      <w:r w:rsidRPr="004F30A5">
        <w:rPr>
          <w:rFonts w:asciiTheme="minorHAnsi" w:hAnsiTheme="minorHAnsi"/>
        </w:rPr>
        <w:t>227–44</w:t>
      </w:r>
      <w:r>
        <w:rPr>
          <w:rFonts w:asciiTheme="minorHAnsi" w:hAnsiTheme="minorHAnsi"/>
        </w:rPr>
        <w:t xml:space="preserve">; Teugels, </w:t>
      </w:r>
      <w:r>
        <w:rPr>
          <w:rFonts w:asciiTheme="minorHAnsi" w:hAnsiTheme="minorHAnsi"/>
          <w:i/>
        </w:rPr>
        <w:t>Bible and Midrash</w:t>
      </w:r>
      <w:r>
        <w:rPr>
          <w:rFonts w:asciiTheme="minorHAnsi" w:hAnsiTheme="minorHAnsi"/>
        </w:rPr>
        <w:t>, 69-90.</w:t>
      </w:r>
    </w:p>
  </w:footnote>
  <w:footnote w:id="834">
    <w:p w14:paraId="0599C04F" w14:textId="77777777" w:rsidR="000438B1" w:rsidRPr="00972AC7" w:rsidRDefault="000438B1">
      <w:pPr>
        <w:pStyle w:val="FootnoteText"/>
      </w:pPr>
      <w:r>
        <w:rPr>
          <w:rStyle w:val="FootnoteReference"/>
        </w:rPr>
        <w:footnoteRef/>
      </w:r>
      <w:r>
        <w:t xml:space="preserve"> It’s hard to make a distinction between these two Hebrew words (cf. Hamilton, </w:t>
      </w:r>
      <w:r>
        <w:rPr>
          <w:i/>
        </w:rPr>
        <w:t>Genesis 18—50</w:t>
      </w:r>
      <w:r>
        <w:t>, 146-47); neither specifically denotes a virgin.</w:t>
      </w:r>
    </w:p>
  </w:footnote>
  <w:footnote w:id="835">
    <w:p w14:paraId="76735988" w14:textId="1DCCFD4C" w:rsidR="000438B1" w:rsidRDefault="000438B1">
      <w:pPr>
        <w:pStyle w:val="FootnoteText"/>
      </w:pPr>
      <w:r>
        <w:rPr>
          <w:rStyle w:val="FootnoteReference"/>
        </w:rPr>
        <w:footnoteRef/>
      </w:r>
      <w:r>
        <w:t xml:space="preserve"> </w:t>
      </w:r>
      <w:r w:rsidRPr="000B1789">
        <w:t xml:space="preserve">Cf. Sternberg, </w:t>
      </w:r>
      <w:r w:rsidRPr="000B1789">
        <w:rPr>
          <w:i/>
        </w:rPr>
        <w:t>Poetics of Biblical Narrative</w:t>
      </w:r>
      <w:r>
        <w:t>, 148: he calls it moral blackmail.</w:t>
      </w:r>
    </w:p>
  </w:footnote>
  <w:footnote w:id="836">
    <w:p w14:paraId="423EB782" w14:textId="4C4385D6" w:rsidR="000438B1" w:rsidRPr="007A2160" w:rsidRDefault="000438B1">
      <w:pPr>
        <w:pStyle w:val="FootnoteText"/>
      </w:pPr>
      <w:r>
        <w:rPr>
          <w:rStyle w:val="FootnoteReference"/>
        </w:rPr>
        <w:footnoteRef/>
      </w:r>
      <w:r>
        <w:t xml:space="preserve"> Cf. Keil</w:t>
      </w:r>
      <w:r w:rsidRPr="007A2160">
        <w:t xml:space="preserve">/Delitzsch, </w:t>
      </w:r>
      <w:r w:rsidRPr="007A2160">
        <w:rPr>
          <w:i/>
        </w:rPr>
        <w:t>Pentateuch</w:t>
      </w:r>
      <w:r>
        <w:t>, 260.</w:t>
      </w:r>
    </w:p>
  </w:footnote>
  <w:footnote w:id="837">
    <w:p w14:paraId="33B5D0F7" w14:textId="0B0C3A65" w:rsidR="000438B1" w:rsidRDefault="000438B1">
      <w:pPr>
        <w:pStyle w:val="FootnoteText"/>
      </w:pPr>
      <w:r>
        <w:rPr>
          <w:rStyle w:val="FootnoteReference"/>
        </w:rPr>
        <w:footnoteRef/>
      </w:r>
      <w:r>
        <w:t xml:space="preserve"> See further the comment on 34:12.</w:t>
      </w:r>
    </w:p>
  </w:footnote>
  <w:footnote w:id="838">
    <w:p w14:paraId="7B12CEDD" w14:textId="77777777" w:rsidR="000438B1" w:rsidRDefault="000438B1">
      <w:pPr>
        <w:pStyle w:val="FootnoteText"/>
      </w:pPr>
      <w:r>
        <w:rPr>
          <w:rStyle w:val="FootnoteReference"/>
        </w:rPr>
        <w:footnoteRef/>
      </w:r>
      <w:r>
        <w:t xml:space="preserve"> </w:t>
      </w:r>
      <w:r w:rsidRPr="002828AA">
        <w:t xml:space="preserve">Cf. Sarna, </w:t>
      </w:r>
      <w:r w:rsidRPr="002828AA">
        <w:rPr>
          <w:i/>
        </w:rPr>
        <w:t>Genesis</w:t>
      </w:r>
      <w:r>
        <w:t>, 161.</w:t>
      </w:r>
    </w:p>
  </w:footnote>
  <w:footnote w:id="839">
    <w:p w14:paraId="1B96EFEB" w14:textId="77777777" w:rsidR="000438B1" w:rsidRPr="00DA2E61" w:rsidRDefault="000438B1">
      <w:pPr>
        <w:pStyle w:val="FootnoteText"/>
        <w:rPr>
          <w:i/>
        </w:rPr>
      </w:pPr>
      <w:r>
        <w:rPr>
          <w:rStyle w:val="FootnoteReference"/>
        </w:rPr>
        <w:footnoteRef/>
      </w:r>
      <w:r>
        <w:t xml:space="preserve"> Rashi, </w:t>
      </w:r>
      <w:r w:rsidRPr="00DA2E61">
        <w:rPr>
          <w:i/>
        </w:rPr>
        <w:t>Br’šyt</w:t>
      </w:r>
      <w:r w:rsidRPr="00DA2E61">
        <w:t>,</w:t>
      </w:r>
      <w:r>
        <w:t xml:space="preserve"> 262,</w:t>
      </w:r>
    </w:p>
  </w:footnote>
  <w:footnote w:id="840">
    <w:p w14:paraId="087ED920" w14:textId="77777777" w:rsidR="000438B1" w:rsidRPr="002D7C31" w:rsidRDefault="000438B1" w:rsidP="00C47A5A">
      <w:pPr>
        <w:pStyle w:val="FootnoteText"/>
      </w:pPr>
      <w:r>
        <w:rPr>
          <w:rStyle w:val="FootnoteReference"/>
        </w:rPr>
        <w:footnoteRef/>
      </w:r>
      <w:r>
        <w:t xml:space="preserve"> De La Torre, </w:t>
      </w:r>
      <w:r>
        <w:rPr>
          <w:i/>
        </w:rPr>
        <w:t>Genesis</w:t>
      </w:r>
      <w:r>
        <w:t>, 231.</w:t>
      </w:r>
    </w:p>
  </w:footnote>
  <w:footnote w:id="841">
    <w:p w14:paraId="055C506F" w14:textId="77777777" w:rsidR="000438B1" w:rsidRPr="00047AC3" w:rsidRDefault="000438B1">
      <w:pPr>
        <w:pStyle w:val="FootnoteText"/>
      </w:pPr>
      <w:r>
        <w:rPr>
          <w:rStyle w:val="FootnoteReference"/>
        </w:rPr>
        <w:footnoteRef/>
      </w:r>
      <w:r>
        <w:t xml:space="preserve"> Cf. G. Vall, “What Was Isaac Doing in the Field?” </w:t>
      </w:r>
      <w:r>
        <w:rPr>
          <w:i/>
        </w:rPr>
        <w:t>VT</w:t>
      </w:r>
      <w:r>
        <w:t xml:space="preserve"> 44 (1994): 513-23.</w:t>
      </w:r>
    </w:p>
  </w:footnote>
  <w:footnote w:id="842">
    <w:p w14:paraId="41866174" w14:textId="77777777" w:rsidR="000438B1" w:rsidRPr="004F2A44" w:rsidRDefault="000438B1">
      <w:pPr>
        <w:pStyle w:val="FootnoteText"/>
      </w:pPr>
      <w:r>
        <w:rPr>
          <w:rStyle w:val="FootnoteReference"/>
        </w:rPr>
        <w:footnoteRef/>
      </w:r>
      <w:r>
        <w:t xml:space="preserve"> Cf. Sarna, </w:t>
      </w:r>
      <w:r>
        <w:rPr>
          <w:i/>
        </w:rPr>
        <w:t>Genesis</w:t>
      </w:r>
      <w:r>
        <w:t>, 161, who notes that symbolically, v. 34 is the chapter’s middle verse.</w:t>
      </w:r>
    </w:p>
  </w:footnote>
  <w:footnote w:id="843">
    <w:p w14:paraId="5B5582A5" w14:textId="77777777" w:rsidR="000438B1" w:rsidRDefault="000438B1">
      <w:pPr>
        <w:pStyle w:val="FootnoteText"/>
      </w:pPr>
      <w:r>
        <w:rPr>
          <w:rStyle w:val="FootnoteReference"/>
        </w:rPr>
        <w:footnoteRef/>
      </w:r>
      <w:r>
        <w:t xml:space="preserve"> </w:t>
      </w:r>
      <w:r w:rsidRPr="00FB41A8">
        <w:t xml:space="preserve">Cf. Sarna, </w:t>
      </w:r>
      <w:r w:rsidRPr="00FB41A8">
        <w:rPr>
          <w:i/>
        </w:rPr>
        <w:t>Genesis</w:t>
      </w:r>
      <w:r>
        <w:t>, 170.</w:t>
      </w:r>
    </w:p>
  </w:footnote>
  <w:footnote w:id="844">
    <w:p w14:paraId="7A81D62B" w14:textId="77777777" w:rsidR="000438B1" w:rsidRPr="002D7C31" w:rsidRDefault="000438B1" w:rsidP="00DA53A8">
      <w:pPr>
        <w:pStyle w:val="FootnoteText"/>
      </w:pPr>
      <w:r>
        <w:rPr>
          <w:rStyle w:val="FootnoteReference"/>
        </w:rPr>
        <w:footnoteRef/>
      </w:r>
      <w:r>
        <w:t xml:space="preserve"> Cf. Brayford, </w:t>
      </w:r>
      <w:r>
        <w:rPr>
          <w:i/>
        </w:rPr>
        <w:t>Genesis</w:t>
      </w:r>
      <w:r>
        <w:t>, 342.</w:t>
      </w:r>
    </w:p>
  </w:footnote>
  <w:footnote w:id="845">
    <w:p w14:paraId="620234D8" w14:textId="6130CD65" w:rsidR="000438B1" w:rsidRDefault="000438B1">
      <w:pPr>
        <w:pStyle w:val="FootnoteText"/>
      </w:pPr>
      <w:r>
        <w:rPr>
          <w:rStyle w:val="FootnoteReference"/>
        </w:rPr>
        <w:footnoteRef/>
      </w:r>
      <w:r>
        <w:t xml:space="preserve"> On the word order, see the footnote to 4:18.</w:t>
      </w:r>
    </w:p>
  </w:footnote>
  <w:footnote w:id="846">
    <w:p w14:paraId="09B21AD0" w14:textId="77777777" w:rsidR="000438B1" w:rsidRDefault="000438B1">
      <w:pPr>
        <w:pStyle w:val="FootnoteText"/>
      </w:pPr>
      <w:r>
        <w:rPr>
          <w:rStyle w:val="FootnoteReference"/>
        </w:rPr>
        <w:footnoteRef/>
      </w:r>
      <w:r>
        <w:t xml:space="preserve"> Literally, “these are the days.”</w:t>
      </w:r>
    </w:p>
  </w:footnote>
  <w:footnote w:id="847">
    <w:p w14:paraId="10BB56F6" w14:textId="77777777" w:rsidR="000438B1" w:rsidRPr="008E53FB" w:rsidRDefault="000438B1">
      <w:pPr>
        <w:pStyle w:val="FootnoteText"/>
      </w:pPr>
      <w:r>
        <w:rPr>
          <w:rStyle w:val="FootnoteReference"/>
        </w:rPr>
        <w:footnoteRef/>
      </w:r>
      <w:r>
        <w:t xml:space="preserve"> The subject follows the second verb, suggesting that “expired and died” is a kind of hendiadys (cf. v. 17, also 35:29—however, there the subject comes in between the two verbs), though </w:t>
      </w:r>
      <w:r>
        <w:rPr>
          <w:i/>
        </w:rPr>
        <w:t xml:space="preserve">IBHS </w:t>
      </w:r>
      <w:r>
        <w:t xml:space="preserve">32.3b, 39.2.5 only uses the term “hendiadys” to refer to verbs linked with conjunctive </w:t>
      </w:r>
      <w:r>
        <w:rPr>
          <w:i/>
        </w:rPr>
        <w:t>waw</w:t>
      </w:r>
      <w:r>
        <w:t>.</w:t>
      </w:r>
    </w:p>
  </w:footnote>
  <w:footnote w:id="848">
    <w:p w14:paraId="7E03D416" w14:textId="77777777" w:rsidR="000438B1" w:rsidRDefault="000438B1">
      <w:pPr>
        <w:pStyle w:val="FootnoteText"/>
      </w:pPr>
      <w:r>
        <w:rPr>
          <w:rStyle w:val="FootnoteReference"/>
        </w:rPr>
        <w:footnoteRef/>
      </w:r>
      <w:r>
        <w:t xml:space="preserve"> SP, LXX, Vg have “full of days,” assimilating to passages such as 35:29.</w:t>
      </w:r>
    </w:p>
  </w:footnote>
  <w:footnote w:id="849">
    <w:p w14:paraId="73EC3D16" w14:textId="77777777" w:rsidR="000438B1" w:rsidRPr="00542097" w:rsidRDefault="000438B1">
      <w:pPr>
        <w:pStyle w:val="FootnoteText"/>
      </w:pPr>
      <w:r>
        <w:rPr>
          <w:rStyle w:val="FootnoteReference"/>
        </w:rPr>
        <w:footnoteRef/>
      </w:r>
      <w:r>
        <w:t xml:space="preserve"> Cf. Luther, </w:t>
      </w:r>
      <w:r>
        <w:rPr>
          <w:i/>
        </w:rPr>
        <w:t>Genesis 21—25</w:t>
      </w:r>
      <w:r>
        <w:t xml:space="preserve">, 300, 301, quoting from Jerome, </w:t>
      </w:r>
      <w:r w:rsidRPr="00542097">
        <w:rPr>
          <w:i/>
        </w:rPr>
        <w:t>Hebrew Questions on Genesis</w:t>
      </w:r>
      <w:r>
        <w:t xml:space="preserve"> 59. T</w:t>
      </w:r>
      <w:r w:rsidRPr="00542097">
        <w:t>he assumption that a m</w:t>
      </w:r>
      <w:r>
        <w:t>an marries chiefly for</w:t>
      </w:r>
      <w:r w:rsidRPr="00542097">
        <w:t xml:space="preserve"> sex </w:t>
      </w:r>
      <w:r>
        <w:t xml:space="preserve">evidently </w:t>
      </w:r>
      <w:r w:rsidRPr="00542097">
        <w:t>antedate</w:t>
      </w:r>
      <w:r>
        <w:t>s</w:t>
      </w:r>
      <w:r w:rsidRPr="00542097">
        <w:t xml:space="preserve"> the modern period</w:t>
      </w:r>
      <w:r>
        <w:t xml:space="preserve">; Jerome and Luther refer to a traditional way to solve the “problem,” by seeing Qeturah as another name for Hagar (see e.g., Rashi, </w:t>
      </w:r>
      <w:r w:rsidRPr="00A702E9">
        <w:rPr>
          <w:i/>
        </w:rPr>
        <w:t>Br’šyt</w:t>
      </w:r>
      <w:r w:rsidRPr="00A702E9">
        <w:t>,</w:t>
      </w:r>
      <w:r>
        <w:t xml:space="preserve"> 266).</w:t>
      </w:r>
    </w:p>
  </w:footnote>
  <w:footnote w:id="850">
    <w:p w14:paraId="48F060D0" w14:textId="77777777" w:rsidR="000438B1" w:rsidRPr="00726AEB" w:rsidRDefault="000438B1" w:rsidP="002649D7">
      <w:pPr>
        <w:pStyle w:val="FootnoteText"/>
      </w:pPr>
      <w:r>
        <w:rPr>
          <w:rStyle w:val="FootnoteReference"/>
        </w:rPr>
        <w:footnoteRef/>
      </w:r>
      <w:r>
        <w:t xml:space="preserve"> Brett, </w:t>
      </w:r>
      <w:r>
        <w:rPr>
          <w:i/>
        </w:rPr>
        <w:t>Genesis</w:t>
      </w:r>
      <w:r>
        <w:t>, 83.</w:t>
      </w:r>
    </w:p>
  </w:footnote>
  <w:footnote w:id="851">
    <w:p w14:paraId="48BEF416" w14:textId="77777777" w:rsidR="000438B1" w:rsidRDefault="000438B1" w:rsidP="002649D7">
      <w:pPr>
        <w:pStyle w:val="FootnoteText"/>
      </w:pPr>
      <w:r>
        <w:rPr>
          <w:rStyle w:val="FootnoteReference"/>
        </w:rPr>
        <w:footnoteRef/>
      </w:r>
      <w:r>
        <w:t xml:space="preserve"> </w:t>
      </w:r>
      <w:r w:rsidRPr="002A3F5F">
        <w:t xml:space="preserve">Westermann, </w:t>
      </w:r>
      <w:r w:rsidRPr="002A3F5F">
        <w:rPr>
          <w:i/>
        </w:rPr>
        <w:t>Genesis 12—36</w:t>
      </w:r>
      <w:r>
        <w:t>, 400.</w:t>
      </w:r>
    </w:p>
  </w:footnote>
  <w:footnote w:id="852">
    <w:p w14:paraId="60A6D8BE" w14:textId="2AFB3AE7" w:rsidR="000438B1" w:rsidRDefault="000438B1">
      <w:pPr>
        <w:pStyle w:val="FootnoteText"/>
      </w:pPr>
      <w:r>
        <w:rPr>
          <w:rStyle w:val="FootnoteReference"/>
        </w:rPr>
        <w:footnoteRef/>
      </w:r>
      <w:r>
        <w:t xml:space="preserve"> See </w:t>
      </w:r>
      <w:r w:rsidRPr="002F0E36">
        <w:t xml:space="preserve">Montgomery, </w:t>
      </w:r>
      <w:r w:rsidRPr="002F0E36">
        <w:rPr>
          <w:i/>
        </w:rPr>
        <w:t>Arabia and the Bible</w:t>
      </w:r>
      <w:r w:rsidRPr="002F0E36">
        <w:t>, 37-53.</w:t>
      </w:r>
    </w:p>
  </w:footnote>
  <w:footnote w:id="853">
    <w:p w14:paraId="7BD5C850" w14:textId="77777777" w:rsidR="000438B1" w:rsidRPr="0038494D" w:rsidRDefault="000438B1" w:rsidP="002A18F8">
      <w:pPr>
        <w:pStyle w:val="FootnoteText"/>
      </w:pPr>
      <w:r>
        <w:rPr>
          <w:rStyle w:val="FootnoteReference"/>
        </w:rPr>
        <w:footnoteRef/>
      </w:r>
      <w:r>
        <w:t xml:space="preserve"> Cf. Origen, </w:t>
      </w:r>
      <w:r w:rsidRPr="0038494D">
        <w:rPr>
          <w:i/>
        </w:rPr>
        <w:t>Genesis and Exodus</w:t>
      </w:r>
      <w:r>
        <w:t>, 172.</w:t>
      </w:r>
    </w:p>
  </w:footnote>
  <w:footnote w:id="854">
    <w:p w14:paraId="5372965A" w14:textId="77777777" w:rsidR="000438B1" w:rsidRPr="00542097" w:rsidRDefault="000438B1">
      <w:pPr>
        <w:pStyle w:val="FootnoteText"/>
      </w:pPr>
      <w:r>
        <w:rPr>
          <w:rStyle w:val="FootnoteReference"/>
        </w:rPr>
        <w:footnoteRef/>
      </w:r>
      <w:r>
        <w:t xml:space="preserve"> De La Torre, </w:t>
      </w:r>
      <w:r>
        <w:rPr>
          <w:i/>
        </w:rPr>
        <w:t>Genesis</w:t>
      </w:r>
      <w:r>
        <w:t>, 233.</w:t>
      </w:r>
    </w:p>
  </w:footnote>
  <w:footnote w:id="855">
    <w:p w14:paraId="6DFEED1C" w14:textId="77777777" w:rsidR="000438B1" w:rsidRPr="00E958A2" w:rsidRDefault="000438B1">
      <w:pPr>
        <w:pStyle w:val="FootnoteText"/>
      </w:pPr>
      <w:r>
        <w:rPr>
          <w:rStyle w:val="FootnoteReference"/>
        </w:rPr>
        <w:footnoteRef/>
      </w:r>
      <w:r>
        <w:t xml:space="preserve"> Cf. Speiser, </w:t>
      </w:r>
      <w:r>
        <w:rPr>
          <w:i/>
        </w:rPr>
        <w:t>Genesis</w:t>
      </w:r>
      <w:r>
        <w:t>, 187.</w:t>
      </w:r>
    </w:p>
  </w:footnote>
  <w:footnote w:id="856">
    <w:p w14:paraId="67DB3305" w14:textId="77777777" w:rsidR="000438B1" w:rsidRPr="00C26527" w:rsidRDefault="000438B1">
      <w:pPr>
        <w:pStyle w:val="FootnoteText"/>
      </w:pPr>
      <w:r>
        <w:rPr>
          <w:rStyle w:val="FootnoteReference"/>
        </w:rPr>
        <w:footnoteRef/>
      </w:r>
      <w:r>
        <w:t xml:space="preserve"> Cf. Calvin, </w:t>
      </w:r>
      <w:r>
        <w:rPr>
          <w:i/>
        </w:rPr>
        <w:t>Genesis</w:t>
      </w:r>
      <w:r>
        <w:t>, 2:35.</w:t>
      </w:r>
    </w:p>
  </w:footnote>
  <w:footnote w:id="857">
    <w:p w14:paraId="5F413DBA" w14:textId="77777777" w:rsidR="000438B1" w:rsidRPr="00845739" w:rsidRDefault="000438B1">
      <w:pPr>
        <w:pStyle w:val="FootnoteText"/>
      </w:pPr>
      <w:r>
        <w:rPr>
          <w:rStyle w:val="FootnoteReference"/>
        </w:rPr>
        <w:footnoteRef/>
      </w:r>
      <w:r>
        <w:t xml:space="preserve"> So De La Torre, </w:t>
      </w:r>
      <w:r>
        <w:rPr>
          <w:i/>
        </w:rPr>
        <w:t>Genesis</w:t>
      </w:r>
      <w:r>
        <w:t>, 234.</w:t>
      </w:r>
    </w:p>
  </w:footnote>
  <w:footnote w:id="858">
    <w:p w14:paraId="64E9EC86" w14:textId="77777777" w:rsidR="000438B1" w:rsidRPr="00DC03D3" w:rsidRDefault="000438B1">
      <w:pPr>
        <w:pStyle w:val="FootnoteText"/>
      </w:pPr>
      <w:r>
        <w:rPr>
          <w:rStyle w:val="FootnoteReference"/>
        </w:rPr>
        <w:footnoteRef/>
      </w:r>
      <w:r>
        <w:t xml:space="preserve"> Cf. Kaminsky’s comments, </w:t>
      </w:r>
      <w:r>
        <w:rPr>
          <w:i/>
        </w:rPr>
        <w:t>Yet I Loved Jacob</w:t>
      </w:r>
      <w:r>
        <w:t>, 34.</w:t>
      </w:r>
    </w:p>
  </w:footnote>
  <w:footnote w:id="859">
    <w:p w14:paraId="7D23B65B" w14:textId="77777777" w:rsidR="000438B1" w:rsidRPr="0020723E" w:rsidRDefault="000438B1">
      <w:pPr>
        <w:pStyle w:val="FootnoteText"/>
      </w:pPr>
      <w:r>
        <w:rPr>
          <w:rStyle w:val="FootnoteReference"/>
        </w:rPr>
        <w:footnoteRef/>
      </w:r>
      <w:r>
        <w:t xml:space="preserve"> Kidner,</w:t>
      </w:r>
      <w:r>
        <w:rPr>
          <w:i/>
        </w:rPr>
        <w:t xml:space="preserve"> Genesis</w:t>
      </w:r>
      <w:r>
        <w:t>, 150.</w:t>
      </w:r>
    </w:p>
  </w:footnote>
  <w:footnote w:id="860">
    <w:p w14:paraId="5E17AD8E" w14:textId="77777777" w:rsidR="000438B1" w:rsidRDefault="000438B1" w:rsidP="00686917">
      <w:pPr>
        <w:pStyle w:val="FootnoteText"/>
      </w:pPr>
      <w:r>
        <w:rPr>
          <w:rStyle w:val="FootnoteReference"/>
        </w:rPr>
        <w:footnoteRef/>
      </w:r>
      <w:r>
        <w:t xml:space="preserve"> Qimchi, </w:t>
      </w:r>
      <w:r w:rsidRPr="00FD1E30">
        <w:rPr>
          <w:i/>
        </w:rPr>
        <w:t>Genesis</w:t>
      </w:r>
      <w:r w:rsidRPr="00FD1E30">
        <w:t>, on the verse</w:t>
      </w:r>
      <w:r>
        <w:t>.</w:t>
      </w:r>
    </w:p>
  </w:footnote>
  <w:footnote w:id="861">
    <w:p w14:paraId="4D69FB06" w14:textId="77777777" w:rsidR="000438B1" w:rsidRDefault="000438B1">
      <w:pPr>
        <w:pStyle w:val="FootnoteText"/>
      </w:pPr>
      <w:r>
        <w:rPr>
          <w:rStyle w:val="FootnoteReference"/>
        </w:rPr>
        <w:footnoteRef/>
      </w:r>
      <w:r>
        <w:t xml:space="preserve"> </w:t>
      </w:r>
      <w:r w:rsidRPr="00C26527">
        <w:t xml:space="preserve">Calvin, </w:t>
      </w:r>
      <w:r w:rsidRPr="00C26527">
        <w:rPr>
          <w:i/>
        </w:rPr>
        <w:t>Genesis</w:t>
      </w:r>
      <w:r>
        <w:t>, 2:37.</w:t>
      </w:r>
    </w:p>
  </w:footnote>
  <w:footnote w:id="862">
    <w:p w14:paraId="75CFF83B" w14:textId="77777777" w:rsidR="000438B1" w:rsidRPr="001F7480" w:rsidRDefault="000438B1">
      <w:pPr>
        <w:pStyle w:val="FootnoteText"/>
      </w:pPr>
      <w:r>
        <w:rPr>
          <w:rStyle w:val="FootnoteReference"/>
        </w:rPr>
        <w:footnoteRef/>
      </w:r>
      <w:r>
        <w:t xml:space="preserve"> Cf. Ibn Ezra, </w:t>
      </w:r>
      <w:r>
        <w:rPr>
          <w:i/>
        </w:rPr>
        <w:t>Genesis</w:t>
      </w:r>
      <w:r>
        <w:t>, 246.</w:t>
      </w:r>
    </w:p>
  </w:footnote>
  <w:footnote w:id="863">
    <w:p w14:paraId="4672F495" w14:textId="77777777" w:rsidR="000438B1" w:rsidRPr="001A6084" w:rsidRDefault="000438B1">
      <w:pPr>
        <w:pStyle w:val="FootnoteText"/>
      </w:pPr>
      <w:r>
        <w:rPr>
          <w:rStyle w:val="FootnoteReference"/>
        </w:rPr>
        <w:footnoteRef/>
      </w:r>
      <w:r>
        <w:t xml:space="preserve"> Westermann, </w:t>
      </w:r>
      <w:r>
        <w:rPr>
          <w:i/>
        </w:rPr>
        <w:t>Genesis 12—36</w:t>
      </w:r>
      <w:r>
        <w:t>, 397.</w:t>
      </w:r>
    </w:p>
  </w:footnote>
  <w:footnote w:id="864">
    <w:p w14:paraId="431DC96D" w14:textId="77777777" w:rsidR="000438B1" w:rsidRPr="0023398B" w:rsidRDefault="000438B1">
      <w:pPr>
        <w:pStyle w:val="FootnoteText"/>
      </w:pPr>
      <w:r>
        <w:rPr>
          <w:rStyle w:val="FootnoteReference"/>
        </w:rPr>
        <w:footnoteRef/>
      </w:r>
      <w:r>
        <w:t xml:space="preserve"> Cf. Origen, </w:t>
      </w:r>
      <w:r w:rsidRPr="0023398B">
        <w:rPr>
          <w:i/>
        </w:rPr>
        <w:t>Genesis and Exodus</w:t>
      </w:r>
      <w:r>
        <w:t>, 172-73.</w:t>
      </w:r>
    </w:p>
  </w:footnote>
  <w:footnote w:id="865">
    <w:p w14:paraId="68C53782" w14:textId="77777777" w:rsidR="000438B1" w:rsidRPr="0064661A" w:rsidRDefault="000438B1" w:rsidP="00AC3BD6">
      <w:pPr>
        <w:pStyle w:val="FootnoteText"/>
      </w:pPr>
      <w:r>
        <w:rPr>
          <w:rStyle w:val="FootnoteReference"/>
        </w:rPr>
        <w:footnoteRef/>
      </w:r>
      <w:r>
        <w:t xml:space="preserve"> Reno, </w:t>
      </w:r>
      <w:r>
        <w:rPr>
          <w:i/>
        </w:rPr>
        <w:t>Genesis</w:t>
      </w:r>
      <w:r>
        <w:t>, 216.</w:t>
      </w:r>
    </w:p>
  </w:footnote>
  <w:footnote w:id="866">
    <w:p w14:paraId="70EF590E" w14:textId="77777777" w:rsidR="000438B1" w:rsidRPr="00A11428" w:rsidRDefault="000438B1">
      <w:pPr>
        <w:pStyle w:val="FootnoteText"/>
      </w:pPr>
      <w:r>
        <w:rPr>
          <w:rStyle w:val="FootnoteReference"/>
        </w:rPr>
        <w:footnoteRef/>
      </w:r>
      <w:r>
        <w:t xml:space="preserve"> Cf. Mbuvi, </w:t>
      </w:r>
      <w:r>
        <w:rPr>
          <w:i/>
        </w:rPr>
        <w:t>Belonging in Genesis</w:t>
      </w:r>
      <w:r>
        <w:t xml:space="preserve">, 144; E. E. Kozlova, “Abraham’s Burial,” </w:t>
      </w:r>
      <w:r>
        <w:rPr>
          <w:i/>
        </w:rPr>
        <w:t>JSOT</w:t>
      </w:r>
      <w:r>
        <w:t xml:space="preserve"> 42 (2017): 177-97.</w:t>
      </w:r>
    </w:p>
  </w:footnote>
  <w:footnote w:id="867">
    <w:p w14:paraId="29385E55" w14:textId="77777777" w:rsidR="000438B1" w:rsidRDefault="000438B1">
      <w:pPr>
        <w:pStyle w:val="FootnoteText"/>
      </w:pPr>
      <w:r>
        <w:rPr>
          <w:rStyle w:val="FootnoteReference"/>
        </w:rPr>
        <w:footnoteRef/>
      </w:r>
      <w:r>
        <w:t xml:space="preserve"> Zimmerli, </w:t>
      </w:r>
      <w:r w:rsidRPr="00960250">
        <w:rPr>
          <w:i/>
        </w:rPr>
        <w:t>1. Mose 12—25</w:t>
      </w:r>
      <w:r w:rsidRPr="00960250">
        <w:t>,</w:t>
      </w:r>
      <w:r>
        <w:t xml:space="preserve"> 139.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55A"/>
    <w:multiLevelType w:val="hybridMultilevel"/>
    <w:tmpl w:val="8D848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7751B"/>
    <w:multiLevelType w:val="hybridMultilevel"/>
    <w:tmpl w:val="ED544F96"/>
    <w:lvl w:ilvl="0" w:tplc="2692F3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20959"/>
    <w:multiLevelType w:val="hybridMultilevel"/>
    <w:tmpl w:val="9AD8C498"/>
    <w:lvl w:ilvl="0" w:tplc="28F81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3144A"/>
    <w:multiLevelType w:val="hybridMultilevel"/>
    <w:tmpl w:val="872E96A8"/>
    <w:lvl w:ilvl="0" w:tplc="2C701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E444A"/>
    <w:multiLevelType w:val="hybridMultilevel"/>
    <w:tmpl w:val="58203E8C"/>
    <w:lvl w:ilvl="0" w:tplc="7F66E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B57A0D"/>
    <w:multiLevelType w:val="hybridMultilevel"/>
    <w:tmpl w:val="F8046910"/>
    <w:lvl w:ilvl="0" w:tplc="8B8A92B0">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1977E4"/>
    <w:multiLevelType w:val="hybridMultilevel"/>
    <w:tmpl w:val="2A3225E6"/>
    <w:lvl w:ilvl="0" w:tplc="5B38D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104BC3"/>
    <w:multiLevelType w:val="hybridMultilevel"/>
    <w:tmpl w:val="E24E5E18"/>
    <w:lvl w:ilvl="0" w:tplc="262CC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050476"/>
    <w:multiLevelType w:val="hybridMultilevel"/>
    <w:tmpl w:val="AC12D238"/>
    <w:lvl w:ilvl="0" w:tplc="F6CCB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4242AE"/>
    <w:multiLevelType w:val="hybridMultilevel"/>
    <w:tmpl w:val="8C0C1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F052A1"/>
    <w:multiLevelType w:val="hybridMultilevel"/>
    <w:tmpl w:val="B6848B02"/>
    <w:lvl w:ilvl="0" w:tplc="B5D42B2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9900EA"/>
    <w:multiLevelType w:val="hybridMultilevel"/>
    <w:tmpl w:val="BE4E63BA"/>
    <w:lvl w:ilvl="0" w:tplc="7B608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883958"/>
    <w:multiLevelType w:val="hybridMultilevel"/>
    <w:tmpl w:val="246A7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D07943"/>
    <w:multiLevelType w:val="hybridMultilevel"/>
    <w:tmpl w:val="7B062654"/>
    <w:lvl w:ilvl="0" w:tplc="A83C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3E579E"/>
    <w:multiLevelType w:val="hybridMultilevel"/>
    <w:tmpl w:val="195AEC08"/>
    <w:lvl w:ilvl="0" w:tplc="374811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953F45"/>
    <w:multiLevelType w:val="hybridMultilevel"/>
    <w:tmpl w:val="DC3EE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7842DE"/>
    <w:multiLevelType w:val="hybridMultilevel"/>
    <w:tmpl w:val="BE4E63BA"/>
    <w:lvl w:ilvl="0" w:tplc="7B608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66088F"/>
    <w:multiLevelType w:val="hybridMultilevel"/>
    <w:tmpl w:val="BDD07344"/>
    <w:lvl w:ilvl="0" w:tplc="E0525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F821E7"/>
    <w:multiLevelType w:val="hybridMultilevel"/>
    <w:tmpl w:val="A8DA2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410315"/>
    <w:multiLevelType w:val="hybridMultilevel"/>
    <w:tmpl w:val="D370EF68"/>
    <w:lvl w:ilvl="0" w:tplc="278C8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731A91"/>
    <w:multiLevelType w:val="hybridMultilevel"/>
    <w:tmpl w:val="2C9A659E"/>
    <w:lvl w:ilvl="0" w:tplc="C1B27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A40AD4"/>
    <w:multiLevelType w:val="hybridMultilevel"/>
    <w:tmpl w:val="2320C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7A5619"/>
    <w:multiLevelType w:val="hybridMultilevel"/>
    <w:tmpl w:val="67DCD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5E028D"/>
    <w:multiLevelType w:val="hybridMultilevel"/>
    <w:tmpl w:val="B69608B2"/>
    <w:lvl w:ilvl="0" w:tplc="7DF81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9E4095"/>
    <w:multiLevelType w:val="hybridMultilevel"/>
    <w:tmpl w:val="594883E2"/>
    <w:lvl w:ilvl="0" w:tplc="A6B2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C27486"/>
    <w:multiLevelType w:val="hybridMultilevel"/>
    <w:tmpl w:val="07C2E8B8"/>
    <w:lvl w:ilvl="0" w:tplc="6046B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035384"/>
    <w:multiLevelType w:val="hybridMultilevel"/>
    <w:tmpl w:val="31E0C74E"/>
    <w:lvl w:ilvl="0" w:tplc="06203ED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F56764"/>
    <w:multiLevelType w:val="hybridMultilevel"/>
    <w:tmpl w:val="72965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AF541D"/>
    <w:multiLevelType w:val="hybridMultilevel"/>
    <w:tmpl w:val="58089C46"/>
    <w:lvl w:ilvl="0" w:tplc="9662A61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F303D4"/>
    <w:multiLevelType w:val="hybridMultilevel"/>
    <w:tmpl w:val="11E865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FB344F9"/>
    <w:multiLevelType w:val="hybridMultilevel"/>
    <w:tmpl w:val="818C41E8"/>
    <w:lvl w:ilvl="0" w:tplc="F0463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7372EB"/>
    <w:multiLevelType w:val="hybridMultilevel"/>
    <w:tmpl w:val="331AB6A8"/>
    <w:lvl w:ilvl="0" w:tplc="B31486F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4565DA"/>
    <w:multiLevelType w:val="hybridMultilevel"/>
    <w:tmpl w:val="7220B606"/>
    <w:lvl w:ilvl="0" w:tplc="A4062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B038CF"/>
    <w:multiLevelType w:val="hybridMultilevel"/>
    <w:tmpl w:val="1646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0921C8"/>
    <w:multiLevelType w:val="hybridMultilevel"/>
    <w:tmpl w:val="FD72A3EE"/>
    <w:lvl w:ilvl="0" w:tplc="4530903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D407A8"/>
    <w:multiLevelType w:val="hybridMultilevel"/>
    <w:tmpl w:val="E41E0E40"/>
    <w:lvl w:ilvl="0" w:tplc="D1321B76">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3A61378"/>
    <w:multiLevelType w:val="hybridMultilevel"/>
    <w:tmpl w:val="7F0C5E8E"/>
    <w:lvl w:ilvl="0" w:tplc="DE0E6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DE7693"/>
    <w:multiLevelType w:val="hybridMultilevel"/>
    <w:tmpl w:val="86F02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1A6BDD"/>
    <w:multiLevelType w:val="hybridMultilevel"/>
    <w:tmpl w:val="52A28066"/>
    <w:lvl w:ilvl="0" w:tplc="DC5EBC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D539A7"/>
    <w:multiLevelType w:val="hybridMultilevel"/>
    <w:tmpl w:val="427A9DDE"/>
    <w:lvl w:ilvl="0" w:tplc="EA08DF1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D53D4F"/>
    <w:multiLevelType w:val="hybridMultilevel"/>
    <w:tmpl w:val="818C41E8"/>
    <w:lvl w:ilvl="0" w:tplc="F0463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FA511A"/>
    <w:multiLevelType w:val="hybridMultilevel"/>
    <w:tmpl w:val="90708B72"/>
    <w:lvl w:ilvl="0" w:tplc="F6AA7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40326A"/>
    <w:multiLevelType w:val="hybridMultilevel"/>
    <w:tmpl w:val="310C099E"/>
    <w:lvl w:ilvl="0" w:tplc="F1780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830292"/>
    <w:multiLevelType w:val="hybridMultilevel"/>
    <w:tmpl w:val="25DE1466"/>
    <w:lvl w:ilvl="0" w:tplc="5F18A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BA143A"/>
    <w:multiLevelType w:val="hybridMultilevel"/>
    <w:tmpl w:val="D870C97E"/>
    <w:lvl w:ilvl="0" w:tplc="5608C87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5F4181"/>
    <w:multiLevelType w:val="hybridMultilevel"/>
    <w:tmpl w:val="6C940594"/>
    <w:lvl w:ilvl="0" w:tplc="120E13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DB3215"/>
    <w:multiLevelType w:val="hybridMultilevel"/>
    <w:tmpl w:val="77C2F13E"/>
    <w:lvl w:ilvl="0" w:tplc="63E829B6">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822DE8"/>
    <w:multiLevelType w:val="hybridMultilevel"/>
    <w:tmpl w:val="5A48E4BE"/>
    <w:lvl w:ilvl="0" w:tplc="68B09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2"/>
  </w:num>
  <w:num w:numId="3">
    <w:abstractNumId w:val="21"/>
  </w:num>
  <w:num w:numId="4">
    <w:abstractNumId w:val="15"/>
  </w:num>
  <w:num w:numId="5">
    <w:abstractNumId w:val="0"/>
  </w:num>
  <w:num w:numId="6">
    <w:abstractNumId w:val="9"/>
  </w:num>
  <w:num w:numId="7">
    <w:abstractNumId w:val="7"/>
  </w:num>
  <w:num w:numId="8">
    <w:abstractNumId w:val="27"/>
  </w:num>
  <w:num w:numId="9">
    <w:abstractNumId w:val="4"/>
  </w:num>
  <w:num w:numId="10">
    <w:abstractNumId w:val="41"/>
  </w:num>
  <w:num w:numId="11">
    <w:abstractNumId w:val="29"/>
  </w:num>
  <w:num w:numId="12">
    <w:abstractNumId w:val="46"/>
  </w:num>
  <w:num w:numId="13">
    <w:abstractNumId w:val="1"/>
  </w:num>
  <w:num w:numId="14">
    <w:abstractNumId w:val="35"/>
  </w:num>
  <w:num w:numId="15">
    <w:abstractNumId w:val="25"/>
  </w:num>
  <w:num w:numId="16">
    <w:abstractNumId w:val="19"/>
  </w:num>
  <w:num w:numId="17">
    <w:abstractNumId w:val="24"/>
  </w:num>
  <w:num w:numId="18">
    <w:abstractNumId w:val="45"/>
  </w:num>
  <w:num w:numId="19">
    <w:abstractNumId w:val="42"/>
  </w:num>
  <w:num w:numId="20">
    <w:abstractNumId w:val="32"/>
  </w:num>
  <w:num w:numId="21">
    <w:abstractNumId w:val="13"/>
  </w:num>
  <w:num w:numId="22">
    <w:abstractNumId w:val="20"/>
  </w:num>
  <w:num w:numId="23">
    <w:abstractNumId w:val="6"/>
  </w:num>
  <w:num w:numId="24">
    <w:abstractNumId w:val="31"/>
  </w:num>
  <w:num w:numId="25">
    <w:abstractNumId w:val="34"/>
  </w:num>
  <w:num w:numId="26">
    <w:abstractNumId w:val="10"/>
  </w:num>
  <w:num w:numId="27">
    <w:abstractNumId w:val="28"/>
  </w:num>
  <w:num w:numId="28">
    <w:abstractNumId w:val="23"/>
  </w:num>
  <w:num w:numId="29">
    <w:abstractNumId w:val="36"/>
  </w:num>
  <w:num w:numId="30">
    <w:abstractNumId w:val="14"/>
  </w:num>
  <w:num w:numId="31">
    <w:abstractNumId w:val="26"/>
  </w:num>
  <w:num w:numId="32">
    <w:abstractNumId w:val="18"/>
  </w:num>
  <w:num w:numId="33">
    <w:abstractNumId w:val="11"/>
  </w:num>
  <w:num w:numId="34">
    <w:abstractNumId w:val="16"/>
  </w:num>
  <w:num w:numId="35">
    <w:abstractNumId w:val="37"/>
  </w:num>
  <w:num w:numId="36">
    <w:abstractNumId w:val="33"/>
  </w:num>
  <w:num w:numId="37">
    <w:abstractNumId w:val="17"/>
  </w:num>
  <w:num w:numId="38">
    <w:abstractNumId w:val="3"/>
  </w:num>
  <w:num w:numId="39">
    <w:abstractNumId w:val="39"/>
  </w:num>
  <w:num w:numId="40">
    <w:abstractNumId w:val="43"/>
  </w:num>
  <w:num w:numId="41">
    <w:abstractNumId w:val="47"/>
  </w:num>
  <w:num w:numId="42">
    <w:abstractNumId w:val="40"/>
  </w:num>
  <w:num w:numId="43">
    <w:abstractNumId w:val="30"/>
  </w:num>
  <w:num w:numId="44">
    <w:abstractNumId w:val="5"/>
  </w:num>
  <w:num w:numId="45">
    <w:abstractNumId w:val="8"/>
  </w:num>
  <w:num w:numId="46">
    <w:abstractNumId w:val="38"/>
  </w:num>
  <w:num w:numId="47">
    <w:abstractNumId w:val="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5A"/>
    <w:rsid w:val="000000A8"/>
    <w:rsid w:val="000002BA"/>
    <w:rsid w:val="000006FF"/>
    <w:rsid w:val="00000AAA"/>
    <w:rsid w:val="00000F00"/>
    <w:rsid w:val="00001E0B"/>
    <w:rsid w:val="00002C0B"/>
    <w:rsid w:val="000032F8"/>
    <w:rsid w:val="0000340A"/>
    <w:rsid w:val="00003846"/>
    <w:rsid w:val="00004878"/>
    <w:rsid w:val="0000492D"/>
    <w:rsid w:val="00005D70"/>
    <w:rsid w:val="00005E8E"/>
    <w:rsid w:val="000061D3"/>
    <w:rsid w:val="00006A9F"/>
    <w:rsid w:val="00006CF9"/>
    <w:rsid w:val="00007052"/>
    <w:rsid w:val="00007B8D"/>
    <w:rsid w:val="00012094"/>
    <w:rsid w:val="000121B2"/>
    <w:rsid w:val="000132E9"/>
    <w:rsid w:val="0001617E"/>
    <w:rsid w:val="0001624E"/>
    <w:rsid w:val="000166FC"/>
    <w:rsid w:val="000167CF"/>
    <w:rsid w:val="00016C22"/>
    <w:rsid w:val="00017F80"/>
    <w:rsid w:val="00020173"/>
    <w:rsid w:val="00020247"/>
    <w:rsid w:val="00021A1C"/>
    <w:rsid w:val="00022542"/>
    <w:rsid w:val="000232AD"/>
    <w:rsid w:val="00023CE3"/>
    <w:rsid w:val="00024738"/>
    <w:rsid w:val="00024847"/>
    <w:rsid w:val="00024AA3"/>
    <w:rsid w:val="000257B0"/>
    <w:rsid w:val="00025E45"/>
    <w:rsid w:val="00026232"/>
    <w:rsid w:val="000265C2"/>
    <w:rsid w:val="00026CBC"/>
    <w:rsid w:val="000276AF"/>
    <w:rsid w:val="00027C08"/>
    <w:rsid w:val="00031B76"/>
    <w:rsid w:val="00031DBF"/>
    <w:rsid w:val="0003248D"/>
    <w:rsid w:val="00032494"/>
    <w:rsid w:val="00032D05"/>
    <w:rsid w:val="00033639"/>
    <w:rsid w:val="00034C3F"/>
    <w:rsid w:val="000354A2"/>
    <w:rsid w:val="00035778"/>
    <w:rsid w:val="00035983"/>
    <w:rsid w:val="00036B21"/>
    <w:rsid w:val="00036C6A"/>
    <w:rsid w:val="000378BC"/>
    <w:rsid w:val="00037B6D"/>
    <w:rsid w:val="00037FD7"/>
    <w:rsid w:val="000414E3"/>
    <w:rsid w:val="00041B5E"/>
    <w:rsid w:val="00041D11"/>
    <w:rsid w:val="000438B1"/>
    <w:rsid w:val="00044150"/>
    <w:rsid w:val="00044304"/>
    <w:rsid w:val="00044A8C"/>
    <w:rsid w:val="00044E3D"/>
    <w:rsid w:val="000456B2"/>
    <w:rsid w:val="00046CF5"/>
    <w:rsid w:val="00047A44"/>
    <w:rsid w:val="00047AC3"/>
    <w:rsid w:val="00047F98"/>
    <w:rsid w:val="00050760"/>
    <w:rsid w:val="00050CED"/>
    <w:rsid w:val="000511F3"/>
    <w:rsid w:val="00051509"/>
    <w:rsid w:val="00051515"/>
    <w:rsid w:val="0005171C"/>
    <w:rsid w:val="0005285E"/>
    <w:rsid w:val="00052B3D"/>
    <w:rsid w:val="00052D0D"/>
    <w:rsid w:val="0005343C"/>
    <w:rsid w:val="000556A4"/>
    <w:rsid w:val="00056F54"/>
    <w:rsid w:val="0005705D"/>
    <w:rsid w:val="000577E1"/>
    <w:rsid w:val="0006162C"/>
    <w:rsid w:val="0006169A"/>
    <w:rsid w:val="00062543"/>
    <w:rsid w:val="0006378E"/>
    <w:rsid w:val="00064B70"/>
    <w:rsid w:val="00064DD8"/>
    <w:rsid w:val="0006575B"/>
    <w:rsid w:val="00065786"/>
    <w:rsid w:val="00065861"/>
    <w:rsid w:val="000660AD"/>
    <w:rsid w:val="00067BD1"/>
    <w:rsid w:val="00067C6C"/>
    <w:rsid w:val="000703AC"/>
    <w:rsid w:val="00070449"/>
    <w:rsid w:val="000704FF"/>
    <w:rsid w:val="00070564"/>
    <w:rsid w:val="000708C7"/>
    <w:rsid w:val="000708D2"/>
    <w:rsid w:val="00070969"/>
    <w:rsid w:val="000711DD"/>
    <w:rsid w:val="00071EE9"/>
    <w:rsid w:val="000721E0"/>
    <w:rsid w:val="00072C70"/>
    <w:rsid w:val="00072C7C"/>
    <w:rsid w:val="00073387"/>
    <w:rsid w:val="000738E1"/>
    <w:rsid w:val="00073C2D"/>
    <w:rsid w:val="00074EF4"/>
    <w:rsid w:val="00074EF9"/>
    <w:rsid w:val="000752DC"/>
    <w:rsid w:val="0007539D"/>
    <w:rsid w:val="00075A45"/>
    <w:rsid w:val="00076512"/>
    <w:rsid w:val="0007676F"/>
    <w:rsid w:val="00076CC0"/>
    <w:rsid w:val="0007747A"/>
    <w:rsid w:val="000774C1"/>
    <w:rsid w:val="0008026A"/>
    <w:rsid w:val="00080FAD"/>
    <w:rsid w:val="00081370"/>
    <w:rsid w:val="00081B43"/>
    <w:rsid w:val="00081BF3"/>
    <w:rsid w:val="00081C45"/>
    <w:rsid w:val="00081D91"/>
    <w:rsid w:val="00082BF5"/>
    <w:rsid w:val="000831F5"/>
    <w:rsid w:val="00083CED"/>
    <w:rsid w:val="00084153"/>
    <w:rsid w:val="000849AD"/>
    <w:rsid w:val="00084C63"/>
    <w:rsid w:val="000850A0"/>
    <w:rsid w:val="00086852"/>
    <w:rsid w:val="00086999"/>
    <w:rsid w:val="00086A2F"/>
    <w:rsid w:val="000905F1"/>
    <w:rsid w:val="0009086C"/>
    <w:rsid w:val="00091BFD"/>
    <w:rsid w:val="00092060"/>
    <w:rsid w:val="000920C3"/>
    <w:rsid w:val="0009278C"/>
    <w:rsid w:val="00092858"/>
    <w:rsid w:val="0009299F"/>
    <w:rsid w:val="00092A1F"/>
    <w:rsid w:val="00092C4B"/>
    <w:rsid w:val="000941B1"/>
    <w:rsid w:val="00094335"/>
    <w:rsid w:val="0009445D"/>
    <w:rsid w:val="00095A1E"/>
    <w:rsid w:val="00095BD6"/>
    <w:rsid w:val="00095DFC"/>
    <w:rsid w:val="00096333"/>
    <w:rsid w:val="00096964"/>
    <w:rsid w:val="00097B89"/>
    <w:rsid w:val="000A19ED"/>
    <w:rsid w:val="000A271B"/>
    <w:rsid w:val="000A2CA9"/>
    <w:rsid w:val="000A349D"/>
    <w:rsid w:val="000A4496"/>
    <w:rsid w:val="000A536B"/>
    <w:rsid w:val="000A5816"/>
    <w:rsid w:val="000A5AA9"/>
    <w:rsid w:val="000A62F6"/>
    <w:rsid w:val="000A6A55"/>
    <w:rsid w:val="000A718F"/>
    <w:rsid w:val="000A7C4A"/>
    <w:rsid w:val="000A7E99"/>
    <w:rsid w:val="000B0D60"/>
    <w:rsid w:val="000B1789"/>
    <w:rsid w:val="000B188C"/>
    <w:rsid w:val="000B1B63"/>
    <w:rsid w:val="000B2009"/>
    <w:rsid w:val="000B211A"/>
    <w:rsid w:val="000B23CA"/>
    <w:rsid w:val="000B26A2"/>
    <w:rsid w:val="000B274D"/>
    <w:rsid w:val="000B4468"/>
    <w:rsid w:val="000B4790"/>
    <w:rsid w:val="000B5392"/>
    <w:rsid w:val="000B542B"/>
    <w:rsid w:val="000B545A"/>
    <w:rsid w:val="000B60CD"/>
    <w:rsid w:val="000B63C7"/>
    <w:rsid w:val="000B6921"/>
    <w:rsid w:val="000B7103"/>
    <w:rsid w:val="000B7633"/>
    <w:rsid w:val="000B7999"/>
    <w:rsid w:val="000B79EA"/>
    <w:rsid w:val="000C0105"/>
    <w:rsid w:val="000C019D"/>
    <w:rsid w:val="000C03B9"/>
    <w:rsid w:val="000C1EFF"/>
    <w:rsid w:val="000C21CA"/>
    <w:rsid w:val="000C29B8"/>
    <w:rsid w:val="000C2D0E"/>
    <w:rsid w:val="000C4CC5"/>
    <w:rsid w:val="000C5FE9"/>
    <w:rsid w:val="000C676D"/>
    <w:rsid w:val="000C67FA"/>
    <w:rsid w:val="000C6B9E"/>
    <w:rsid w:val="000C7EC5"/>
    <w:rsid w:val="000D21A7"/>
    <w:rsid w:val="000D2654"/>
    <w:rsid w:val="000D2F32"/>
    <w:rsid w:val="000D3205"/>
    <w:rsid w:val="000D37E1"/>
    <w:rsid w:val="000D5005"/>
    <w:rsid w:val="000D6159"/>
    <w:rsid w:val="000D6376"/>
    <w:rsid w:val="000D6C2D"/>
    <w:rsid w:val="000E0E78"/>
    <w:rsid w:val="000E0F4A"/>
    <w:rsid w:val="000E1DF1"/>
    <w:rsid w:val="000E1F9C"/>
    <w:rsid w:val="000E2C91"/>
    <w:rsid w:val="000E3F66"/>
    <w:rsid w:val="000E42CD"/>
    <w:rsid w:val="000E4585"/>
    <w:rsid w:val="000E4D63"/>
    <w:rsid w:val="000E672B"/>
    <w:rsid w:val="000E6E11"/>
    <w:rsid w:val="000F052E"/>
    <w:rsid w:val="000F0609"/>
    <w:rsid w:val="000F263A"/>
    <w:rsid w:val="000F67F4"/>
    <w:rsid w:val="000F68CA"/>
    <w:rsid w:val="000F6D80"/>
    <w:rsid w:val="000F6D97"/>
    <w:rsid w:val="000F7180"/>
    <w:rsid w:val="000F7798"/>
    <w:rsid w:val="000F77A4"/>
    <w:rsid w:val="000F7DE8"/>
    <w:rsid w:val="00100465"/>
    <w:rsid w:val="0010052B"/>
    <w:rsid w:val="001008C3"/>
    <w:rsid w:val="00100FC6"/>
    <w:rsid w:val="00101990"/>
    <w:rsid w:val="00101B1A"/>
    <w:rsid w:val="0010242A"/>
    <w:rsid w:val="001027F2"/>
    <w:rsid w:val="00103436"/>
    <w:rsid w:val="00103DCC"/>
    <w:rsid w:val="00103E77"/>
    <w:rsid w:val="0010459A"/>
    <w:rsid w:val="00104986"/>
    <w:rsid w:val="00104E13"/>
    <w:rsid w:val="00104FDC"/>
    <w:rsid w:val="00105700"/>
    <w:rsid w:val="001066EA"/>
    <w:rsid w:val="00106814"/>
    <w:rsid w:val="00106DAC"/>
    <w:rsid w:val="00106F71"/>
    <w:rsid w:val="00111517"/>
    <w:rsid w:val="00112BFC"/>
    <w:rsid w:val="00112CD1"/>
    <w:rsid w:val="00113CE4"/>
    <w:rsid w:val="00114103"/>
    <w:rsid w:val="0011482E"/>
    <w:rsid w:val="00115153"/>
    <w:rsid w:val="00115173"/>
    <w:rsid w:val="001154C8"/>
    <w:rsid w:val="00115B20"/>
    <w:rsid w:val="0011772D"/>
    <w:rsid w:val="00117F5A"/>
    <w:rsid w:val="001209A0"/>
    <w:rsid w:val="00120CB3"/>
    <w:rsid w:val="001214E9"/>
    <w:rsid w:val="00121529"/>
    <w:rsid w:val="00121F4A"/>
    <w:rsid w:val="00122969"/>
    <w:rsid w:val="00122B80"/>
    <w:rsid w:val="00122E57"/>
    <w:rsid w:val="00122FC5"/>
    <w:rsid w:val="00123294"/>
    <w:rsid w:val="00124135"/>
    <w:rsid w:val="0012421B"/>
    <w:rsid w:val="00124DB1"/>
    <w:rsid w:val="0013008C"/>
    <w:rsid w:val="0013052D"/>
    <w:rsid w:val="001309A2"/>
    <w:rsid w:val="00130FC1"/>
    <w:rsid w:val="00131E6F"/>
    <w:rsid w:val="00132FEC"/>
    <w:rsid w:val="00133011"/>
    <w:rsid w:val="001340C3"/>
    <w:rsid w:val="001358ED"/>
    <w:rsid w:val="00135A33"/>
    <w:rsid w:val="00135DC4"/>
    <w:rsid w:val="0013642D"/>
    <w:rsid w:val="00136C6E"/>
    <w:rsid w:val="0014024D"/>
    <w:rsid w:val="00140874"/>
    <w:rsid w:val="00141055"/>
    <w:rsid w:val="001412BD"/>
    <w:rsid w:val="001419EA"/>
    <w:rsid w:val="001420AF"/>
    <w:rsid w:val="0014247D"/>
    <w:rsid w:val="001425E6"/>
    <w:rsid w:val="00142661"/>
    <w:rsid w:val="001426AE"/>
    <w:rsid w:val="001437B5"/>
    <w:rsid w:val="00143882"/>
    <w:rsid w:val="00143EC4"/>
    <w:rsid w:val="0014500E"/>
    <w:rsid w:val="0014612C"/>
    <w:rsid w:val="00146782"/>
    <w:rsid w:val="00146A7E"/>
    <w:rsid w:val="00146D83"/>
    <w:rsid w:val="00147837"/>
    <w:rsid w:val="00147F3C"/>
    <w:rsid w:val="00150498"/>
    <w:rsid w:val="00150BBE"/>
    <w:rsid w:val="0015126C"/>
    <w:rsid w:val="00151574"/>
    <w:rsid w:val="00151A03"/>
    <w:rsid w:val="00151EE9"/>
    <w:rsid w:val="001528A3"/>
    <w:rsid w:val="0015303C"/>
    <w:rsid w:val="001536C2"/>
    <w:rsid w:val="00153E76"/>
    <w:rsid w:val="001550B9"/>
    <w:rsid w:val="00155B20"/>
    <w:rsid w:val="001563AE"/>
    <w:rsid w:val="001564CC"/>
    <w:rsid w:val="001565A1"/>
    <w:rsid w:val="0015684E"/>
    <w:rsid w:val="001619A6"/>
    <w:rsid w:val="00161D16"/>
    <w:rsid w:val="00162633"/>
    <w:rsid w:val="00163672"/>
    <w:rsid w:val="00163952"/>
    <w:rsid w:val="00163AC2"/>
    <w:rsid w:val="00163D29"/>
    <w:rsid w:val="00164BFB"/>
    <w:rsid w:val="0016526C"/>
    <w:rsid w:val="00166216"/>
    <w:rsid w:val="00166A44"/>
    <w:rsid w:val="00166FCE"/>
    <w:rsid w:val="0016750F"/>
    <w:rsid w:val="00167862"/>
    <w:rsid w:val="0017026C"/>
    <w:rsid w:val="00170FF5"/>
    <w:rsid w:val="001714FA"/>
    <w:rsid w:val="00171E9A"/>
    <w:rsid w:val="0017337E"/>
    <w:rsid w:val="00175F04"/>
    <w:rsid w:val="00176040"/>
    <w:rsid w:val="0017615D"/>
    <w:rsid w:val="0017619C"/>
    <w:rsid w:val="00176817"/>
    <w:rsid w:val="00176919"/>
    <w:rsid w:val="00176C84"/>
    <w:rsid w:val="00177952"/>
    <w:rsid w:val="00177AF8"/>
    <w:rsid w:val="00177BA1"/>
    <w:rsid w:val="00177C07"/>
    <w:rsid w:val="00180A76"/>
    <w:rsid w:val="001811F7"/>
    <w:rsid w:val="001817D8"/>
    <w:rsid w:val="00182164"/>
    <w:rsid w:val="00182A87"/>
    <w:rsid w:val="00182E96"/>
    <w:rsid w:val="001835A8"/>
    <w:rsid w:val="00183C8B"/>
    <w:rsid w:val="00183E17"/>
    <w:rsid w:val="00183FB1"/>
    <w:rsid w:val="00184CC8"/>
    <w:rsid w:val="001850D6"/>
    <w:rsid w:val="00185D83"/>
    <w:rsid w:val="00185E29"/>
    <w:rsid w:val="00185F08"/>
    <w:rsid w:val="001864A6"/>
    <w:rsid w:val="00186598"/>
    <w:rsid w:val="00186673"/>
    <w:rsid w:val="00186911"/>
    <w:rsid w:val="00186E70"/>
    <w:rsid w:val="00186F02"/>
    <w:rsid w:val="00186F91"/>
    <w:rsid w:val="001906D4"/>
    <w:rsid w:val="00190700"/>
    <w:rsid w:val="00191627"/>
    <w:rsid w:val="001920DA"/>
    <w:rsid w:val="0019282C"/>
    <w:rsid w:val="00192FE6"/>
    <w:rsid w:val="001933F6"/>
    <w:rsid w:val="001937EE"/>
    <w:rsid w:val="00196517"/>
    <w:rsid w:val="00196B48"/>
    <w:rsid w:val="00196C09"/>
    <w:rsid w:val="00196D65"/>
    <w:rsid w:val="00197432"/>
    <w:rsid w:val="00197874"/>
    <w:rsid w:val="001979A8"/>
    <w:rsid w:val="00197A0C"/>
    <w:rsid w:val="001A09D5"/>
    <w:rsid w:val="001A10FB"/>
    <w:rsid w:val="001A152C"/>
    <w:rsid w:val="001A17AA"/>
    <w:rsid w:val="001A1F31"/>
    <w:rsid w:val="001A3400"/>
    <w:rsid w:val="001A3891"/>
    <w:rsid w:val="001A3991"/>
    <w:rsid w:val="001A3FF2"/>
    <w:rsid w:val="001A5829"/>
    <w:rsid w:val="001A58D6"/>
    <w:rsid w:val="001A6084"/>
    <w:rsid w:val="001A6963"/>
    <w:rsid w:val="001A6B9F"/>
    <w:rsid w:val="001A7694"/>
    <w:rsid w:val="001B061D"/>
    <w:rsid w:val="001B0674"/>
    <w:rsid w:val="001B0F8F"/>
    <w:rsid w:val="001B254F"/>
    <w:rsid w:val="001B2670"/>
    <w:rsid w:val="001B2D12"/>
    <w:rsid w:val="001B32AB"/>
    <w:rsid w:val="001B32F0"/>
    <w:rsid w:val="001B3D2E"/>
    <w:rsid w:val="001B4147"/>
    <w:rsid w:val="001B47C8"/>
    <w:rsid w:val="001B4E08"/>
    <w:rsid w:val="001B7C49"/>
    <w:rsid w:val="001C0166"/>
    <w:rsid w:val="001C0B28"/>
    <w:rsid w:val="001C0C64"/>
    <w:rsid w:val="001C0E3F"/>
    <w:rsid w:val="001C1F21"/>
    <w:rsid w:val="001C2AC6"/>
    <w:rsid w:val="001C3DC3"/>
    <w:rsid w:val="001C4116"/>
    <w:rsid w:val="001C5C01"/>
    <w:rsid w:val="001C5F09"/>
    <w:rsid w:val="001C743B"/>
    <w:rsid w:val="001C7614"/>
    <w:rsid w:val="001C78C8"/>
    <w:rsid w:val="001D0538"/>
    <w:rsid w:val="001D100E"/>
    <w:rsid w:val="001D1C18"/>
    <w:rsid w:val="001D1D0F"/>
    <w:rsid w:val="001D239A"/>
    <w:rsid w:val="001D24DF"/>
    <w:rsid w:val="001D27DE"/>
    <w:rsid w:val="001D3157"/>
    <w:rsid w:val="001D3585"/>
    <w:rsid w:val="001D35A9"/>
    <w:rsid w:val="001D39C2"/>
    <w:rsid w:val="001D3C37"/>
    <w:rsid w:val="001D3D9D"/>
    <w:rsid w:val="001D4226"/>
    <w:rsid w:val="001D44DC"/>
    <w:rsid w:val="001D4ADD"/>
    <w:rsid w:val="001D4D7D"/>
    <w:rsid w:val="001D54D0"/>
    <w:rsid w:val="001D5CCF"/>
    <w:rsid w:val="001D62CC"/>
    <w:rsid w:val="001D6C26"/>
    <w:rsid w:val="001D6CC6"/>
    <w:rsid w:val="001D6E5A"/>
    <w:rsid w:val="001D6E91"/>
    <w:rsid w:val="001D73B1"/>
    <w:rsid w:val="001D7539"/>
    <w:rsid w:val="001D7F80"/>
    <w:rsid w:val="001E0D7A"/>
    <w:rsid w:val="001E0D80"/>
    <w:rsid w:val="001E20DA"/>
    <w:rsid w:val="001E28D2"/>
    <w:rsid w:val="001E290E"/>
    <w:rsid w:val="001E346C"/>
    <w:rsid w:val="001E41E0"/>
    <w:rsid w:val="001E4362"/>
    <w:rsid w:val="001E5785"/>
    <w:rsid w:val="001E5A37"/>
    <w:rsid w:val="001E6321"/>
    <w:rsid w:val="001E6C6A"/>
    <w:rsid w:val="001E6E26"/>
    <w:rsid w:val="001E77CD"/>
    <w:rsid w:val="001F0113"/>
    <w:rsid w:val="001F088C"/>
    <w:rsid w:val="001F08BA"/>
    <w:rsid w:val="001F14E9"/>
    <w:rsid w:val="001F192A"/>
    <w:rsid w:val="001F224C"/>
    <w:rsid w:val="001F23F2"/>
    <w:rsid w:val="001F35A0"/>
    <w:rsid w:val="001F3C5F"/>
    <w:rsid w:val="001F4615"/>
    <w:rsid w:val="001F4FD9"/>
    <w:rsid w:val="001F51CA"/>
    <w:rsid w:val="001F57B1"/>
    <w:rsid w:val="001F57DF"/>
    <w:rsid w:val="001F5915"/>
    <w:rsid w:val="001F5FC5"/>
    <w:rsid w:val="001F618F"/>
    <w:rsid w:val="001F6192"/>
    <w:rsid w:val="001F65E9"/>
    <w:rsid w:val="001F67ED"/>
    <w:rsid w:val="001F6B86"/>
    <w:rsid w:val="001F7480"/>
    <w:rsid w:val="00200A7D"/>
    <w:rsid w:val="00202C5F"/>
    <w:rsid w:val="00202E92"/>
    <w:rsid w:val="00202EB7"/>
    <w:rsid w:val="002035F3"/>
    <w:rsid w:val="00203928"/>
    <w:rsid w:val="00203C27"/>
    <w:rsid w:val="00203D86"/>
    <w:rsid w:val="00204464"/>
    <w:rsid w:val="0020450F"/>
    <w:rsid w:val="00205100"/>
    <w:rsid w:val="0020661D"/>
    <w:rsid w:val="0020669E"/>
    <w:rsid w:val="00206CF2"/>
    <w:rsid w:val="00206E76"/>
    <w:rsid w:val="0020723E"/>
    <w:rsid w:val="00210636"/>
    <w:rsid w:val="00210E2D"/>
    <w:rsid w:val="0021102A"/>
    <w:rsid w:val="002117E7"/>
    <w:rsid w:val="0021188F"/>
    <w:rsid w:val="00211AF2"/>
    <w:rsid w:val="00212684"/>
    <w:rsid w:val="00212A61"/>
    <w:rsid w:val="002137FA"/>
    <w:rsid w:val="00213CE4"/>
    <w:rsid w:val="00214784"/>
    <w:rsid w:val="0021481B"/>
    <w:rsid w:val="00214F65"/>
    <w:rsid w:val="00215140"/>
    <w:rsid w:val="0021531A"/>
    <w:rsid w:val="0021656B"/>
    <w:rsid w:val="0022051B"/>
    <w:rsid w:val="00221510"/>
    <w:rsid w:val="002228BF"/>
    <w:rsid w:val="00222B74"/>
    <w:rsid w:val="002238C4"/>
    <w:rsid w:val="002247E2"/>
    <w:rsid w:val="0022571F"/>
    <w:rsid w:val="00225812"/>
    <w:rsid w:val="00225CD3"/>
    <w:rsid w:val="00226B18"/>
    <w:rsid w:val="00227113"/>
    <w:rsid w:val="0023055D"/>
    <w:rsid w:val="0023084D"/>
    <w:rsid w:val="0023119A"/>
    <w:rsid w:val="0023211E"/>
    <w:rsid w:val="00232186"/>
    <w:rsid w:val="0023398B"/>
    <w:rsid w:val="00233CAC"/>
    <w:rsid w:val="00233F41"/>
    <w:rsid w:val="00235326"/>
    <w:rsid w:val="00235784"/>
    <w:rsid w:val="0023625E"/>
    <w:rsid w:val="00236652"/>
    <w:rsid w:val="00236D17"/>
    <w:rsid w:val="00237429"/>
    <w:rsid w:val="00237A46"/>
    <w:rsid w:val="0024042F"/>
    <w:rsid w:val="002410D6"/>
    <w:rsid w:val="0024193E"/>
    <w:rsid w:val="00241D45"/>
    <w:rsid w:val="00241D90"/>
    <w:rsid w:val="002430AD"/>
    <w:rsid w:val="002437B5"/>
    <w:rsid w:val="00243964"/>
    <w:rsid w:val="00245010"/>
    <w:rsid w:val="0024580A"/>
    <w:rsid w:val="00247EC7"/>
    <w:rsid w:val="00250E38"/>
    <w:rsid w:val="0025165F"/>
    <w:rsid w:val="00252895"/>
    <w:rsid w:val="0025290A"/>
    <w:rsid w:val="00253313"/>
    <w:rsid w:val="00253378"/>
    <w:rsid w:val="002538AE"/>
    <w:rsid w:val="00253919"/>
    <w:rsid w:val="00254892"/>
    <w:rsid w:val="002549F4"/>
    <w:rsid w:val="00254ACB"/>
    <w:rsid w:val="00254D13"/>
    <w:rsid w:val="002553F0"/>
    <w:rsid w:val="00255553"/>
    <w:rsid w:val="00255C0A"/>
    <w:rsid w:val="002560AA"/>
    <w:rsid w:val="00256503"/>
    <w:rsid w:val="00256FDD"/>
    <w:rsid w:val="00257B4C"/>
    <w:rsid w:val="002608AD"/>
    <w:rsid w:val="00260C39"/>
    <w:rsid w:val="00260F2E"/>
    <w:rsid w:val="002615AB"/>
    <w:rsid w:val="00261879"/>
    <w:rsid w:val="00261D72"/>
    <w:rsid w:val="00261D86"/>
    <w:rsid w:val="002623FD"/>
    <w:rsid w:val="00262687"/>
    <w:rsid w:val="002627E3"/>
    <w:rsid w:val="0026293E"/>
    <w:rsid w:val="00262BBF"/>
    <w:rsid w:val="002634D3"/>
    <w:rsid w:val="00263AA7"/>
    <w:rsid w:val="00264085"/>
    <w:rsid w:val="0026461A"/>
    <w:rsid w:val="002649D7"/>
    <w:rsid w:val="0026560F"/>
    <w:rsid w:val="00265643"/>
    <w:rsid w:val="0026598B"/>
    <w:rsid w:val="002661BB"/>
    <w:rsid w:val="00266A1A"/>
    <w:rsid w:val="002670EC"/>
    <w:rsid w:val="00267879"/>
    <w:rsid w:val="002708CF"/>
    <w:rsid w:val="002708F1"/>
    <w:rsid w:val="0027092F"/>
    <w:rsid w:val="00270DC9"/>
    <w:rsid w:val="0027165D"/>
    <w:rsid w:val="00272F4D"/>
    <w:rsid w:val="00273152"/>
    <w:rsid w:val="00273827"/>
    <w:rsid w:val="00273E9E"/>
    <w:rsid w:val="0027472B"/>
    <w:rsid w:val="00274A65"/>
    <w:rsid w:val="00274B49"/>
    <w:rsid w:val="0027545D"/>
    <w:rsid w:val="00275AD6"/>
    <w:rsid w:val="002760D4"/>
    <w:rsid w:val="0027646D"/>
    <w:rsid w:val="00276976"/>
    <w:rsid w:val="00276DF9"/>
    <w:rsid w:val="002800CC"/>
    <w:rsid w:val="00281330"/>
    <w:rsid w:val="00281CC4"/>
    <w:rsid w:val="0028255B"/>
    <w:rsid w:val="00282632"/>
    <w:rsid w:val="002828AA"/>
    <w:rsid w:val="00285021"/>
    <w:rsid w:val="00285603"/>
    <w:rsid w:val="0028578C"/>
    <w:rsid w:val="00286102"/>
    <w:rsid w:val="002865BA"/>
    <w:rsid w:val="00290765"/>
    <w:rsid w:val="002911D1"/>
    <w:rsid w:val="002922A0"/>
    <w:rsid w:val="0029287E"/>
    <w:rsid w:val="0029324B"/>
    <w:rsid w:val="0029330D"/>
    <w:rsid w:val="00293D56"/>
    <w:rsid w:val="00294909"/>
    <w:rsid w:val="00294EB7"/>
    <w:rsid w:val="00294FCA"/>
    <w:rsid w:val="00295D4B"/>
    <w:rsid w:val="0029616F"/>
    <w:rsid w:val="002964E3"/>
    <w:rsid w:val="00296862"/>
    <w:rsid w:val="002969F7"/>
    <w:rsid w:val="00297054"/>
    <w:rsid w:val="00297091"/>
    <w:rsid w:val="002A0949"/>
    <w:rsid w:val="002A18F8"/>
    <w:rsid w:val="002A1D06"/>
    <w:rsid w:val="002A1D1D"/>
    <w:rsid w:val="002A1D98"/>
    <w:rsid w:val="002A1E5C"/>
    <w:rsid w:val="002A247D"/>
    <w:rsid w:val="002A2F39"/>
    <w:rsid w:val="002A3F5F"/>
    <w:rsid w:val="002A5AE1"/>
    <w:rsid w:val="002A69CA"/>
    <w:rsid w:val="002A6C14"/>
    <w:rsid w:val="002A7722"/>
    <w:rsid w:val="002A7B1D"/>
    <w:rsid w:val="002B0095"/>
    <w:rsid w:val="002B06BA"/>
    <w:rsid w:val="002B120C"/>
    <w:rsid w:val="002B1252"/>
    <w:rsid w:val="002B2356"/>
    <w:rsid w:val="002B2366"/>
    <w:rsid w:val="002B2717"/>
    <w:rsid w:val="002B3368"/>
    <w:rsid w:val="002B3616"/>
    <w:rsid w:val="002B3704"/>
    <w:rsid w:val="002B3FE2"/>
    <w:rsid w:val="002B4116"/>
    <w:rsid w:val="002B47EC"/>
    <w:rsid w:val="002B48AD"/>
    <w:rsid w:val="002B60F7"/>
    <w:rsid w:val="002B684F"/>
    <w:rsid w:val="002B7306"/>
    <w:rsid w:val="002B7D7F"/>
    <w:rsid w:val="002C0314"/>
    <w:rsid w:val="002C0952"/>
    <w:rsid w:val="002C0CD6"/>
    <w:rsid w:val="002C14B7"/>
    <w:rsid w:val="002C14ED"/>
    <w:rsid w:val="002C1884"/>
    <w:rsid w:val="002C19ED"/>
    <w:rsid w:val="002C251C"/>
    <w:rsid w:val="002C3CCA"/>
    <w:rsid w:val="002C3FA1"/>
    <w:rsid w:val="002C4149"/>
    <w:rsid w:val="002C44F8"/>
    <w:rsid w:val="002C55E4"/>
    <w:rsid w:val="002C5FF1"/>
    <w:rsid w:val="002C67D0"/>
    <w:rsid w:val="002C6C6C"/>
    <w:rsid w:val="002C6E56"/>
    <w:rsid w:val="002C77C4"/>
    <w:rsid w:val="002C7A2A"/>
    <w:rsid w:val="002C7CA1"/>
    <w:rsid w:val="002C7FD8"/>
    <w:rsid w:val="002D0083"/>
    <w:rsid w:val="002D0E14"/>
    <w:rsid w:val="002D0EB2"/>
    <w:rsid w:val="002D209F"/>
    <w:rsid w:val="002D243D"/>
    <w:rsid w:val="002D2E8A"/>
    <w:rsid w:val="002D4777"/>
    <w:rsid w:val="002D4CB6"/>
    <w:rsid w:val="002D4F18"/>
    <w:rsid w:val="002D5130"/>
    <w:rsid w:val="002D5AE9"/>
    <w:rsid w:val="002D5B0D"/>
    <w:rsid w:val="002D5C78"/>
    <w:rsid w:val="002D6B50"/>
    <w:rsid w:val="002D6B99"/>
    <w:rsid w:val="002D7C31"/>
    <w:rsid w:val="002E0D33"/>
    <w:rsid w:val="002E0F30"/>
    <w:rsid w:val="002E1F5A"/>
    <w:rsid w:val="002E1F67"/>
    <w:rsid w:val="002E2F2C"/>
    <w:rsid w:val="002E3878"/>
    <w:rsid w:val="002E3B05"/>
    <w:rsid w:val="002E3EB8"/>
    <w:rsid w:val="002E489B"/>
    <w:rsid w:val="002E5EBC"/>
    <w:rsid w:val="002E5FC1"/>
    <w:rsid w:val="002E66BA"/>
    <w:rsid w:val="002E7E98"/>
    <w:rsid w:val="002F000F"/>
    <w:rsid w:val="002F0416"/>
    <w:rsid w:val="002F0C81"/>
    <w:rsid w:val="002F0E36"/>
    <w:rsid w:val="002F2165"/>
    <w:rsid w:val="002F258B"/>
    <w:rsid w:val="002F28B9"/>
    <w:rsid w:val="002F3435"/>
    <w:rsid w:val="002F478F"/>
    <w:rsid w:val="002F57D5"/>
    <w:rsid w:val="002F57F1"/>
    <w:rsid w:val="002F5F14"/>
    <w:rsid w:val="002F6755"/>
    <w:rsid w:val="002F6DFD"/>
    <w:rsid w:val="002F713F"/>
    <w:rsid w:val="002F78D1"/>
    <w:rsid w:val="002F7CFF"/>
    <w:rsid w:val="003007D5"/>
    <w:rsid w:val="00301BFA"/>
    <w:rsid w:val="00301E84"/>
    <w:rsid w:val="00302308"/>
    <w:rsid w:val="0030273F"/>
    <w:rsid w:val="00303072"/>
    <w:rsid w:val="003035A9"/>
    <w:rsid w:val="00303BA3"/>
    <w:rsid w:val="00303C71"/>
    <w:rsid w:val="00303F32"/>
    <w:rsid w:val="0030406B"/>
    <w:rsid w:val="00304072"/>
    <w:rsid w:val="003047FB"/>
    <w:rsid w:val="0030485E"/>
    <w:rsid w:val="0030592D"/>
    <w:rsid w:val="00307558"/>
    <w:rsid w:val="00310050"/>
    <w:rsid w:val="0031013A"/>
    <w:rsid w:val="003106FC"/>
    <w:rsid w:val="00310C3F"/>
    <w:rsid w:val="00311499"/>
    <w:rsid w:val="0031176A"/>
    <w:rsid w:val="00311AA0"/>
    <w:rsid w:val="00311E97"/>
    <w:rsid w:val="003122DC"/>
    <w:rsid w:val="003127D1"/>
    <w:rsid w:val="003134D0"/>
    <w:rsid w:val="003139AB"/>
    <w:rsid w:val="00313BB0"/>
    <w:rsid w:val="00314076"/>
    <w:rsid w:val="0031491C"/>
    <w:rsid w:val="003159F2"/>
    <w:rsid w:val="0031629F"/>
    <w:rsid w:val="00316C27"/>
    <w:rsid w:val="003174BD"/>
    <w:rsid w:val="003177D0"/>
    <w:rsid w:val="00317BBD"/>
    <w:rsid w:val="0032002D"/>
    <w:rsid w:val="00320EFE"/>
    <w:rsid w:val="0032172C"/>
    <w:rsid w:val="00321744"/>
    <w:rsid w:val="00321A6B"/>
    <w:rsid w:val="00321C42"/>
    <w:rsid w:val="00322C4F"/>
    <w:rsid w:val="00323985"/>
    <w:rsid w:val="00323991"/>
    <w:rsid w:val="00324530"/>
    <w:rsid w:val="003246D5"/>
    <w:rsid w:val="00325A1A"/>
    <w:rsid w:val="00326405"/>
    <w:rsid w:val="0032652B"/>
    <w:rsid w:val="003273F8"/>
    <w:rsid w:val="003300A1"/>
    <w:rsid w:val="0033029D"/>
    <w:rsid w:val="003308A8"/>
    <w:rsid w:val="0033123A"/>
    <w:rsid w:val="0033166A"/>
    <w:rsid w:val="00331A47"/>
    <w:rsid w:val="00331AC9"/>
    <w:rsid w:val="0033268D"/>
    <w:rsid w:val="0033291D"/>
    <w:rsid w:val="00333BDB"/>
    <w:rsid w:val="0033438D"/>
    <w:rsid w:val="00334410"/>
    <w:rsid w:val="0033467F"/>
    <w:rsid w:val="00334769"/>
    <w:rsid w:val="00334C3E"/>
    <w:rsid w:val="003365F7"/>
    <w:rsid w:val="00337A39"/>
    <w:rsid w:val="00341B2B"/>
    <w:rsid w:val="00342006"/>
    <w:rsid w:val="00343AA9"/>
    <w:rsid w:val="0034508E"/>
    <w:rsid w:val="003478D2"/>
    <w:rsid w:val="00347BE9"/>
    <w:rsid w:val="0035006A"/>
    <w:rsid w:val="0035161A"/>
    <w:rsid w:val="00351735"/>
    <w:rsid w:val="00351797"/>
    <w:rsid w:val="0035187B"/>
    <w:rsid w:val="00351ABC"/>
    <w:rsid w:val="00352061"/>
    <w:rsid w:val="00353392"/>
    <w:rsid w:val="003534A4"/>
    <w:rsid w:val="0035361D"/>
    <w:rsid w:val="0035393B"/>
    <w:rsid w:val="00353B10"/>
    <w:rsid w:val="003544B1"/>
    <w:rsid w:val="00354795"/>
    <w:rsid w:val="00354DE4"/>
    <w:rsid w:val="0035538C"/>
    <w:rsid w:val="0035582E"/>
    <w:rsid w:val="00355C7B"/>
    <w:rsid w:val="0035662B"/>
    <w:rsid w:val="00356B82"/>
    <w:rsid w:val="003575C9"/>
    <w:rsid w:val="003576C2"/>
    <w:rsid w:val="003607E4"/>
    <w:rsid w:val="00361C04"/>
    <w:rsid w:val="0036346C"/>
    <w:rsid w:val="00363473"/>
    <w:rsid w:val="00363EA7"/>
    <w:rsid w:val="00364473"/>
    <w:rsid w:val="0036473B"/>
    <w:rsid w:val="00364F93"/>
    <w:rsid w:val="00365D9C"/>
    <w:rsid w:val="00366273"/>
    <w:rsid w:val="0036792C"/>
    <w:rsid w:val="003719BF"/>
    <w:rsid w:val="00371B40"/>
    <w:rsid w:val="00371E85"/>
    <w:rsid w:val="00371FA2"/>
    <w:rsid w:val="0037287A"/>
    <w:rsid w:val="00373120"/>
    <w:rsid w:val="00374036"/>
    <w:rsid w:val="0037416D"/>
    <w:rsid w:val="00374490"/>
    <w:rsid w:val="00374588"/>
    <w:rsid w:val="00374998"/>
    <w:rsid w:val="00374C59"/>
    <w:rsid w:val="00374E62"/>
    <w:rsid w:val="00375245"/>
    <w:rsid w:val="003762E8"/>
    <w:rsid w:val="0037690B"/>
    <w:rsid w:val="00377892"/>
    <w:rsid w:val="00380463"/>
    <w:rsid w:val="003805BA"/>
    <w:rsid w:val="00381C51"/>
    <w:rsid w:val="00382462"/>
    <w:rsid w:val="003824A8"/>
    <w:rsid w:val="00382B2C"/>
    <w:rsid w:val="0038329C"/>
    <w:rsid w:val="00383346"/>
    <w:rsid w:val="003836AF"/>
    <w:rsid w:val="00383726"/>
    <w:rsid w:val="00383AB7"/>
    <w:rsid w:val="0038494D"/>
    <w:rsid w:val="00384C07"/>
    <w:rsid w:val="00384D2F"/>
    <w:rsid w:val="00385029"/>
    <w:rsid w:val="00385A5D"/>
    <w:rsid w:val="00385D73"/>
    <w:rsid w:val="00391415"/>
    <w:rsid w:val="00394F1E"/>
    <w:rsid w:val="00395447"/>
    <w:rsid w:val="00395500"/>
    <w:rsid w:val="00395DC9"/>
    <w:rsid w:val="003A0AB3"/>
    <w:rsid w:val="003A0EFE"/>
    <w:rsid w:val="003A12F9"/>
    <w:rsid w:val="003A1843"/>
    <w:rsid w:val="003A1AEB"/>
    <w:rsid w:val="003A218F"/>
    <w:rsid w:val="003A26CD"/>
    <w:rsid w:val="003A2E4B"/>
    <w:rsid w:val="003A32BC"/>
    <w:rsid w:val="003A36F1"/>
    <w:rsid w:val="003A4033"/>
    <w:rsid w:val="003A4D4A"/>
    <w:rsid w:val="003A52DF"/>
    <w:rsid w:val="003A5710"/>
    <w:rsid w:val="003A5AA6"/>
    <w:rsid w:val="003A5CF5"/>
    <w:rsid w:val="003A5D59"/>
    <w:rsid w:val="003A5FAF"/>
    <w:rsid w:val="003A602F"/>
    <w:rsid w:val="003A6165"/>
    <w:rsid w:val="003A6726"/>
    <w:rsid w:val="003A7FB8"/>
    <w:rsid w:val="003B1C0B"/>
    <w:rsid w:val="003B2B09"/>
    <w:rsid w:val="003B2D47"/>
    <w:rsid w:val="003B3161"/>
    <w:rsid w:val="003B3AA9"/>
    <w:rsid w:val="003B3B05"/>
    <w:rsid w:val="003B3D22"/>
    <w:rsid w:val="003B4B22"/>
    <w:rsid w:val="003B4B8F"/>
    <w:rsid w:val="003B59E7"/>
    <w:rsid w:val="003B6839"/>
    <w:rsid w:val="003B715E"/>
    <w:rsid w:val="003B7632"/>
    <w:rsid w:val="003B76DC"/>
    <w:rsid w:val="003B77E9"/>
    <w:rsid w:val="003B7E3E"/>
    <w:rsid w:val="003C1194"/>
    <w:rsid w:val="003C18B0"/>
    <w:rsid w:val="003C1E27"/>
    <w:rsid w:val="003C1FFF"/>
    <w:rsid w:val="003C2339"/>
    <w:rsid w:val="003C29D8"/>
    <w:rsid w:val="003C2B32"/>
    <w:rsid w:val="003C2B37"/>
    <w:rsid w:val="003C2C8A"/>
    <w:rsid w:val="003C39BB"/>
    <w:rsid w:val="003C4463"/>
    <w:rsid w:val="003C46E7"/>
    <w:rsid w:val="003C47A3"/>
    <w:rsid w:val="003C4C3D"/>
    <w:rsid w:val="003C5FD3"/>
    <w:rsid w:val="003C6763"/>
    <w:rsid w:val="003C6C0B"/>
    <w:rsid w:val="003C6DC0"/>
    <w:rsid w:val="003C6DF4"/>
    <w:rsid w:val="003C6F22"/>
    <w:rsid w:val="003D0625"/>
    <w:rsid w:val="003D0F91"/>
    <w:rsid w:val="003D10D0"/>
    <w:rsid w:val="003D11BC"/>
    <w:rsid w:val="003D2488"/>
    <w:rsid w:val="003D2E82"/>
    <w:rsid w:val="003D2F68"/>
    <w:rsid w:val="003D339A"/>
    <w:rsid w:val="003D3762"/>
    <w:rsid w:val="003D3B68"/>
    <w:rsid w:val="003D56BA"/>
    <w:rsid w:val="003D5AD1"/>
    <w:rsid w:val="003D5AE8"/>
    <w:rsid w:val="003D5F5F"/>
    <w:rsid w:val="003E09F5"/>
    <w:rsid w:val="003E0DDD"/>
    <w:rsid w:val="003E1827"/>
    <w:rsid w:val="003E1D8A"/>
    <w:rsid w:val="003E2253"/>
    <w:rsid w:val="003E2A19"/>
    <w:rsid w:val="003E2AAF"/>
    <w:rsid w:val="003E2DBA"/>
    <w:rsid w:val="003E304D"/>
    <w:rsid w:val="003E343D"/>
    <w:rsid w:val="003E35B7"/>
    <w:rsid w:val="003E37DB"/>
    <w:rsid w:val="003E3E61"/>
    <w:rsid w:val="003E58E8"/>
    <w:rsid w:val="003E6C8F"/>
    <w:rsid w:val="003E7216"/>
    <w:rsid w:val="003E7266"/>
    <w:rsid w:val="003F07E4"/>
    <w:rsid w:val="003F0B3C"/>
    <w:rsid w:val="003F14B7"/>
    <w:rsid w:val="003F23A8"/>
    <w:rsid w:val="003F3B64"/>
    <w:rsid w:val="003F3FF2"/>
    <w:rsid w:val="003F4937"/>
    <w:rsid w:val="003F554C"/>
    <w:rsid w:val="003F58C5"/>
    <w:rsid w:val="003F5CA3"/>
    <w:rsid w:val="003F62EB"/>
    <w:rsid w:val="003F6682"/>
    <w:rsid w:val="003F73F8"/>
    <w:rsid w:val="0040000A"/>
    <w:rsid w:val="004002A3"/>
    <w:rsid w:val="00400614"/>
    <w:rsid w:val="0040098D"/>
    <w:rsid w:val="00401602"/>
    <w:rsid w:val="00404140"/>
    <w:rsid w:val="00405A49"/>
    <w:rsid w:val="00406D5D"/>
    <w:rsid w:val="004101D2"/>
    <w:rsid w:val="004103C3"/>
    <w:rsid w:val="00410AF8"/>
    <w:rsid w:val="004115A7"/>
    <w:rsid w:val="00411C6B"/>
    <w:rsid w:val="00411F45"/>
    <w:rsid w:val="0041231A"/>
    <w:rsid w:val="004123F3"/>
    <w:rsid w:val="00412819"/>
    <w:rsid w:val="00412E01"/>
    <w:rsid w:val="004133C3"/>
    <w:rsid w:val="0041354B"/>
    <w:rsid w:val="00413861"/>
    <w:rsid w:val="0041452B"/>
    <w:rsid w:val="004147D3"/>
    <w:rsid w:val="004149CF"/>
    <w:rsid w:val="00415D97"/>
    <w:rsid w:val="004169C6"/>
    <w:rsid w:val="00417561"/>
    <w:rsid w:val="00417B4A"/>
    <w:rsid w:val="00420806"/>
    <w:rsid w:val="00420989"/>
    <w:rsid w:val="00421582"/>
    <w:rsid w:val="00422207"/>
    <w:rsid w:val="004223C7"/>
    <w:rsid w:val="004224AF"/>
    <w:rsid w:val="00422FE4"/>
    <w:rsid w:val="00423201"/>
    <w:rsid w:val="004234C0"/>
    <w:rsid w:val="0042361B"/>
    <w:rsid w:val="00424070"/>
    <w:rsid w:val="00425E22"/>
    <w:rsid w:val="0042615E"/>
    <w:rsid w:val="00426584"/>
    <w:rsid w:val="00426C86"/>
    <w:rsid w:val="004272B1"/>
    <w:rsid w:val="00430520"/>
    <w:rsid w:val="00430BEE"/>
    <w:rsid w:val="00430D37"/>
    <w:rsid w:val="00431792"/>
    <w:rsid w:val="004319FC"/>
    <w:rsid w:val="00431D01"/>
    <w:rsid w:val="00432220"/>
    <w:rsid w:val="004326F1"/>
    <w:rsid w:val="00434776"/>
    <w:rsid w:val="0043499A"/>
    <w:rsid w:val="00434C87"/>
    <w:rsid w:val="00435BC2"/>
    <w:rsid w:val="0043684D"/>
    <w:rsid w:val="00436965"/>
    <w:rsid w:val="00436B0D"/>
    <w:rsid w:val="00437954"/>
    <w:rsid w:val="00437F79"/>
    <w:rsid w:val="0044075D"/>
    <w:rsid w:val="00440F77"/>
    <w:rsid w:val="00441DDF"/>
    <w:rsid w:val="00441FF8"/>
    <w:rsid w:val="004441A3"/>
    <w:rsid w:val="00445475"/>
    <w:rsid w:val="00445F39"/>
    <w:rsid w:val="0044610B"/>
    <w:rsid w:val="0044683C"/>
    <w:rsid w:val="00446BE3"/>
    <w:rsid w:val="00446E31"/>
    <w:rsid w:val="004478AF"/>
    <w:rsid w:val="004505D7"/>
    <w:rsid w:val="004524C5"/>
    <w:rsid w:val="00452A87"/>
    <w:rsid w:val="00452C5B"/>
    <w:rsid w:val="00452C95"/>
    <w:rsid w:val="00452F81"/>
    <w:rsid w:val="00453117"/>
    <w:rsid w:val="0045325D"/>
    <w:rsid w:val="0045367A"/>
    <w:rsid w:val="00453B50"/>
    <w:rsid w:val="00454818"/>
    <w:rsid w:val="004548FA"/>
    <w:rsid w:val="00455373"/>
    <w:rsid w:val="00455D75"/>
    <w:rsid w:val="004562EC"/>
    <w:rsid w:val="004568A0"/>
    <w:rsid w:val="00456A67"/>
    <w:rsid w:val="00456C3A"/>
    <w:rsid w:val="00457988"/>
    <w:rsid w:val="00460B1A"/>
    <w:rsid w:val="0046121A"/>
    <w:rsid w:val="00461530"/>
    <w:rsid w:val="0046160A"/>
    <w:rsid w:val="004620AA"/>
    <w:rsid w:val="00462D83"/>
    <w:rsid w:val="00463FDB"/>
    <w:rsid w:val="00465147"/>
    <w:rsid w:val="004652C4"/>
    <w:rsid w:val="00465757"/>
    <w:rsid w:val="0046712F"/>
    <w:rsid w:val="00467471"/>
    <w:rsid w:val="004674B2"/>
    <w:rsid w:val="00470556"/>
    <w:rsid w:val="0047165E"/>
    <w:rsid w:val="00471978"/>
    <w:rsid w:val="00471FA3"/>
    <w:rsid w:val="004721D9"/>
    <w:rsid w:val="00472423"/>
    <w:rsid w:val="00472A43"/>
    <w:rsid w:val="00472A97"/>
    <w:rsid w:val="00472AD8"/>
    <w:rsid w:val="00472DD4"/>
    <w:rsid w:val="0047367A"/>
    <w:rsid w:val="00474022"/>
    <w:rsid w:val="00474093"/>
    <w:rsid w:val="00474336"/>
    <w:rsid w:val="00474446"/>
    <w:rsid w:val="00474637"/>
    <w:rsid w:val="004746E4"/>
    <w:rsid w:val="00475E4A"/>
    <w:rsid w:val="0048124F"/>
    <w:rsid w:val="00481F16"/>
    <w:rsid w:val="00482B7A"/>
    <w:rsid w:val="00483119"/>
    <w:rsid w:val="00483E2F"/>
    <w:rsid w:val="004844C4"/>
    <w:rsid w:val="0048461C"/>
    <w:rsid w:val="00485216"/>
    <w:rsid w:val="00485743"/>
    <w:rsid w:val="0048700D"/>
    <w:rsid w:val="00487D9F"/>
    <w:rsid w:val="00487EFB"/>
    <w:rsid w:val="00490041"/>
    <w:rsid w:val="00490445"/>
    <w:rsid w:val="00490CF6"/>
    <w:rsid w:val="004916B3"/>
    <w:rsid w:val="00491D85"/>
    <w:rsid w:val="00491ED1"/>
    <w:rsid w:val="00492529"/>
    <w:rsid w:val="004927A0"/>
    <w:rsid w:val="0049412C"/>
    <w:rsid w:val="0049444E"/>
    <w:rsid w:val="00494C53"/>
    <w:rsid w:val="00495304"/>
    <w:rsid w:val="00495324"/>
    <w:rsid w:val="004960C0"/>
    <w:rsid w:val="0049680A"/>
    <w:rsid w:val="004974DB"/>
    <w:rsid w:val="00497A22"/>
    <w:rsid w:val="004A01B0"/>
    <w:rsid w:val="004A05A8"/>
    <w:rsid w:val="004A12EE"/>
    <w:rsid w:val="004A1D37"/>
    <w:rsid w:val="004A214C"/>
    <w:rsid w:val="004A22A2"/>
    <w:rsid w:val="004A253C"/>
    <w:rsid w:val="004A27BD"/>
    <w:rsid w:val="004A3437"/>
    <w:rsid w:val="004A3F33"/>
    <w:rsid w:val="004A4992"/>
    <w:rsid w:val="004A66B0"/>
    <w:rsid w:val="004A76F9"/>
    <w:rsid w:val="004A79EB"/>
    <w:rsid w:val="004A7D60"/>
    <w:rsid w:val="004A7FA2"/>
    <w:rsid w:val="004B043C"/>
    <w:rsid w:val="004B12B2"/>
    <w:rsid w:val="004B134E"/>
    <w:rsid w:val="004B211C"/>
    <w:rsid w:val="004B24A6"/>
    <w:rsid w:val="004B28BC"/>
    <w:rsid w:val="004B2D4D"/>
    <w:rsid w:val="004B3726"/>
    <w:rsid w:val="004B391F"/>
    <w:rsid w:val="004B3AD0"/>
    <w:rsid w:val="004B4758"/>
    <w:rsid w:val="004B53C9"/>
    <w:rsid w:val="004B57CB"/>
    <w:rsid w:val="004B5D4A"/>
    <w:rsid w:val="004C1635"/>
    <w:rsid w:val="004C2B2F"/>
    <w:rsid w:val="004C2C2D"/>
    <w:rsid w:val="004C338E"/>
    <w:rsid w:val="004C518C"/>
    <w:rsid w:val="004C53C9"/>
    <w:rsid w:val="004C5563"/>
    <w:rsid w:val="004C75CD"/>
    <w:rsid w:val="004D0B75"/>
    <w:rsid w:val="004D0FE2"/>
    <w:rsid w:val="004D16C3"/>
    <w:rsid w:val="004D2290"/>
    <w:rsid w:val="004D403B"/>
    <w:rsid w:val="004D59C2"/>
    <w:rsid w:val="004D6FEB"/>
    <w:rsid w:val="004D7043"/>
    <w:rsid w:val="004D75B2"/>
    <w:rsid w:val="004E1EC5"/>
    <w:rsid w:val="004E260D"/>
    <w:rsid w:val="004E2C97"/>
    <w:rsid w:val="004E2E8F"/>
    <w:rsid w:val="004E2F6D"/>
    <w:rsid w:val="004E39B5"/>
    <w:rsid w:val="004E3E4E"/>
    <w:rsid w:val="004E409B"/>
    <w:rsid w:val="004E4173"/>
    <w:rsid w:val="004E43F4"/>
    <w:rsid w:val="004E4865"/>
    <w:rsid w:val="004E57E3"/>
    <w:rsid w:val="004E57F4"/>
    <w:rsid w:val="004E6697"/>
    <w:rsid w:val="004E693D"/>
    <w:rsid w:val="004E6A48"/>
    <w:rsid w:val="004E6DFB"/>
    <w:rsid w:val="004E709F"/>
    <w:rsid w:val="004E75BF"/>
    <w:rsid w:val="004E77C2"/>
    <w:rsid w:val="004E791E"/>
    <w:rsid w:val="004E7E37"/>
    <w:rsid w:val="004E7E6F"/>
    <w:rsid w:val="004F0AC1"/>
    <w:rsid w:val="004F0B9F"/>
    <w:rsid w:val="004F14CB"/>
    <w:rsid w:val="004F1882"/>
    <w:rsid w:val="004F2469"/>
    <w:rsid w:val="004F2A44"/>
    <w:rsid w:val="004F30A5"/>
    <w:rsid w:val="004F3144"/>
    <w:rsid w:val="004F3155"/>
    <w:rsid w:val="004F37BA"/>
    <w:rsid w:val="004F3B90"/>
    <w:rsid w:val="004F472B"/>
    <w:rsid w:val="004F5472"/>
    <w:rsid w:val="004F5555"/>
    <w:rsid w:val="004F617A"/>
    <w:rsid w:val="004F7BF1"/>
    <w:rsid w:val="00500892"/>
    <w:rsid w:val="005024EE"/>
    <w:rsid w:val="005025AC"/>
    <w:rsid w:val="00502EEC"/>
    <w:rsid w:val="005030E5"/>
    <w:rsid w:val="0050313F"/>
    <w:rsid w:val="005031FB"/>
    <w:rsid w:val="005034B5"/>
    <w:rsid w:val="0050351B"/>
    <w:rsid w:val="0050375A"/>
    <w:rsid w:val="0050433E"/>
    <w:rsid w:val="0050597E"/>
    <w:rsid w:val="005061DC"/>
    <w:rsid w:val="00506369"/>
    <w:rsid w:val="0050721A"/>
    <w:rsid w:val="00507227"/>
    <w:rsid w:val="00507451"/>
    <w:rsid w:val="005074CD"/>
    <w:rsid w:val="00507574"/>
    <w:rsid w:val="00510665"/>
    <w:rsid w:val="00510E52"/>
    <w:rsid w:val="00510F34"/>
    <w:rsid w:val="005114A3"/>
    <w:rsid w:val="00511B37"/>
    <w:rsid w:val="00511F12"/>
    <w:rsid w:val="0051215E"/>
    <w:rsid w:val="00512982"/>
    <w:rsid w:val="0051311B"/>
    <w:rsid w:val="00513D82"/>
    <w:rsid w:val="005143FF"/>
    <w:rsid w:val="0051457D"/>
    <w:rsid w:val="00515DE5"/>
    <w:rsid w:val="00516011"/>
    <w:rsid w:val="005166DC"/>
    <w:rsid w:val="005171DC"/>
    <w:rsid w:val="0051746D"/>
    <w:rsid w:val="00517766"/>
    <w:rsid w:val="00520264"/>
    <w:rsid w:val="00520990"/>
    <w:rsid w:val="00520A6B"/>
    <w:rsid w:val="00520BEC"/>
    <w:rsid w:val="00520E26"/>
    <w:rsid w:val="00520FF2"/>
    <w:rsid w:val="0052142E"/>
    <w:rsid w:val="005218E9"/>
    <w:rsid w:val="00521D2F"/>
    <w:rsid w:val="00522870"/>
    <w:rsid w:val="00522E6F"/>
    <w:rsid w:val="005230F8"/>
    <w:rsid w:val="00523182"/>
    <w:rsid w:val="00523295"/>
    <w:rsid w:val="005233F0"/>
    <w:rsid w:val="00523F4E"/>
    <w:rsid w:val="00524113"/>
    <w:rsid w:val="005242AA"/>
    <w:rsid w:val="0052555C"/>
    <w:rsid w:val="00525F62"/>
    <w:rsid w:val="005267AE"/>
    <w:rsid w:val="005269C5"/>
    <w:rsid w:val="00526CB0"/>
    <w:rsid w:val="00526D1F"/>
    <w:rsid w:val="005270FE"/>
    <w:rsid w:val="005272B4"/>
    <w:rsid w:val="00527AF8"/>
    <w:rsid w:val="00527BCB"/>
    <w:rsid w:val="00530439"/>
    <w:rsid w:val="00531685"/>
    <w:rsid w:val="005326FD"/>
    <w:rsid w:val="00533102"/>
    <w:rsid w:val="0053370D"/>
    <w:rsid w:val="00533DEB"/>
    <w:rsid w:val="005340E5"/>
    <w:rsid w:val="00534212"/>
    <w:rsid w:val="00534304"/>
    <w:rsid w:val="00534F9D"/>
    <w:rsid w:val="0053587B"/>
    <w:rsid w:val="0053623B"/>
    <w:rsid w:val="00536475"/>
    <w:rsid w:val="005364E2"/>
    <w:rsid w:val="00536501"/>
    <w:rsid w:val="00536A95"/>
    <w:rsid w:val="005371D5"/>
    <w:rsid w:val="005378C9"/>
    <w:rsid w:val="00540027"/>
    <w:rsid w:val="0054022E"/>
    <w:rsid w:val="00541241"/>
    <w:rsid w:val="00542097"/>
    <w:rsid w:val="005424A7"/>
    <w:rsid w:val="00543621"/>
    <w:rsid w:val="0054448F"/>
    <w:rsid w:val="00544BFD"/>
    <w:rsid w:val="00544C15"/>
    <w:rsid w:val="00544D06"/>
    <w:rsid w:val="005463C7"/>
    <w:rsid w:val="005466B4"/>
    <w:rsid w:val="0054779E"/>
    <w:rsid w:val="00550E1B"/>
    <w:rsid w:val="00551DE4"/>
    <w:rsid w:val="00551F18"/>
    <w:rsid w:val="00552FDD"/>
    <w:rsid w:val="00554FC0"/>
    <w:rsid w:val="00554FE7"/>
    <w:rsid w:val="005552C9"/>
    <w:rsid w:val="005552FC"/>
    <w:rsid w:val="00555C71"/>
    <w:rsid w:val="005560C7"/>
    <w:rsid w:val="0055710C"/>
    <w:rsid w:val="00560556"/>
    <w:rsid w:val="00560618"/>
    <w:rsid w:val="00560FF7"/>
    <w:rsid w:val="00561989"/>
    <w:rsid w:val="00562F30"/>
    <w:rsid w:val="005649C7"/>
    <w:rsid w:val="00565559"/>
    <w:rsid w:val="00565811"/>
    <w:rsid w:val="00566363"/>
    <w:rsid w:val="005669A6"/>
    <w:rsid w:val="005674C9"/>
    <w:rsid w:val="00567BC1"/>
    <w:rsid w:val="0057074F"/>
    <w:rsid w:val="00570B87"/>
    <w:rsid w:val="00571925"/>
    <w:rsid w:val="00571C19"/>
    <w:rsid w:val="005727FB"/>
    <w:rsid w:val="00572CD9"/>
    <w:rsid w:val="00572D1C"/>
    <w:rsid w:val="00572E69"/>
    <w:rsid w:val="00573229"/>
    <w:rsid w:val="0057368E"/>
    <w:rsid w:val="0057395C"/>
    <w:rsid w:val="0057420B"/>
    <w:rsid w:val="005747CD"/>
    <w:rsid w:val="0057558A"/>
    <w:rsid w:val="005758B0"/>
    <w:rsid w:val="00575FFC"/>
    <w:rsid w:val="00576D0A"/>
    <w:rsid w:val="005805B4"/>
    <w:rsid w:val="005807D4"/>
    <w:rsid w:val="00580B25"/>
    <w:rsid w:val="00581429"/>
    <w:rsid w:val="00581E9A"/>
    <w:rsid w:val="00581FC7"/>
    <w:rsid w:val="00582D41"/>
    <w:rsid w:val="00582FAD"/>
    <w:rsid w:val="005834FD"/>
    <w:rsid w:val="00584AE6"/>
    <w:rsid w:val="00585A4D"/>
    <w:rsid w:val="0058658A"/>
    <w:rsid w:val="00587280"/>
    <w:rsid w:val="00587F8E"/>
    <w:rsid w:val="00587F9E"/>
    <w:rsid w:val="00587FEC"/>
    <w:rsid w:val="00590000"/>
    <w:rsid w:val="00590609"/>
    <w:rsid w:val="00590FCC"/>
    <w:rsid w:val="00592520"/>
    <w:rsid w:val="00592DAB"/>
    <w:rsid w:val="00592DAC"/>
    <w:rsid w:val="00592FEF"/>
    <w:rsid w:val="005933E2"/>
    <w:rsid w:val="0059374E"/>
    <w:rsid w:val="00594684"/>
    <w:rsid w:val="005946B3"/>
    <w:rsid w:val="00595133"/>
    <w:rsid w:val="00595176"/>
    <w:rsid w:val="00595C12"/>
    <w:rsid w:val="00596B78"/>
    <w:rsid w:val="00597320"/>
    <w:rsid w:val="005974D9"/>
    <w:rsid w:val="0059757B"/>
    <w:rsid w:val="005A25AB"/>
    <w:rsid w:val="005A29A8"/>
    <w:rsid w:val="005A2BA3"/>
    <w:rsid w:val="005A369F"/>
    <w:rsid w:val="005A409F"/>
    <w:rsid w:val="005A461A"/>
    <w:rsid w:val="005A5C7B"/>
    <w:rsid w:val="005A6498"/>
    <w:rsid w:val="005A657E"/>
    <w:rsid w:val="005A75DF"/>
    <w:rsid w:val="005A77AF"/>
    <w:rsid w:val="005A784D"/>
    <w:rsid w:val="005B0749"/>
    <w:rsid w:val="005B0CE7"/>
    <w:rsid w:val="005B0DE2"/>
    <w:rsid w:val="005B205F"/>
    <w:rsid w:val="005B2371"/>
    <w:rsid w:val="005B2C81"/>
    <w:rsid w:val="005B2D48"/>
    <w:rsid w:val="005B3B9D"/>
    <w:rsid w:val="005B4304"/>
    <w:rsid w:val="005B557D"/>
    <w:rsid w:val="005B6001"/>
    <w:rsid w:val="005B66BF"/>
    <w:rsid w:val="005B700D"/>
    <w:rsid w:val="005B79E5"/>
    <w:rsid w:val="005C0AEE"/>
    <w:rsid w:val="005C0F90"/>
    <w:rsid w:val="005C1070"/>
    <w:rsid w:val="005C15C4"/>
    <w:rsid w:val="005C19C6"/>
    <w:rsid w:val="005C26AC"/>
    <w:rsid w:val="005C2C5D"/>
    <w:rsid w:val="005C337D"/>
    <w:rsid w:val="005C37E2"/>
    <w:rsid w:val="005C57C9"/>
    <w:rsid w:val="005C59C6"/>
    <w:rsid w:val="005C5B1C"/>
    <w:rsid w:val="005C5B45"/>
    <w:rsid w:val="005C5EEC"/>
    <w:rsid w:val="005C63FD"/>
    <w:rsid w:val="005C6C8C"/>
    <w:rsid w:val="005C7159"/>
    <w:rsid w:val="005C7D49"/>
    <w:rsid w:val="005D06CE"/>
    <w:rsid w:val="005D159B"/>
    <w:rsid w:val="005D2A8B"/>
    <w:rsid w:val="005D304D"/>
    <w:rsid w:val="005D3612"/>
    <w:rsid w:val="005D37B9"/>
    <w:rsid w:val="005D4056"/>
    <w:rsid w:val="005D4081"/>
    <w:rsid w:val="005D4576"/>
    <w:rsid w:val="005D481C"/>
    <w:rsid w:val="005D4CE2"/>
    <w:rsid w:val="005D5FB0"/>
    <w:rsid w:val="005D655F"/>
    <w:rsid w:val="005D6714"/>
    <w:rsid w:val="005D6B6A"/>
    <w:rsid w:val="005D6D33"/>
    <w:rsid w:val="005E03C6"/>
    <w:rsid w:val="005E0B8D"/>
    <w:rsid w:val="005E0C17"/>
    <w:rsid w:val="005E0C38"/>
    <w:rsid w:val="005E0DFF"/>
    <w:rsid w:val="005E2231"/>
    <w:rsid w:val="005E304E"/>
    <w:rsid w:val="005E3C84"/>
    <w:rsid w:val="005E5F00"/>
    <w:rsid w:val="005E6E37"/>
    <w:rsid w:val="005E719B"/>
    <w:rsid w:val="005E73AA"/>
    <w:rsid w:val="005E7A24"/>
    <w:rsid w:val="005E7BBB"/>
    <w:rsid w:val="005F0FA2"/>
    <w:rsid w:val="005F1288"/>
    <w:rsid w:val="005F1989"/>
    <w:rsid w:val="005F1C12"/>
    <w:rsid w:val="005F1D90"/>
    <w:rsid w:val="005F242B"/>
    <w:rsid w:val="005F24D2"/>
    <w:rsid w:val="005F2BF0"/>
    <w:rsid w:val="005F2DEE"/>
    <w:rsid w:val="005F3B2F"/>
    <w:rsid w:val="005F4D7F"/>
    <w:rsid w:val="005F5602"/>
    <w:rsid w:val="005F5ACB"/>
    <w:rsid w:val="005F5E9E"/>
    <w:rsid w:val="005F6224"/>
    <w:rsid w:val="005F7B27"/>
    <w:rsid w:val="00601A6A"/>
    <w:rsid w:val="00602C48"/>
    <w:rsid w:val="00602E48"/>
    <w:rsid w:val="00603440"/>
    <w:rsid w:val="0060454F"/>
    <w:rsid w:val="00604C91"/>
    <w:rsid w:val="00604C9F"/>
    <w:rsid w:val="00604F14"/>
    <w:rsid w:val="00605123"/>
    <w:rsid w:val="006058B4"/>
    <w:rsid w:val="00605E91"/>
    <w:rsid w:val="00605FF4"/>
    <w:rsid w:val="006070F8"/>
    <w:rsid w:val="00607DDE"/>
    <w:rsid w:val="00607EB2"/>
    <w:rsid w:val="00612782"/>
    <w:rsid w:val="0061349F"/>
    <w:rsid w:val="0061416C"/>
    <w:rsid w:val="006160B8"/>
    <w:rsid w:val="0061666A"/>
    <w:rsid w:val="00616A9A"/>
    <w:rsid w:val="006174FC"/>
    <w:rsid w:val="006201BA"/>
    <w:rsid w:val="0062055C"/>
    <w:rsid w:val="0062079B"/>
    <w:rsid w:val="006215CE"/>
    <w:rsid w:val="006218D3"/>
    <w:rsid w:val="00621B76"/>
    <w:rsid w:val="006226D5"/>
    <w:rsid w:val="00622ACB"/>
    <w:rsid w:val="00624616"/>
    <w:rsid w:val="006249DC"/>
    <w:rsid w:val="00624A0A"/>
    <w:rsid w:val="00624FAA"/>
    <w:rsid w:val="0062517D"/>
    <w:rsid w:val="006259EC"/>
    <w:rsid w:val="00625DCF"/>
    <w:rsid w:val="006274D4"/>
    <w:rsid w:val="00627721"/>
    <w:rsid w:val="00627812"/>
    <w:rsid w:val="0063291F"/>
    <w:rsid w:val="006330EF"/>
    <w:rsid w:val="00633202"/>
    <w:rsid w:val="006339C3"/>
    <w:rsid w:val="0063561E"/>
    <w:rsid w:val="00636389"/>
    <w:rsid w:val="00636675"/>
    <w:rsid w:val="00636D8D"/>
    <w:rsid w:val="00636F36"/>
    <w:rsid w:val="0063741A"/>
    <w:rsid w:val="00637673"/>
    <w:rsid w:val="006424DC"/>
    <w:rsid w:val="0064277E"/>
    <w:rsid w:val="006427CC"/>
    <w:rsid w:val="00642C63"/>
    <w:rsid w:val="00643121"/>
    <w:rsid w:val="0064371F"/>
    <w:rsid w:val="0064387F"/>
    <w:rsid w:val="0064460D"/>
    <w:rsid w:val="006448F2"/>
    <w:rsid w:val="00644C43"/>
    <w:rsid w:val="00644F48"/>
    <w:rsid w:val="0064554F"/>
    <w:rsid w:val="0064661A"/>
    <w:rsid w:val="006475C2"/>
    <w:rsid w:val="00647867"/>
    <w:rsid w:val="00647C45"/>
    <w:rsid w:val="00650107"/>
    <w:rsid w:val="006505FA"/>
    <w:rsid w:val="006510F6"/>
    <w:rsid w:val="00651FA2"/>
    <w:rsid w:val="00653001"/>
    <w:rsid w:val="0065383A"/>
    <w:rsid w:val="006543CB"/>
    <w:rsid w:val="00654AC3"/>
    <w:rsid w:val="00655671"/>
    <w:rsid w:val="00655CA4"/>
    <w:rsid w:val="00655F0E"/>
    <w:rsid w:val="00656DC6"/>
    <w:rsid w:val="006573D4"/>
    <w:rsid w:val="0065789A"/>
    <w:rsid w:val="0066007C"/>
    <w:rsid w:val="00660604"/>
    <w:rsid w:val="00661C27"/>
    <w:rsid w:val="0066212B"/>
    <w:rsid w:val="006632DF"/>
    <w:rsid w:val="0066394D"/>
    <w:rsid w:val="00663AC4"/>
    <w:rsid w:val="00663AEF"/>
    <w:rsid w:val="00664AF2"/>
    <w:rsid w:val="00665962"/>
    <w:rsid w:val="00665D9D"/>
    <w:rsid w:val="00667417"/>
    <w:rsid w:val="006676E0"/>
    <w:rsid w:val="0066791F"/>
    <w:rsid w:val="00667C3F"/>
    <w:rsid w:val="00671BAD"/>
    <w:rsid w:val="0067241C"/>
    <w:rsid w:val="00672F96"/>
    <w:rsid w:val="00673E20"/>
    <w:rsid w:val="00673F22"/>
    <w:rsid w:val="00673FC6"/>
    <w:rsid w:val="00674C30"/>
    <w:rsid w:val="00675435"/>
    <w:rsid w:val="006754B3"/>
    <w:rsid w:val="00675608"/>
    <w:rsid w:val="006756FC"/>
    <w:rsid w:val="006758C1"/>
    <w:rsid w:val="00675A0D"/>
    <w:rsid w:val="00676221"/>
    <w:rsid w:val="0067741C"/>
    <w:rsid w:val="00677CDC"/>
    <w:rsid w:val="00677D38"/>
    <w:rsid w:val="00677D3D"/>
    <w:rsid w:val="00680D50"/>
    <w:rsid w:val="00681582"/>
    <w:rsid w:val="00682793"/>
    <w:rsid w:val="00682EE6"/>
    <w:rsid w:val="00683178"/>
    <w:rsid w:val="00683943"/>
    <w:rsid w:val="00683A8C"/>
    <w:rsid w:val="00684004"/>
    <w:rsid w:val="0068415F"/>
    <w:rsid w:val="006841BF"/>
    <w:rsid w:val="006854D2"/>
    <w:rsid w:val="0068575E"/>
    <w:rsid w:val="00686874"/>
    <w:rsid w:val="00686917"/>
    <w:rsid w:val="00686B92"/>
    <w:rsid w:val="006903F4"/>
    <w:rsid w:val="006906D6"/>
    <w:rsid w:val="00690862"/>
    <w:rsid w:val="00690B20"/>
    <w:rsid w:val="006916F9"/>
    <w:rsid w:val="00691A6A"/>
    <w:rsid w:val="00691E8A"/>
    <w:rsid w:val="00692037"/>
    <w:rsid w:val="00692061"/>
    <w:rsid w:val="006920E1"/>
    <w:rsid w:val="00692F10"/>
    <w:rsid w:val="00694482"/>
    <w:rsid w:val="00694FA5"/>
    <w:rsid w:val="006955D3"/>
    <w:rsid w:val="00695F9B"/>
    <w:rsid w:val="006964F3"/>
    <w:rsid w:val="00696B95"/>
    <w:rsid w:val="006975FA"/>
    <w:rsid w:val="00697ADB"/>
    <w:rsid w:val="006A0AEC"/>
    <w:rsid w:val="006A107C"/>
    <w:rsid w:val="006A1C91"/>
    <w:rsid w:val="006A27E5"/>
    <w:rsid w:val="006A2D8F"/>
    <w:rsid w:val="006A3A83"/>
    <w:rsid w:val="006A7AA0"/>
    <w:rsid w:val="006B0493"/>
    <w:rsid w:val="006B0CA1"/>
    <w:rsid w:val="006B123F"/>
    <w:rsid w:val="006B22B2"/>
    <w:rsid w:val="006B25DE"/>
    <w:rsid w:val="006B279A"/>
    <w:rsid w:val="006B285A"/>
    <w:rsid w:val="006B2D21"/>
    <w:rsid w:val="006B2D89"/>
    <w:rsid w:val="006B3B50"/>
    <w:rsid w:val="006B464D"/>
    <w:rsid w:val="006B48BE"/>
    <w:rsid w:val="006B5855"/>
    <w:rsid w:val="006B6863"/>
    <w:rsid w:val="006B6DB6"/>
    <w:rsid w:val="006C1186"/>
    <w:rsid w:val="006C1AD3"/>
    <w:rsid w:val="006C2032"/>
    <w:rsid w:val="006C2479"/>
    <w:rsid w:val="006C2563"/>
    <w:rsid w:val="006C2DA7"/>
    <w:rsid w:val="006C3525"/>
    <w:rsid w:val="006C355A"/>
    <w:rsid w:val="006C3E8B"/>
    <w:rsid w:val="006C3F3E"/>
    <w:rsid w:val="006C4D3A"/>
    <w:rsid w:val="006C54F7"/>
    <w:rsid w:val="006C64D4"/>
    <w:rsid w:val="006C7328"/>
    <w:rsid w:val="006C7C4D"/>
    <w:rsid w:val="006C7DBA"/>
    <w:rsid w:val="006C7EF0"/>
    <w:rsid w:val="006D0EBE"/>
    <w:rsid w:val="006D13B4"/>
    <w:rsid w:val="006D1462"/>
    <w:rsid w:val="006D1E71"/>
    <w:rsid w:val="006D2186"/>
    <w:rsid w:val="006D25CC"/>
    <w:rsid w:val="006D32DC"/>
    <w:rsid w:val="006D400D"/>
    <w:rsid w:val="006D4496"/>
    <w:rsid w:val="006D49E0"/>
    <w:rsid w:val="006D5BC1"/>
    <w:rsid w:val="006D5DA9"/>
    <w:rsid w:val="006D64D4"/>
    <w:rsid w:val="006D66BD"/>
    <w:rsid w:val="006D676D"/>
    <w:rsid w:val="006D6E27"/>
    <w:rsid w:val="006D7445"/>
    <w:rsid w:val="006D7C7A"/>
    <w:rsid w:val="006E0E98"/>
    <w:rsid w:val="006E111B"/>
    <w:rsid w:val="006E12EB"/>
    <w:rsid w:val="006E15C2"/>
    <w:rsid w:val="006E1DDC"/>
    <w:rsid w:val="006E1DEB"/>
    <w:rsid w:val="006E227B"/>
    <w:rsid w:val="006E380C"/>
    <w:rsid w:val="006E3853"/>
    <w:rsid w:val="006E3AAC"/>
    <w:rsid w:val="006E3EF4"/>
    <w:rsid w:val="006E4BD4"/>
    <w:rsid w:val="006E4C4A"/>
    <w:rsid w:val="006E4F70"/>
    <w:rsid w:val="006E5564"/>
    <w:rsid w:val="006E5B22"/>
    <w:rsid w:val="006E60FC"/>
    <w:rsid w:val="006E6633"/>
    <w:rsid w:val="006E6CA7"/>
    <w:rsid w:val="006E70DD"/>
    <w:rsid w:val="006E758C"/>
    <w:rsid w:val="006F082D"/>
    <w:rsid w:val="006F1484"/>
    <w:rsid w:val="006F1DC0"/>
    <w:rsid w:val="006F229B"/>
    <w:rsid w:val="006F3049"/>
    <w:rsid w:val="006F30A5"/>
    <w:rsid w:val="006F363A"/>
    <w:rsid w:val="006F37DA"/>
    <w:rsid w:val="006F51C0"/>
    <w:rsid w:val="006F544F"/>
    <w:rsid w:val="006F5776"/>
    <w:rsid w:val="006F5AC5"/>
    <w:rsid w:val="006F61D3"/>
    <w:rsid w:val="006F6F9E"/>
    <w:rsid w:val="006F7A37"/>
    <w:rsid w:val="00700E3E"/>
    <w:rsid w:val="00701063"/>
    <w:rsid w:val="007013C4"/>
    <w:rsid w:val="00702372"/>
    <w:rsid w:val="00703220"/>
    <w:rsid w:val="007038F5"/>
    <w:rsid w:val="00703DF1"/>
    <w:rsid w:val="007044AA"/>
    <w:rsid w:val="00704573"/>
    <w:rsid w:val="00704CC2"/>
    <w:rsid w:val="00704E18"/>
    <w:rsid w:val="007051AD"/>
    <w:rsid w:val="00706F8B"/>
    <w:rsid w:val="00710005"/>
    <w:rsid w:val="007102E0"/>
    <w:rsid w:val="00710737"/>
    <w:rsid w:val="007114FC"/>
    <w:rsid w:val="00711823"/>
    <w:rsid w:val="00713377"/>
    <w:rsid w:val="0071485C"/>
    <w:rsid w:val="00714924"/>
    <w:rsid w:val="00716427"/>
    <w:rsid w:val="00716726"/>
    <w:rsid w:val="00716BE9"/>
    <w:rsid w:val="00717712"/>
    <w:rsid w:val="00717891"/>
    <w:rsid w:val="00720043"/>
    <w:rsid w:val="00721587"/>
    <w:rsid w:val="0072178A"/>
    <w:rsid w:val="00721E1F"/>
    <w:rsid w:val="007239DE"/>
    <w:rsid w:val="00723CBF"/>
    <w:rsid w:val="007242A3"/>
    <w:rsid w:val="0072448C"/>
    <w:rsid w:val="00724F7E"/>
    <w:rsid w:val="0072607A"/>
    <w:rsid w:val="007262F8"/>
    <w:rsid w:val="007263C7"/>
    <w:rsid w:val="00726AEB"/>
    <w:rsid w:val="00726B5B"/>
    <w:rsid w:val="00726FE7"/>
    <w:rsid w:val="00727223"/>
    <w:rsid w:val="00727890"/>
    <w:rsid w:val="007303F4"/>
    <w:rsid w:val="00730538"/>
    <w:rsid w:val="00730791"/>
    <w:rsid w:val="00731B11"/>
    <w:rsid w:val="00733049"/>
    <w:rsid w:val="007348D7"/>
    <w:rsid w:val="00734F23"/>
    <w:rsid w:val="00735B5A"/>
    <w:rsid w:val="00737693"/>
    <w:rsid w:val="00737C1C"/>
    <w:rsid w:val="00740CDA"/>
    <w:rsid w:val="00741F70"/>
    <w:rsid w:val="00742179"/>
    <w:rsid w:val="00742B60"/>
    <w:rsid w:val="0074317D"/>
    <w:rsid w:val="00743BCF"/>
    <w:rsid w:val="00743E10"/>
    <w:rsid w:val="007443AD"/>
    <w:rsid w:val="00744568"/>
    <w:rsid w:val="007449EC"/>
    <w:rsid w:val="00744F29"/>
    <w:rsid w:val="00745147"/>
    <w:rsid w:val="007452E5"/>
    <w:rsid w:val="0074553F"/>
    <w:rsid w:val="00746311"/>
    <w:rsid w:val="007466BE"/>
    <w:rsid w:val="007469A3"/>
    <w:rsid w:val="00747C2A"/>
    <w:rsid w:val="00747E0B"/>
    <w:rsid w:val="00747E4A"/>
    <w:rsid w:val="007507A5"/>
    <w:rsid w:val="00750AD5"/>
    <w:rsid w:val="00751522"/>
    <w:rsid w:val="0075202E"/>
    <w:rsid w:val="00752140"/>
    <w:rsid w:val="007524A7"/>
    <w:rsid w:val="00752547"/>
    <w:rsid w:val="00752713"/>
    <w:rsid w:val="00752A7D"/>
    <w:rsid w:val="00752DC7"/>
    <w:rsid w:val="00753184"/>
    <w:rsid w:val="007535BD"/>
    <w:rsid w:val="0075387F"/>
    <w:rsid w:val="007543AE"/>
    <w:rsid w:val="00755102"/>
    <w:rsid w:val="00755435"/>
    <w:rsid w:val="00755545"/>
    <w:rsid w:val="00755609"/>
    <w:rsid w:val="007556B8"/>
    <w:rsid w:val="00755A39"/>
    <w:rsid w:val="0075616C"/>
    <w:rsid w:val="00756181"/>
    <w:rsid w:val="00757023"/>
    <w:rsid w:val="007571EE"/>
    <w:rsid w:val="007575E4"/>
    <w:rsid w:val="0075794D"/>
    <w:rsid w:val="00757AB8"/>
    <w:rsid w:val="00757DAA"/>
    <w:rsid w:val="00757E1D"/>
    <w:rsid w:val="007603D0"/>
    <w:rsid w:val="00760D57"/>
    <w:rsid w:val="00761FFC"/>
    <w:rsid w:val="00762352"/>
    <w:rsid w:val="00762A9E"/>
    <w:rsid w:val="00762CED"/>
    <w:rsid w:val="00763DB0"/>
    <w:rsid w:val="00764145"/>
    <w:rsid w:val="0076417D"/>
    <w:rsid w:val="007642E1"/>
    <w:rsid w:val="0076456E"/>
    <w:rsid w:val="00764588"/>
    <w:rsid w:val="00764ABA"/>
    <w:rsid w:val="0076633C"/>
    <w:rsid w:val="007672A2"/>
    <w:rsid w:val="00767954"/>
    <w:rsid w:val="00767B92"/>
    <w:rsid w:val="00770713"/>
    <w:rsid w:val="007715BE"/>
    <w:rsid w:val="00771A74"/>
    <w:rsid w:val="00771BAF"/>
    <w:rsid w:val="00771C76"/>
    <w:rsid w:val="00772C15"/>
    <w:rsid w:val="00773D58"/>
    <w:rsid w:val="00774120"/>
    <w:rsid w:val="007742BC"/>
    <w:rsid w:val="00774332"/>
    <w:rsid w:val="00774CF1"/>
    <w:rsid w:val="00776845"/>
    <w:rsid w:val="00777481"/>
    <w:rsid w:val="0078071E"/>
    <w:rsid w:val="00782AE1"/>
    <w:rsid w:val="00783115"/>
    <w:rsid w:val="00784C7D"/>
    <w:rsid w:val="00786BBE"/>
    <w:rsid w:val="00787DCF"/>
    <w:rsid w:val="00790080"/>
    <w:rsid w:val="00790AAB"/>
    <w:rsid w:val="00791481"/>
    <w:rsid w:val="0079152A"/>
    <w:rsid w:val="0079256D"/>
    <w:rsid w:val="00792D30"/>
    <w:rsid w:val="00792DF7"/>
    <w:rsid w:val="0079316F"/>
    <w:rsid w:val="00793330"/>
    <w:rsid w:val="007934B4"/>
    <w:rsid w:val="00793576"/>
    <w:rsid w:val="007936A7"/>
    <w:rsid w:val="00794246"/>
    <w:rsid w:val="00794AE4"/>
    <w:rsid w:val="00794F16"/>
    <w:rsid w:val="007959FB"/>
    <w:rsid w:val="0079652A"/>
    <w:rsid w:val="00796A88"/>
    <w:rsid w:val="00797112"/>
    <w:rsid w:val="00797677"/>
    <w:rsid w:val="007A0257"/>
    <w:rsid w:val="007A02F7"/>
    <w:rsid w:val="007A072B"/>
    <w:rsid w:val="007A2160"/>
    <w:rsid w:val="007A2723"/>
    <w:rsid w:val="007A2A0A"/>
    <w:rsid w:val="007A2B7E"/>
    <w:rsid w:val="007A2E23"/>
    <w:rsid w:val="007A3E44"/>
    <w:rsid w:val="007A456C"/>
    <w:rsid w:val="007A553E"/>
    <w:rsid w:val="007A584A"/>
    <w:rsid w:val="007A5A4F"/>
    <w:rsid w:val="007A5CB6"/>
    <w:rsid w:val="007A6F87"/>
    <w:rsid w:val="007B129D"/>
    <w:rsid w:val="007B19E7"/>
    <w:rsid w:val="007B1BDF"/>
    <w:rsid w:val="007B23BC"/>
    <w:rsid w:val="007B2BF2"/>
    <w:rsid w:val="007B416D"/>
    <w:rsid w:val="007B45D6"/>
    <w:rsid w:val="007B5101"/>
    <w:rsid w:val="007B5674"/>
    <w:rsid w:val="007B6C94"/>
    <w:rsid w:val="007B6FAC"/>
    <w:rsid w:val="007B7122"/>
    <w:rsid w:val="007B79E8"/>
    <w:rsid w:val="007B7B4B"/>
    <w:rsid w:val="007B7BD6"/>
    <w:rsid w:val="007C02D7"/>
    <w:rsid w:val="007C0D6E"/>
    <w:rsid w:val="007C1915"/>
    <w:rsid w:val="007C2000"/>
    <w:rsid w:val="007C2106"/>
    <w:rsid w:val="007C2149"/>
    <w:rsid w:val="007C2323"/>
    <w:rsid w:val="007C2355"/>
    <w:rsid w:val="007C336F"/>
    <w:rsid w:val="007C3F31"/>
    <w:rsid w:val="007C4054"/>
    <w:rsid w:val="007C425A"/>
    <w:rsid w:val="007C55C4"/>
    <w:rsid w:val="007C5BC3"/>
    <w:rsid w:val="007C643B"/>
    <w:rsid w:val="007C79AA"/>
    <w:rsid w:val="007D0074"/>
    <w:rsid w:val="007D0214"/>
    <w:rsid w:val="007D02C2"/>
    <w:rsid w:val="007D20C9"/>
    <w:rsid w:val="007D2451"/>
    <w:rsid w:val="007D28B3"/>
    <w:rsid w:val="007D2CC1"/>
    <w:rsid w:val="007D34F0"/>
    <w:rsid w:val="007D36EB"/>
    <w:rsid w:val="007D58A7"/>
    <w:rsid w:val="007D6494"/>
    <w:rsid w:val="007D6796"/>
    <w:rsid w:val="007D68DE"/>
    <w:rsid w:val="007D6930"/>
    <w:rsid w:val="007D6A45"/>
    <w:rsid w:val="007D7059"/>
    <w:rsid w:val="007D777F"/>
    <w:rsid w:val="007E10B5"/>
    <w:rsid w:val="007E1807"/>
    <w:rsid w:val="007E1F90"/>
    <w:rsid w:val="007E2287"/>
    <w:rsid w:val="007E30FD"/>
    <w:rsid w:val="007E5C12"/>
    <w:rsid w:val="007E623A"/>
    <w:rsid w:val="007E65A9"/>
    <w:rsid w:val="007E699E"/>
    <w:rsid w:val="007F141D"/>
    <w:rsid w:val="007F178A"/>
    <w:rsid w:val="007F257D"/>
    <w:rsid w:val="007F3418"/>
    <w:rsid w:val="007F3619"/>
    <w:rsid w:val="007F3AA0"/>
    <w:rsid w:val="007F426E"/>
    <w:rsid w:val="007F4355"/>
    <w:rsid w:val="007F4A50"/>
    <w:rsid w:val="007F4B61"/>
    <w:rsid w:val="007F51D1"/>
    <w:rsid w:val="007F5244"/>
    <w:rsid w:val="007F59AF"/>
    <w:rsid w:val="007F5D55"/>
    <w:rsid w:val="008001FA"/>
    <w:rsid w:val="00800442"/>
    <w:rsid w:val="0080069F"/>
    <w:rsid w:val="00800729"/>
    <w:rsid w:val="00800A5E"/>
    <w:rsid w:val="0080125B"/>
    <w:rsid w:val="00801A7D"/>
    <w:rsid w:val="0080241C"/>
    <w:rsid w:val="00802B60"/>
    <w:rsid w:val="008032D0"/>
    <w:rsid w:val="0080381E"/>
    <w:rsid w:val="00803B0B"/>
    <w:rsid w:val="008041E5"/>
    <w:rsid w:val="008049DA"/>
    <w:rsid w:val="00804B8D"/>
    <w:rsid w:val="00806097"/>
    <w:rsid w:val="008060F8"/>
    <w:rsid w:val="00806234"/>
    <w:rsid w:val="00806B71"/>
    <w:rsid w:val="00806F2E"/>
    <w:rsid w:val="00806FA3"/>
    <w:rsid w:val="00807116"/>
    <w:rsid w:val="008074CF"/>
    <w:rsid w:val="008076E0"/>
    <w:rsid w:val="00807C1C"/>
    <w:rsid w:val="00807D7D"/>
    <w:rsid w:val="00807F7A"/>
    <w:rsid w:val="008106B6"/>
    <w:rsid w:val="00810D1F"/>
    <w:rsid w:val="0081101C"/>
    <w:rsid w:val="0081149A"/>
    <w:rsid w:val="00811752"/>
    <w:rsid w:val="00811B3E"/>
    <w:rsid w:val="00812134"/>
    <w:rsid w:val="00812EE0"/>
    <w:rsid w:val="0081385D"/>
    <w:rsid w:val="00813963"/>
    <w:rsid w:val="008144D5"/>
    <w:rsid w:val="00814714"/>
    <w:rsid w:val="00814D80"/>
    <w:rsid w:val="008169EF"/>
    <w:rsid w:val="0081712E"/>
    <w:rsid w:val="00817598"/>
    <w:rsid w:val="00817701"/>
    <w:rsid w:val="0082017C"/>
    <w:rsid w:val="00820251"/>
    <w:rsid w:val="008210C7"/>
    <w:rsid w:val="008220B8"/>
    <w:rsid w:val="008220BC"/>
    <w:rsid w:val="0082216C"/>
    <w:rsid w:val="008223DA"/>
    <w:rsid w:val="0082270A"/>
    <w:rsid w:val="00824DDC"/>
    <w:rsid w:val="00825A9B"/>
    <w:rsid w:val="00825AFF"/>
    <w:rsid w:val="00825FE2"/>
    <w:rsid w:val="00826C73"/>
    <w:rsid w:val="00830492"/>
    <w:rsid w:val="0083125F"/>
    <w:rsid w:val="008317C0"/>
    <w:rsid w:val="00831DD3"/>
    <w:rsid w:val="0083351C"/>
    <w:rsid w:val="00833AD7"/>
    <w:rsid w:val="00834C29"/>
    <w:rsid w:val="00834ED2"/>
    <w:rsid w:val="00835182"/>
    <w:rsid w:val="00835F62"/>
    <w:rsid w:val="0083647B"/>
    <w:rsid w:val="0083682C"/>
    <w:rsid w:val="0083717A"/>
    <w:rsid w:val="00840C74"/>
    <w:rsid w:val="00841D4D"/>
    <w:rsid w:val="008423B6"/>
    <w:rsid w:val="00842B6C"/>
    <w:rsid w:val="00842E4B"/>
    <w:rsid w:val="00842FF0"/>
    <w:rsid w:val="0084326C"/>
    <w:rsid w:val="00843511"/>
    <w:rsid w:val="00843DA5"/>
    <w:rsid w:val="00845739"/>
    <w:rsid w:val="00845F72"/>
    <w:rsid w:val="00845FF6"/>
    <w:rsid w:val="00846B75"/>
    <w:rsid w:val="00847730"/>
    <w:rsid w:val="00847A9D"/>
    <w:rsid w:val="0085035B"/>
    <w:rsid w:val="008504C6"/>
    <w:rsid w:val="00850711"/>
    <w:rsid w:val="00851CD1"/>
    <w:rsid w:val="00853E98"/>
    <w:rsid w:val="00853ED9"/>
    <w:rsid w:val="00854699"/>
    <w:rsid w:val="00854779"/>
    <w:rsid w:val="00854A32"/>
    <w:rsid w:val="00854C62"/>
    <w:rsid w:val="00855671"/>
    <w:rsid w:val="0085576C"/>
    <w:rsid w:val="0085675A"/>
    <w:rsid w:val="008569B5"/>
    <w:rsid w:val="008574F9"/>
    <w:rsid w:val="00857D49"/>
    <w:rsid w:val="00860154"/>
    <w:rsid w:val="008602D6"/>
    <w:rsid w:val="0086059C"/>
    <w:rsid w:val="00860BA0"/>
    <w:rsid w:val="00861898"/>
    <w:rsid w:val="00861E13"/>
    <w:rsid w:val="00862055"/>
    <w:rsid w:val="00862163"/>
    <w:rsid w:val="008628CD"/>
    <w:rsid w:val="00862A88"/>
    <w:rsid w:val="00862D66"/>
    <w:rsid w:val="00862E75"/>
    <w:rsid w:val="00863213"/>
    <w:rsid w:val="00863448"/>
    <w:rsid w:val="0086351F"/>
    <w:rsid w:val="00863764"/>
    <w:rsid w:val="00863A6F"/>
    <w:rsid w:val="00863E94"/>
    <w:rsid w:val="00864186"/>
    <w:rsid w:val="008647AF"/>
    <w:rsid w:val="008648C4"/>
    <w:rsid w:val="00864B28"/>
    <w:rsid w:val="00864F46"/>
    <w:rsid w:val="00864F61"/>
    <w:rsid w:val="008651DF"/>
    <w:rsid w:val="00865EB7"/>
    <w:rsid w:val="00866199"/>
    <w:rsid w:val="008661CD"/>
    <w:rsid w:val="0086643C"/>
    <w:rsid w:val="00866485"/>
    <w:rsid w:val="00866DCA"/>
    <w:rsid w:val="00866EB8"/>
    <w:rsid w:val="008670AC"/>
    <w:rsid w:val="008672BA"/>
    <w:rsid w:val="0086743F"/>
    <w:rsid w:val="00870627"/>
    <w:rsid w:val="00870779"/>
    <w:rsid w:val="008708AA"/>
    <w:rsid w:val="00870A46"/>
    <w:rsid w:val="00871422"/>
    <w:rsid w:val="008720DE"/>
    <w:rsid w:val="00872419"/>
    <w:rsid w:val="0087261D"/>
    <w:rsid w:val="00872711"/>
    <w:rsid w:val="00872C03"/>
    <w:rsid w:val="0087354C"/>
    <w:rsid w:val="00874D00"/>
    <w:rsid w:val="00875213"/>
    <w:rsid w:val="00875983"/>
    <w:rsid w:val="00875D61"/>
    <w:rsid w:val="008767E3"/>
    <w:rsid w:val="00877E12"/>
    <w:rsid w:val="00877FCF"/>
    <w:rsid w:val="00880157"/>
    <w:rsid w:val="0088032B"/>
    <w:rsid w:val="008805B6"/>
    <w:rsid w:val="00880A6D"/>
    <w:rsid w:val="00880E7B"/>
    <w:rsid w:val="0088170F"/>
    <w:rsid w:val="00881AEF"/>
    <w:rsid w:val="00881DBA"/>
    <w:rsid w:val="00882039"/>
    <w:rsid w:val="008821AE"/>
    <w:rsid w:val="008828FB"/>
    <w:rsid w:val="00882FE8"/>
    <w:rsid w:val="0088304B"/>
    <w:rsid w:val="00883157"/>
    <w:rsid w:val="00884061"/>
    <w:rsid w:val="00884948"/>
    <w:rsid w:val="00885203"/>
    <w:rsid w:val="008854A3"/>
    <w:rsid w:val="0089187C"/>
    <w:rsid w:val="00893501"/>
    <w:rsid w:val="0089374C"/>
    <w:rsid w:val="0089414B"/>
    <w:rsid w:val="00894BAE"/>
    <w:rsid w:val="008956C9"/>
    <w:rsid w:val="00896232"/>
    <w:rsid w:val="008962FE"/>
    <w:rsid w:val="0089661B"/>
    <w:rsid w:val="008971C4"/>
    <w:rsid w:val="008971D6"/>
    <w:rsid w:val="008A02BE"/>
    <w:rsid w:val="008A0C20"/>
    <w:rsid w:val="008A15D4"/>
    <w:rsid w:val="008A26D9"/>
    <w:rsid w:val="008A2864"/>
    <w:rsid w:val="008A33E7"/>
    <w:rsid w:val="008A3D8C"/>
    <w:rsid w:val="008A4269"/>
    <w:rsid w:val="008A465B"/>
    <w:rsid w:val="008A51DD"/>
    <w:rsid w:val="008A5334"/>
    <w:rsid w:val="008A53A5"/>
    <w:rsid w:val="008A68FB"/>
    <w:rsid w:val="008A69BC"/>
    <w:rsid w:val="008A6E09"/>
    <w:rsid w:val="008A76BE"/>
    <w:rsid w:val="008B022E"/>
    <w:rsid w:val="008B0A87"/>
    <w:rsid w:val="008B1689"/>
    <w:rsid w:val="008B1998"/>
    <w:rsid w:val="008B1D77"/>
    <w:rsid w:val="008B2313"/>
    <w:rsid w:val="008B2705"/>
    <w:rsid w:val="008B2983"/>
    <w:rsid w:val="008B2A8E"/>
    <w:rsid w:val="008B2C6E"/>
    <w:rsid w:val="008B4E12"/>
    <w:rsid w:val="008B56AF"/>
    <w:rsid w:val="008B5ABC"/>
    <w:rsid w:val="008B63C7"/>
    <w:rsid w:val="008B6F45"/>
    <w:rsid w:val="008B6FB0"/>
    <w:rsid w:val="008B776A"/>
    <w:rsid w:val="008B7BD1"/>
    <w:rsid w:val="008C0B9A"/>
    <w:rsid w:val="008C142B"/>
    <w:rsid w:val="008C18C2"/>
    <w:rsid w:val="008C1F81"/>
    <w:rsid w:val="008C26D9"/>
    <w:rsid w:val="008C368E"/>
    <w:rsid w:val="008C4222"/>
    <w:rsid w:val="008C4362"/>
    <w:rsid w:val="008C49D2"/>
    <w:rsid w:val="008C5045"/>
    <w:rsid w:val="008C52AB"/>
    <w:rsid w:val="008C55F4"/>
    <w:rsid w:val="008C58A1"/>
    <w:rsid w:val="008C5D13"/>
    <w:rsid w:val="008C62E8"/>
    <w:rsid w:val="008C6494"/>
    <w:rsid w:val="008C6B07"/>
    <w:rsid w:val="008C6C3C"/>
    <w:rsid w:val="008C7092"/>
    <w:rsid w:val="008C7AAF"/>
    <w:rsid w:val="008D008C"/>
    <w:rsid w:val="008D037F"/>
    <w:rsid w:val="008D04D9"/>
    <w:rsid w:val="008D05A8"/>
    <w:rsid w:val="008D1AC1"/>
    <w:rsid w:val="008D200E"/>
    <w:rsid w:val="008D222A"/>
    <w:rsid w:val="008D22E8"/>
    <w:rsid w:val="008D2898"/>
    <w:rsid w:val="008D2A92"/>
    <w:rsid w:val="008D3011"/>
    <w:rsid w:val="008D313B"/>
    <w:rsid w:val="008D3537"/>
    <w:rsid w:val="008D355C"/>
    <w:rsid w:val="008D3F7E"/>
    <w:rsid w:val="008D4021"/>
    <w:rsid w:val="008D4AAD"/>
    <w:rsid w:val="008D4E32"/>
    <w:rsid w:val="008D6814"/>
    <w:rsid w:val="008D68F3"/>
    <w:rsid w:val="008D6CD9"/>
    <w:rsid w:val="008D7049"/>
    <w:rsid w:val="008E0096"/>
    <w:rsid w:val="008E0A5C"/>
    <w:rsid w:val="008E0B31"/>
    <w:rsid w:val="008E183C"/>
    <w:rsid w:val="008E18EB"/>
    <w:rsid w:val="008E1F8B"/>
    <w:rsid w:val="008E354A"/>
    <w:rsid w:val="008E3A75"/>
    <w:rsid w:val="008E3C41"/>
    <w:rsid w:val="008E45B2"/>
    <w:rsid w:val="008E5190"/>
    <w:rsid w:val="008E53FB"/>
    <w:rsid w:val="008E59C7"/>
    <w:rsid w:val="008E5A15"/>
    <w:rsid w:val="008E60CE"/>
    <w:rsid w:val="008E6E41"/>
    <w:rsid w:val="008E7099"/>
    <w:rsid w:val="008E7252"/>
    <w:rsid w:val="008E7D9E"/>
    <w:rsid w:val="008E7E1C"/>
    <w:rsid w:val="008E7EDF"/>
    <w:rsid w:val="008F09E9"/>
    <w:rsid w:val="008F27D2"/>
    <w:rsid w:val="008F27E4"/>
    <w:rsid w:val="008F2E98"/>
    <w:rsid w:val="008F3477"/>
    <w:rsid w:val="008F35B6"/>
    <w:rsid w:val="008F5CEF"/>
    <w:rsid w:val="008F66F8"/>
    <w:rsid w:val="008F670E"/>
    <w:rsid w:val="008F6BCE"/>
    <w:rsid w:val="00900F0A"/>
    <w:rsid w:val="00900F18"/>
    <w:rsid w:val="0090231D"/>
    <w:rsid w:val="00902BD5"/>
    <w:rsid w:val="00902BFC"/>
    <w:rsid w:val="00902DE9"/>
    <w:rsid w:val="0090352B"/>
    <w:rsid w:val="00903C0C"/>
    <w:rsid w:val="0090446E"/>
    <w:rsid w:val="00905A77"/>
    <w:rsid w:val="00906833"/>
    <w:rsid w:val="00907063"/>
    <w:rsid w:val="0091096F"/>
    <w:rsid w:val="009120A1"/>
    <w:rsid w:val="009121D9"/>
    <w:rsid w:val="0091234C"/>
    <w:rsid w:val="0091250B"/>
    <w:rsid w:val="009128BD"/>
    <w:rsid w:val="009128CE"/>
    <w:rsid w:val="009129EF"/>
    <w:rsid w:val="00912C14"/>
    <w:rsid w:val="0091334A"/>
    <w:rsid w:val="0091387A"/>
    <w:rsid w:val="00913D9F"/>
    <w:rsid w:val="00913EE7"/>
    <w:rsid w:val="009141F3"/>
    <w:rsid w:val="009150B5"/>
    <w:rsid w:val="0091623C"/>
    <w:rsid w:val="0092000A"/>
    <w:rsid w:val="009201FE"/>
    <w:rsid w:val="009203F5"/>
    <w:rsid w:val="00920E50"/>
    <w:rsid w:val="00920EFA"/>
    <w:rsid w:val="00921816"/>
    <w:rsid w:val="00921D35"/>
    <w:rsid w:val="00921D51"/>
    <w:rsid w:val="00921DAA"/>
    <w:rsid w:val="00922251"/>
    <w:rsid w:val="0092231C"/>
    <w:rsid w:val="0092255F"/>
    <w:rsid w:val="009230C3"/>
    <w:rsid w:val="00923182"/>
    <w:rsid w:val="00923937"/>
    <w:rsid w:val="00923E14"/>
    <w:rsid w:val="00923E65"/>
    <w:rsid w:val="0092423A"/>
    <w:rsid w:val="00924309"/>
    <w:rsid w:val="00924958"/>
    <w:rsid w:val="009250EE"/>
    <w:rsid w:val="00926C0D"/>
    <w:rsid w:val="00926E5B"/>
    <w:rsid w:val="00927099"/>
    <w:rsid w:val="009272F3"/>
    <w:rsid w:val="00927C4A"/>
    <w:rsid w:val="009306B5"/>
    <w:rsid w:val="0093077D"/>
    <w:rsid w:val="00930EBF"/>
    <w:rsid w:val="00931AEC"/>
    <w:rsid w:val="009320E1"/>
    <w:rsid w:val="009335CE"/>
    <w:rsid w:val="00934546"/>
    <w:rsid w:val="0093467B"/>
    <w:rsid w:val="0093475F"/>
    <w:rsid w:val="00934946"/>
    <w:rsid w:val="00934C2A"/>
    <w:rsid w:val="009361C1"/>
    <w:rsid w:val="009372A3"/>
    <w:rsid w:val="009378C6"/>
    <w:rsid w:val="00942009"/>
    <w:rsid w:val="0094222A"/>
    <w:rsid w:val="0094280A"/>
    <w:rsid w:val="00942DF6"/>
    <w:rsid w:val="009432E5"/>
    <w:rsid w:val="00943474"/>
    <w:rsid w:val="00943B64"/>
    <w:rsid w:val="0094456F"/>
    <w:rsid w:val="00944902"/>
    <w:rsid w:val="00944CCD"/>
    <w:rsid w:val="009450B2"/>
    <w:rsid w:val="0094527B"/>
    <w:rsid w:val="00945C94"/>
    <w:rsid w:val="0094675A"/>
    <w:rsid w:val="009471C7"/>
    <w:rsid w:val="009478CF"/>
    <w:rsid w:val="00950976"/>
    <w:rsid w:val="0095139A"/>
    <w:rsid w:val="00952340"/>
    <w:rsid w:val="00952438"/>
    <w:rsid w:val="00952A7F"/>
    <w:rsid w:val="00952B37"/>
    <w:rsid w:val="00952BAA"/>
    <w:rsid w:val="00952C5E"/>
    <w:rsid w:val="00953404"/>
    <w:rsid w:val="00953BE1"/>
    <w:rsid w:val="00953DC8"/>
    <w:rsid w:val="00954029"/>
    <w:rsid w:val="0095404C"/>
    <w:rsid w:val="009542B9"/>
    <w:rsid w:val="00954FAF"/>
    <w:rsid w:val="00956272"/>
    <w:rsid w:val="00957247"/>
    <w:rsid w:val="00957C17"/>
    <w:rsid w:val="00957D6A"/>
    <w:rsid w:val="00960250"/>
    <w:rsid w:val="00960292"/>
    <w:rsid w:val="00961A16"/>
    <w:rsid w:val="00961D5D"/>
    <w:rsid w:val="00962349"/>
    <w:rsid w:val="0096306D"/>
    <w:rsid w:val="00963750"/>
    <w:rsid w:val="0096421E"/>
    <w:rsid w:val="00964AE6"/>
    <w:rsid w:val="00965281"/>
    <w:rsid w:val="009652BA"/>
    <w:rsid w:val="00966186"/>
    <w:rsid w:val="00966A1B"/>
    <w:rsid w:val="00966FF3"/>
    <w:rsid w:val="0097087F"/>
    <w:rsid w:val="00970D80"/>
    <w:rsid w:val="0097145A"/>
    <w:rsid w:val="00971746"/>
    <w:rsid w:val="009718D6"/>
    <w:rsid w:val="00972108"/>
    <w:rsid w:val="009726D6"/>
    <w:rsid w:val="0097294E"/>
    <w:rsid w:val="00972AC7"/>
    <w:rsid w:val="0097307B"/>
    <w:rsid w:val="00973A5B"/>
    <w:rsid w:val="00973F75"/>
    <w:rsid w:val="009744A7"/>
    <w:rsid w:val="00975EAB"/>
    <w:rsid w:val="009761C9"/>
    <w:rsid w:val="00976BB3"/>
    <w:rsid w:val="00977511"/>
    <w:rsid w:val="00977DBC"/>
    <w:rsid w:val="009804A1"/>
    <w:rsid w:val="00981255"/>
    <w:rsid w:val="009822AD"/>
    <w:rsid w:val="00983785"/>
    <w:rsid w:val="00983E16"/>
    <w:rsid w:val="00983E71"/>
    <w:rsid w:val="00984358"/>
    <w:rsid w:val="0098460E"/>
    <w:rsid w:val="00984915"/>
    <w:rsid w:val="009852E9"/>
    <w:rsid w:val="00986120"/>
    <w:rsid w:val="009865AC"/>
    <w:rsid w:val="00986F71"/>
    <w:rsid w:val="00987E1E"/>
    <w:rsid w:val="00991A7E"/>
    <w:rsid w:val="009925A4"/>
    <w:rsid w:val="00993912"/>
    <w:rsid w:val="0099428B"/>
    <w:rsid w:val="009946A3"/>
    <w:rsid w:val="009947A7"/>
    <w:rsid w:val="00994875"/>
    <w:rsid w:val="0099515B"/>
    <w:rsid w:val="00995699"/>
    <w:rsid w:val="00995E32"/>
    <w:rsid w:val="00995FC1"/>
    <w:rsid w:val="009962D7"/>
    <w:rsid w:val="00996562"/>
    <w:rsid w:val="0099674D"/>
    <w:rsid w:val="00997AC2"/>
    <w:rsid w:val="00997B66"/>
    <w:rsid w:val="00997C79"/>
    <w:rsid w:val="00997FF4"/>
    <w:rsid w:val="009A0616"/>
    <w:rsid w:val="009A0E2D"/>
    <w:rsid w:val="009A2301"/>
    <w:rsid w:val="009A2827"/>
    <w:rsid w:val="009A2AF2"/>
    <w:rsid w:val="009A2F77"/>
    <w:rsid w:val="009A3BAD"/>
    <w:rsid w:val="009A4079"/>
    <w:rsid w:val="009A4A4F"/>
    <w:rsid w:val="009A4B06"/>
    <w:rsid w:val="009A500C"/>
    <w:rsid w:val="009A5065"/>
    <w:rsid w:val="009A5B14"/>
    <w:rsid w:val="009A5D4A"/>
    <w:rsid w:val="009A6886"/>
    <w:rsid w:val="009A7E88"/>
    <w:rsid w:val="009B024A"/>
    <w:rsid w:val="009B073D"/>
    <w:rsid w:val="009B0F9F"/>
    <w:rsid w:val="009B134E"/>
    <w:rsid w:val="009B17EF"/>
    <w:rsid w:val="009B2234"/>
    <w:rsid w:val="009B23E9"/>
    <w:rsid w:val="009B2AC4"/>
    <w:rsid w:val="009B3934"/>
    <w:rsid w:val="009B4340"/>
    <w:rsid w:val="009B4372"/>
    <w:rsid w:val="009B43FD"/>
    <w:rsid w:val="009B4D39"/>
    <w:rsid w:val="009B6104"/>
    <w:rsid w:val="009B6511"/>
    <w:rsid w:val="009B759D"/>
    <w:rsid w:val="009C08A2"/>
    <w:rsid w:val="009C1DD6"/>
    <w:rsid w:val="009C211F"/>
    <w:rsid w:val="009C2B2A"/>
    <w:rsid w:val="009C375E"/>
    <w:rsid w:val="009C4558"/>
    <w:rsid w:val="009C58DA"/>
    <w:rsid w:val="009C744B"/>
    <w:rsid w:val="009D13E8"/>
    <w:rsid w:val="009D148F"/>
    <w:rsid w:val="009D2F78"/>
    <w:rsid w:val="009D30F2"/>
    <w:rsid w:val="009D3CC1"/>
    <w:rsid w:val="009D4596"/>
    <w:rsid w:val="009D4D5C"/>
    <w:rsid w:val="009D4E10"/>
    <w:rsid w:val="009D5325"/>
    <w:rsid w:val="009D697D"/>
    <w:rsid w:val="009D6CCC"/>
    <w:rsid w:val="009D7E92"/>
    <w:rsid w:val="009E0F64"/>
    <w:rsid w:val="009E4733"/>
    <w:rsid w:val="009E49AD"/>
    <w:rsid w:val="009E4D45"/>
    <w:rsid w:val="009E5BA7"/>
    <w:rsid w:val="009E77F0"/>
    <w:rsid w:val="009F0951"/>
    <w:rsid w:val="009F0E3A"/>
    <w:rsid w:val="009F1C4A"/>
    <w:rsid w:val="009F245C"/>
    <w:rsid w:val="009F3FB8"/>
    <w:rsid w:val="009F40B7"/>
    <w:rsid w:val="009F4B2D"/>
    <w:rsid w:val="009F5142"/>
    <w:rsid w:val="009F52D9"/>
    <w:rsid w:val="009F5348"/>
    <w:rsid w:val="009F5AEF"/>
    <w:rsid w:val="009F5D47"/>
    <w:rsid w:val="009F60B2"/>
    <w:rsid w:val="009F66F5"/>
    <w:rsid w:val="009F6B15"/>
    <w:rsid w:val="009F72BF"/>
    <w:rsid w:val="00A004E0"/>
    <w:rsid w:val="00A01136"/>
    <w:rsid w:val="00A015C9"/>
    <w:rsid w:val="00A01D96"/>
    <w:rsid w:val="00A01FAF"/>
    <w:rsid w:val="00A0247E"/>
    <w:rsid w:val="00A0273F"/>
    <w:rsid w:val="00A04074"/>
    <w:rsid w:val="00A045DA"/>
    <w:rsid w:val="00A059F4"/>
    <w:rsid w:val="00A05F1B"/>
    <w:rsid w:val="00A06521"/>
    <w:rsid w:val="00A06FC4"/>
    <w:rsid w:val="00A07454"/>
    <w:rsid w:val="00A074FD"/>
    <w:rsid w:val="00A07A26"/>
    <w:rsid w:val="00A10CC9"/>
    <w:rsid w:val="00A10D11"/>
    <w:rsid w:val="00A11428"/>
    <w:rsid w:val="00A11B47"/>
    <w:rsid w:val="00A138ED"/>
    <w:rsid w:val="00A13D22"/>
    <w:rsid w:val="00A14EC3"/>
    <w:rsid w:val="00A156E9"/>
    <w:rsid w:val="00A15A68"/>
    <w:rsid w:val="00A15CBE"/>
    <w:rsid w:val="00A16E61"/>
    <w:rsid w:val="00A171CE"/>
    <w:rsid w:val="00A1744E"/>
    <w:rsid w:val="00A1768C"/>
    <w:rsid w:val="00A202F8"/>
    <w:rsid w:val="00A211B9"/>
    <w:rsid w:val="00A215AE"/>
    <w:rsid w:val="00A2212A"/>
    <w:rsid w:val="00A22A22"/>
    <w:rsid w:val="00A22B8F"/>
    <w:rsid w:val="00A2426A"/>
    <w:rsid w:val="00A24572"/>
    <w:rsid w:val="00A25352"/>
    <w:rsid w:val="00A256DE"/>
    <w:rsid w:val="00A25760"/>
    <w:rsid w:val="00A26094"/>
    <w:rsid w:val="00A26125"/>
    <w:rsid w:val="00A2645E"/>
    <w:rsid w:val="00A270D0"/>
    <w:rsid w:val="00A30211"/>
    <w:rsid w:val="00A302BC"/>
    <w:rsid w:val="00A31B34"/>
    <w:rsid w:val="00A3336B"/>
    <w:rsid w:val="00A33588"/>
    <w:rsid w:val="00A34271"/>
    <w:rsid w:val="00A3453B"/>
    <w:rsid w:val="00A3460A"/>
    <w:rsid w:val="00A350CD"/>
    <w:rsid w:val="00A35234"/>
    <w:rsid w:val="00A3525B"/>
    <w:rsid w:val="00A3535E"/>
    <w:rsid w:val="00A36105"/>
    <w:rsid w:val="00A366B7"/>
    <w:rsid w:val="00A367F2"/>
    <w:rsid w:val="00A367FA"/>
    <w:rsid w:val="00A41AD2"/>
    <w:rsid w:val="00A41E10"/>
    <w:rsid w:val="00A41F2C"/>
    <w:rsid w:val="00A42120"/>
    <w:rsid w:val="00A4234F"/>
    <w:rsid w:val="00A4251E"/>
    <w:rsid w:val="00A42797"/>
    <w:rsid w:val="00A43D25"/>
    <w:rsid w:val="00A44819"/>
    <w:rsid w:val="00A44F78"/>
    <w:rsid w:val="00A45140"/>
    <w:rsid w:val="00A4550E"/>
    <w:rsid w:val="00A45C89"/>
    <w:rsid w:val="00A45DC1"/>
    <w:rsid w:val="00A4677B"/>
    <w:rsid w:val="00A47570"/>
    <w:rsid w:val="00A47C25"/>
    <w:rsid w:val="00A5050C"/>
    <w:rsid w:val="00A511C9"/>
    <w:rsid w:val="00A521E7"/>
    <w:rsid w:val="00A52201"/>
    <w:rsid w:val="00A525EE"/>
    <w:rsid w:val="00A53627"/>
    <w:rsid w:val="00A53FA6"/>
    <w:rsid w:val="00A5497F"/>
    <w:rsid w:val="00A54CDC"/>
    <w:rsid w:val="00A551D3"/>
    <w:rsid w:val="00A56A8B"/>
    <w:rsid w:val="00A5732B"/>
    <w:rsid w:val="00A573A4"/>
    <w:rsid w:val="00A573B0"/>
    <w:rsid w:val="00A57D04"/>
    <w:rsid w:val="00A60352"/>
    <w:rsid w:val="00A60477"/>
    <w:rsid w:val="00A61179"/>
    <w:rsid w:val="00A6123A"/>
    <w:rsid w:val="00A61982"/>
    <w:rsid w:val="00A62432"/>
    <w:rsid w:val="00A62C44"/>
    <w:rsid w:val="00A63519"/>
    <w:rsid w:val="00A6377A"/>
    <w:rsid w:val="00A639CF"/>
    <w:rsid w:val="00A646F1"/>
    <w:rsid w:val="00A64BE6"/>
    <w:rsid w:val="00A65316"/>
    <w:rsid w:val="00A654C2"/>
    <w:rsid w:val="00A65F0E"/>
    <w:rsid w:val="00A66253"/>
    <w:rsid w:val="00A6667E"/>
    <w:rsid w:val="00A6680C"/>
    <w:rsid w:val="00A70217"/>
    <w:rsid w:val="00A702E9"/>
    <w:rsid w:val="00A70506"/>
    <w:rsid w:val="00A7051B"/>
    <w:rsid w:val="00A70607"/>
    <w:rsid w:val="00A710DF"/>
    <w:rsid w:val="00A71300"/>
    <w:rsid w:val="00A7183C"/>
    <w:rsid w:val="00A71B79"/>
    <w:rsid w:val="00A71DBD"/>
    <w:rsid w:val="00A721D8"/>
    <w:rsid w:val="00A7224B"/>
    <w:rsid w:val="00A7224E"/>
    <w:rsid w:val="00A7271B"/>
    <w:rsid w:val="00A735EA"/>
    <w:rsid w:val="00A74CE9"/>
    <w:rsid w:val="00A7596C"/>
    <w:rsid w:val="00A76227"/>
    <w:rsid w:val="00A769D3"/>
    <w:rsid w:val="00A7735F"/>
    <w:rsid w:val="00A77882"/>
    <w:rsid w:val="00A779E8"/>
    <w:rsid w:val="00A77F47"/>
    <w:rsid w:val="00A80531"/>
    <w:rsid w:val="00A81599"/>
    <w:rsid w:val="00A81F74"/>
    <w:rsid w:val="00A82FA6"/>
    <w:rsid w:val="00A84236"/>
    <w:rsid w:val="00A85711"/>
    <w:rsid w:val="00A87026"/>
    <w:rsid w:val="00A87203"/>
    <w:rsid w:val="00A87659"/>
    <w:rsid w:val="00A87EF7"/>
    <w:rsid w:val="00A90371"/>
    <w:rsid w:val="00A91C51"/>
    <w:rsid w:val="00A9246A"/>
    <w:rsid w:val="00A939D2"/>
    <w:rsid w:val="00A93EB3"/>
    <w:rsid w:val="00A94205"/>
    <w:rsid w:val="00A94976"/>
    <w:rsid w:val="00A9559F"/>
    <w:rsid w:val="00A955DC"/>
    <w:rsid w:val="00A9598B"/>
    <w:rsid w:val="00A95A5B"/>
    <w:rsid w:val="00A9632E"/>
    <w:rsid w:val="00A978E9"/>
    <w:rsid w:val="00A978F7"/>
    <w:rsid w:val="00A97A5B"/>
    <w:rsid w:val="00AA04AE"/>
    <w:rsid w:val="00AA07F9"/>
    <w:rsid w:val="00AA1128"/>
    <w:rsid w:val="00AA1A22"/>
    <w:rsid w:val="00AA23A8"/>
    <w:rsid w:val="00AA2766"/>
    <w:rsid w:val="00AA28CF"/>
    <w:rsid w:val="00AA29AE"/>
    <w:rsid w:val="00AA2E55"/>
    <w:rsid w:val="00AA2F75"/>
    <w:rsid w:val="00AA3033"/>
    <w:rsid w:val="00AA30C7"/>
    <w:rsid w:val="00AA4580"/>
    <w:rsid w:val="00AA5016"/>
    <w:rsid w:val="00AA5028"/>
    <w:rsid w:val="00AA5110"/>
    <w:rsid w:val="00AA529A"/>
    <w:rsid w:val="00AA599F"/>
    <w:rsid w:val="00AA6351"/>
    <w:rsid w:val="00AA7016"/>
    <w:rsid w:val="00AB1428"/>
    <w:rsid w:val="00AB16F1"/>
    <w:rsid w:val="00AB1D89"/>
    <w:rsid w:val="00AB20E2"/>
    <w:rsid w:val="00AB28F6"/>
    <w:rsid w:val="00AB3BA2"/>
    <w:rsid w:val="00AB5358"/>
    <w:rsid w:val="00AB5B2C"/>
    <w:rsid w:val="00AB624C"/>
    <w:rsid w:val="00AB7B26"/>
    <w:rsid w:val="00AB7BC6"/>
    <w:rsid w:val="00AC04F9"/>
    <w:rsid w:val="00AC0AFE"/>
    <w:rsid w:val="00AC2E60"/>
    <w:rsid w:val="00AC32A1"/>
    <w:rsid w:val="00AC3818"/>
    <w:rsid w:val="00AC3BD6"/>
    <w:rsid w:val="00AC3BF4"/>
    <w:rsid w:val="00AC4A45"/>
    <w:rsid w:val="00AC4EA5"/>
    <w:rsid w:val="00AC5BF1"/>
    <w:rsid w:val="00AC608B"/>
    <w:rsid w:val="00AC65A6"/>
    <w:rsid w:val="00AC70C3"/>
    <w:rsid w:val="00AC71B8"/>
    <w:rsid w:val="00AC7606"/>
    <w:rsid w:val="00AC7A25"/>
    <w:rsid w:val="00AC7D29"/>
    <w:rsid w:val="00AD03D2"/>
    <w:rsid w:val="00AD231E"/>
    <w:rsid w:val="00AD27FD"/>
    <w:rsid w:val="00AD39ED"/>
    <w:rsid w:val="00AD53C1"/>
    <w:rsid w:val="00AD62DB"/>
    <w:rsid w:val="00AD6516"/>
    <w:rsid w:val="00AD792F"/>
    <w:rsid w:val="00AE04D6"/>
    <w:rsid w:val="00AE0CD4"/>
    <w:rsid w:val="00AE0D91"/>
    <w:rsid w:val="00AE1C2D"/>
    <w:rsid w:val="00AE263A"/>
    <w:rsid w:val="00AE2C14"/>
    <w:rsid w:val="00AE3D8F"/>
    <w:rsid w:val="00AE3EE4"/>
    <w:rsid w:val="00AE468B"/>
    <w:rsid w:val="00AE4985"/>
    <w:rsid w:val="00AE4AFD"/>
    <w:rsid w:val="00AE52F9"/>
    <w:rsid w:val="00AE56CF"/>
    <w:rsid w:val="00AE62FF"/>
    <w:rsid w:val="00AE6923"/>
    <w:rsid w:val="00AE72F4"/>
    <w:rsid w:val="00AF0FF1"/>
    <w:rsid w:val="00AF1239"/>
    <w:rsid w:val="00AF1664"/>
    <w:rsid w:val="00AF1751"/>
    <w:rsid w:val="00AF18DD"/>
    <w:rsid w:val="00AF1D48"/>
    <w:rsid w:val="00AF2F08"/>
    <w:rsid w:val="00AF3551"/>
    <w:rsid w:val="00AF3A31"/>
    <w:rsid w:val="00AF5109"/>
    <w:rsid w:val="00AF5830"/>
    <w:rsid w:val="00AF5C1B"/>
    <w:rsid w:val="00AF6247"/>
    <w:rsid w:val="00AF6DFB"/>
    <w:rsid w:val="00AF70A7"/>
    <w:rsid w:val="00AF7B11"/>
    <w:rsid w:val="00AF7EE2"/>
    <w:rsid w:val="00B00B84"/>
    <w:rsid w:val="00B00C3A"/>
    <w:rsid w:val="00B00D36"/>
    <w:rsid w:val="00B00F31"/>
    <w:rsid w:val="00B0114B"/>
    <w:rsid w:val="00B014D6"/>
    <w:rsid w:val="00B01502"/>
    <w:rsid w:val="00B02213"/>
    <w:rsid w:val="00B03019"/>
    <w:rsid w:val="00B045B9"/>
    <w:rsid w:val="00B05C71"/>
    <w:rsid w:val="00B10057"/>
    <w:rsid w:val="00B101FA"/>
    <w:rsid w:val="00B1080D"/>
    <w:rsid w:val="00B10A56"/>
    <w:rsid w:val="00B11999"/>
    <w:rsid w:val="00B139A6"/>
    <w:rsid w:val="00B13B68"/>
    <w:rsid w:val="00B13EE3"/>
    <w:rsid w:val="00B1486D"/>
    <w:rsid w:val="00B14E08"/>
    <w:rsid w:val="00B155C9"/>
    <w:rsid w:val="00B158B0"/>
    <w:rsid w:val="00B163B1"/>
    <w:rsid w:val="00B163DE"/>
    <w:rsid w:val="00B16B76"/>
    <w:rsid w:val="00B17127"/>
    <w:rsid w:val="00B2153C"/>
    <w:rsid w:val="00B21D47"/>
    <w:rsid w:val="00B22763"/>
    <w:rsid w:val="00B22D08"/>
    <w:rsid w:val="00B240D5"/>
    <w:rsid w:val="00B251F3"/>
    <w:rsid w:val="00B252CB"/>
    <w:rsid w:val="00B2631A"/>
    <w:rsid w:val="00B27119"/>
    <w:rsid w:val="00B27747"/>
    <w:rsid w:val="00B30428"/>
    <w:rsid w:val="00B30FAA"/>
    <w:rsid w:val="00B31304"/>
    <w:rsid w:val="00B31628"/>
    <w:rsid w:val="00B3164B"/>
    <w:rsid w:val="00B31EA4"/>
    <w:rsid w:val="00B32653"/>
    <w:rsid w:val="00B32D9A"/>
    <w:rsid w:val="00B32DE0"/>
    <w:rsid w:val="00B33756"/>
    <w:rsid w:val="00B33CCC"/>
    <w:rsid w:val="00B342AC"/>
    <w:rsid w:val="00B343B9"/>
    <w:rsid w:val="00B34D51"/>
    <w:rsid w:val="00B35346"/>
    <w:rsid w:val="00B37546"/>
    <w:rsid w:val="00B3766E"/>
    <w:rsid w:val="00B37C0B"/>
    <w:rsid w:val="00B37CA7"/>
    <w:rsid w:val="00B4098B"/>
    <w:rsid w:val="00B40D95"/>
    <w:rsid w:val="00B4163D"/>
    <w:rsid w:val="00B41F38"/>
    <w:rsid w:val="00B42785"/>
    <w:rsid w:val="00B43515"/>
    <w:rsid w:val="00B43948"/>
    <w:rsid w:val="00B44421"/>
    <w:rsid w:val="00B444DB"/>
    <w:rsid w:val="00B4572E"/>
    <w:rsid w:val="00B4587C"/>
    <w:rsid w:val="00B45E23"/>
    <w:rsid w:val="00B46BF9"/>
    <w:rsid w:val="00B4713D"/>
    <w:rsid w:val="00B47B09"/>
    <w:rsid w:val="00B50078"/>
    <w:rsid w:val="00B506D3"/>
    <w:rsid w:val="00B5092D"/>
    <w:rsid w:val="00B512E8"/>
    <w:rsid w:val="00B51952"/>
    <w:rsid w:val="00B519FC"/>
    <w:rsid w:val="00B54385"/>
    <w:rsid w:val="00B5478D"/>
    <w:rsid w:val="00B54968"/>
    <w:rsid w:val="00B5596E"/>
    <w:rsid w:val="00B55AEA"/>
    <w:rsid w:val="00B56E72"/>
    <w:rsid w:val="00B571CD"/>
    <w:rsid w:val="00B577D5"/>
    <w:rsid w:val="00B60648"/>
    <w:rsid w:val="00B6106A"/>
    <w:rsid w:val="00B612A7"/>
    <w:rsid w:val="00B61CEB"/>
    <w:rsid w:val="00B6200F"/>
    <w:rsid w:val="00B636D9"/>
    <w:rsid w:val="00B6377F"/>
    <w:rsid w:val="00B6388D"/>
    <w:rsid w:val="00B639A7"/>
    <w:rsid w:val="00B6413D"/>
    <w:rsid w:val="00B647BC"/>
    <w:rsid w:val="00B64A5C"/>
    <w:rsid w:val="00B652E3"/>
    <w:rsid w:val="00B65A43"/>
    <w:rsid w:val="00B66806"/>
    <w:rsid w:val="00B66C20"/>
    <w:rsid w:val="00B66FD4"/>
    <w:rsid w:val="00B67B20"/>
    <w:rsid w:val="00B71461"/>
    <w:rsid w:val="00B71FFF"/>
    <w:rsid w:val="00B7250F"/>
    <w:rsid w:val="00B72545"/>
    <w:rsid w:val="00B72C27"/>
    <w:rsid w:val="00B735F7"/>
    <w:rsid w:val="00B737DD"/>
    <w:rsid w:val="00B73AD1"/>
    <w:rsid w:val="00B7479A"/>
    <w:rsid w:val="00B74A2A"/>
    <w:rsid w:val="00B74DA7"/>
    <w:rsid w:val="00B750A9"/>
    <w:rsid w:val="00B75425"/>
    <w:rsid w:val="00B75528"/>
    <w:rsid w:val="00B756E6"/>
    <w:rsid w:val="00B764CD"/>
    <w:rsid w:val="00B76837"/>
    <w:rsid w:val="00B76902"/>
    <w:rsid w:val="00B76C31"/>
    <w:rsid w:val="00B7757F"/>
    <w:rsid w:val="00B80040"/>
    <w:rsid w:val="00B814B0"/>
    <w:rsid w:val="00B8167D"/>
    <w:rsid w:val="00B81F1C"/>
    <w:rsid w:val="00B8245A"/>
    <w:rsid w:val="00B82684"/>
    <w:rsid w:val="00B84965"/>
    <w:rsid w:val="00B85123"/>
    <w:rsid w:val="00B856A6"/>
    <w:rsid w:val="00B85AD4"/>
    <w:rsid w:val="00B86D10"/>
    <w:rsid w:val="00B91D99"/>
    <w:rsid w:val="00B91F8C"/>
    <w:rsid w:val="00B94A3C"/>
    <w:rsid w:val="00B94B49"/>
    <w:rsid w:val="00B94B9D"/>
    <w:rsid w:val="00B965D1"/>
    <w:rsid w:val="00B97200"/>
    <w:rsid w:val="00B97294"/>
    <w:rsid w:val="00B97399"/>
    <w:rsid w:val="00BA0454"/>
    <w:rsid w:val="00BA0F9D"/>
    <w:rsid w:val="00BA10F5"/>
    <w:rsid w:val="00BA121B"/>
    <w:rsid w:val="00BA1CE5"/>
    <w:rsid w:val="00BA2217"/>
    <w:rsid w:val="00BA29BE"/>
    <w:rsid w:val="00BA30CA"/>
    <w:rsid w:val="00BA3AFB"/>
    <w:rsid w:val="00BA49CC"/>
    <w:rsid w:val="00BA4DE6"/>
    <w:rsid w:val="00BA519D"/>
    <w:rsid w:val="00BA5231"/>
    <w:rsid w:val="00BA55CF"/>
    <w:rsid w:val="00BA67DA"/>
    <w:rsid w:val="00BA7342"/>
    <w:rsid w:val="00BA76D6"/>
    <w:rsid w:val="00BA79C5"/>
    <w:rsid w:val="00BB044D"/>
    <w:rsid w:val="00BB095E"/>
    <w:rsid w:val="00BB0EE5"/>
    <w:rsid w:val="00BB1D1A"/>
    <w:rsid w:val="00BB1FF5"/>
    <w:rsid w:val="00BB2537"/>
    <w:rsid w:val="00BB25CD"/>
    <w:rsid w:val="00BB3396"/>
    <w:rsid w:val="00BB386E"/>
    <w:rsid w:val="00BB3DC1"/>
    <w:rsid w:val="00BB4E2F"/>
    <w:rsid w:val="00BB53EE"/>
    <w:rsid w:val="00BB58E3"/>
    <w:rsid w:val="00BB62BF"/>
    <w:rsid w:val="00BB6827"/>
    <w:rsid w:val="00BB6D8D"/>
    <w:rsid w:val="00BC0157"/>
    <w:rsid w:val="00BC09A6"/>
    <w:rsid w:val="00BC16DF"/>
    <w:rsid w:val="00BC1CEA"/>
    <w:rsid w:val="00BC2C58"/>
    <w:rsid w:val="00BC33FD"/>
    <w:rsid w:val="00BC36F3"/>
    <w:rsid w:val="00BC3D65"/>
    <w:rsid w:val="00BC4BF7"/>
    <w:rsid w:val="00BC4EDF"/>
    <w:rsid w:val="00BC5665"/>
    <w:rsid w:val="00BC5E55"/>
    <w:rsid w:val="00BC65FF"/>
    <w:rsid w:val="00BC6655"/>
    <w:rsid w:val="00BC6983"/>
    <w:rsid w:val="00BC6AB7"/>
    <w:rsid w:val="00BD11BB"/>
    <w:rsid w:val="00BD11BF"/>
    <w:rsid w:val="00BD1BF4"/>
    <w:rsid w:val="00BD2620"/>
    <w:rsid w:val="00BD2801"/>
    <w:rsid w:val="00BD2873"/>
    <w:rsid w:val="00BD3D36"/>
    <w:rsid w:val="00BD4B78"/>
    <w:rsid w:val="00BD60B7"/>
    <w:rsid w:val="00BD6159"/>
    <w:rsid w:val="00BD62F3"/>
    <w:rsid w:val="00BD650A"/>
    <w:rsid w:val="00BD693B"/>
    <w:rsid w:val="00BD69A6"/>
    <w:rsid w:val="00BD6B78"/>
    <w:rsid w:val="00BD6C89"/>
    <w:rsid w:val="00BE066B"/>
    <w:rsid w:val="00BE17DE"/>
    <w:rsid w:val="00BE2551"/>
    <w:rsid w:val="00BE2876"/>
    <w:rsid w:val="00BE2AF9"/>
    <w:rsid w:val="00BE2CDA"/>
    <w:rsid w:val="00BE2E3E"/>
    <w:rsid w:val="00BE2E67"/>
    <w:rsid w:val="00BE481F"/>
    <w:rsid w:val="00BE530E"/>
    <w:rsid w:val="00BE55D4"/>
    <w:rsid w:val="00BE5692"/>
    <w:rsid w:val="00BE5FE7"/>
    <w:rsid w:val="00BE6064"/>
    <w:rsid w:val="00BE7527"/>
    <w:rsid w:val="00BE75C3"/>
    <w:rsid w:val="00BF0376"/>
    <w:rsid w:val="00BF0F83"/>
    <w:rsid w:val="00BF12B1"/>
    <w:rsid w:val="00BF1E3C"/>
    <w:rsid w:val="00BF294E"/>
    <w:rsid w:val="00BF2FB0"/>
    <w:rsid w:val="00BF364D"/>
    <w:rsid w:val="00BF3790"/>
    <w:rsid w:val="00BF3AC6"/>
    <w:rsid w:val="00BF3B01"/>
    <w:rsid w:val="00BF4646"/>
    <w:rsid w:val="00BF4978"/>
    <w:rsid w:val="00BF4ED5"/>
    <w:rsid w:val="00BF4EE8"/>
    <w:rsid w:val="00BF5AF8"/>
    <w:rsid w:val="00BF5D3D"/>
    <w:rsid w:val="00BF647F"/>
    <w:rsid w:val="00BF7892"/>
    <w:rsid w:val="00C002BF"/>
    <w:rsid w:val="00C00535"/>
    <w:rsid w:val="00C011A3"/>
    <w:rsid w:val="00C01782"/>
    <w:rsid w:val="00C01BA6"/>
    <w:rsid w:val="00C02296"/>
    <w:rsid w:val="00C02311"/>
    <w:rsid w:val="00C026D5"/>
    <w:rsid w:val="00C035A6"/>
    <w:rsid w:val="00C036E8"/>
    <w:rsid w:val="00C03E8A"/>
    <w:rsid w:val="00C0490A"/>
    <w:rsid w:val="00C05996"/>
    <w:rsid w:val="00C05DF0"/>
    <w:rsid w:val="00C064F7"/>
    <w:rsid w:val="00C0782B"/>
    <w:rsid w:val="00C0799A"/>
    <w:rsid w:val="00C10D13"/>
    <w:rsid w:val="00C1102D"/>
    <w:rsid w:val="00C117B2"/>
    <w:rsid w:val="00C11FB6"/>
    <w:rsid w:val="00C127F9"/>
    <w:rsid w:val="00C13018"/>
    <w:rsid w:val="00C130DD"/>
    <w:rsid w:val="00C13CCC"/>
    <w:rsid w:val="00C14666"/>
    <w:rsid w:val="00C14CB5"/>
    <w:rsid w:val="00C15506"/>
    <w:rsid w:val="00C16208"/>
    <w:rsid w:val="00C16DAB"/>
    <w:rsid w:val="00C17482"/>
    <w:rsid w:val="00C209E9"/>
    <w:rsid w:val="00C20A0A"/>
    <w:rsid w:val="00C20E61"/>
    <w:rsid w:val="00C2103D"/>
    <w:rsid w:val="00C2223F"/>
    <w:rsid w:val="00C244AD"/>
    <w:rsid w:val="00C25339"/>
    <w:rsid w:val="00C26527"/>
    <w:rsid w:val="00C26964"/>
    <w:rsid w:val="00C27270"/>
    <w:rsid w:val="00C2773A"/>
    <w:rsid w:val="00C27A06"/>
    <w:rsid w:val="00C307D7"/>
    <w:rsid w:val="00C307E3"/>
    <w:rsid w:val="00C30EAB"/>
    <w:rsid w:val="00C31F9B"/>
    <w:rsid w:val="00C32095"/>
    <w:rsid w:val="00C32695"/>
    <w:rsid w:val="00C32A71"/>
    <w:rsid w:val="00C34528"/>
    <w:rsid w:val="00C3488A"/>
    <w:rsid w:val="00C34A7F"/>
    <w:rsid w:val="00C353BE"/>
    <w:rsid w:val="00C354E1"/>
    <w:rsid w:val="00C36CBD"/>
    <w:rsid w:val="00C36F0D"/>
    <w:rsid w:val="00C40E9F"/>
    <w:rsid w:val="00C4297B"/>
    <w:rsid w:val="00C42BD3"/>
    <w:rsid w:val="00C43037"/>
    <w:rsid w:val="00C43213"/>
    <w:rsid w:val="00C438B3"/>
    <w:rsid w:val="00C44839"/>
    <w:rsid w:val="00C464F6"/>
    <w:rsid w:val="00C4761C"/>
    <w:rsid w:val="00C47A5A"/>
    <w:rsid w:val="00C47F1F"/>
    <w:rsid w:val="00C5062E"/>
    <w:rsid w:val="00C50848"/>
    <w:rsid w:val="00C50FEB"/>
    <w:rsid w:val="00C51E42"/>
    <w:rsid w:val="00C52266"/>
    <w:rsid w:val="00C5274B"/>
    <w:rsid w:val="00C5299B"/>
    <w:rsid w:val="00C52F6C"/>
    <w:rsid w:val="00C53756"/>
    <w:rsid w:val="00C548B3"/>
    <w:rsid w:val="00C54C46"/>
    <w:rsid w:val="00C558DC"/>
    <w:rsid w:val="00C56063"/>
    <w:rsid w:val="00C56AFD"/>
    <w:rsid w:val="00C5793C"/>
    <w:rsid w:val="00C57B77"/>
    <w:rsid w:val="00C57BCF"/>
    <w:rsid w:val="00C617D7"/>
    <w:rsid w:val="00C618CF"/>
    <w:rsid w:val="00C61FB8"/>
    <w:rsid w:val="00C6239F"/>
    <w:rsid w:val="00C63781"/>
    <w:rsid w:val="00C643E7"/>
    <w:rsid w:val="00C64876"/>
    <w:rsid w:val="00C653C1"/>
    <w:rsid w:val="00C65433"/>
    <w:rsid w:val="00C65497"/>
    <w:rsid w:val="00C65BA7"/>
    <w:rsid w:val="00C65CD5"/>
    <w:rsid w:val="00C67015"/>
    <w:rsid w:val="00C67F16"/>
    <w:rsid w:val="00C7051E"/>
    <w:rsid w:val="00C70964"/>
    <w:rsid w:val="00C71328"/>
    <w:rsid w:val="00C7144C"/>
    <w:rsid w:val="00C719C8"/>
    <w:rsid w:val="00C723D4"/>
    <w:rsid w:val="00C738A8"/>
    <w:rsid w:val="00C73A24"/>
    <w:rsid w:val="00C73F40"/>
    <w:rsid w:val="00C74799"/>
    <w:rsid w:val="00C74E63"/>
    <w:rsid w:val="00C74F2F"/>
    <w:rsid w:val="00C757AE"/>
    <w:rsid w:val="00C75BC8"/>
    <w:rsid w:val="00C771B3"/>
    <w:rsid w:val="00C775B2"/>
    <w:rsid w:val="00C77648"/>
    <w:rsid w:val="00C77A30"/>
    <w:rsid w:val="00C77C18"/>
    <w:rsid w:val="00C807E5"/>
    <w:rsid w:val="00C80CD9"/>
    <w:rsid w:val="00C80E80"/>
    <w:rsid w:val="00C8146E"/>
    <w:rsid w:val="00C81582"/>
    <w:rsid w:val="00C81E86"/>
    <w:rsid w:val="00C823F3"/>
    <w:rsid w:val="00C83370"/>
    <w:rsid w:val="00C846C0"/>
    <w:rsid w:val="00C861E1"/>
    <w:rsid w:val="00C86A2D"/>
    <w:rsid w:val="00C86AB5"/>
    <w:rsid w:val="00C86EE7"/>
    <w:rsid w:val="00C870DF"/>
    <w:rsid w:val="00C873BA"/>
    <w:rsid w:val="00C8760A"/>
    <w:rsid w:val="00C87A84"/>
    <w:rsid w:val="00C90063"/>
    <w:rsid w:val="00C90297"/>
    <w:rsid w:val="00C90B13"/>
    <w:rsid w:val="00C91743"/>
    <w:rsid w:val="00C926EB"/>
    <w:rsid w:val="00C92C33"/>
    <w:rsid w:val="00C92DB6"/>
    <w:rsid w:val="00C92F4D"/>
    <w:rsid w:val="00C9387B"/>
    <w:rsid w:val="00C93FC9"/>
    <w:rsid w:val="00C944A7"/>
    <w:rsid w:val="00C95538"/>
    <w:rsid w:val="00C95FFB"/>
    <w:rsid w:val="00C96368"/>
    <w:rsid w:val="00CA04CE"/>
    <w:rsid w:val="00CA0D0E"/>
    <w:rsid w:val="00CA1706"/>
    <w:rsid w:val="00CA31E7"/>
    <w:rsid w:val="00CA3B01"/>
    <w:rsid w:val="00CA3F89"/>
    <w:rsid w:val="00CA43F9"/>
    <w:rsid w:val="00CA4AF9"/>
    <w:rsid w:val="00CA69C7"/>
    <w:rsid w:val="00CA743A"/>
    <w:rsid w:val="00CA766D"/>
    <w:rsid w:val="00CA7921"/>
    <w:rsid w:val="00CA7F7E"/>
    <w:rsid w:val="00CB03DB"/>
    <w:rsid w:val="00CB2581"/>
    <w:rsid w:val="00CB2E68"/>
    <w:rsid w:val="00CB4962"/>
    <w:rsid w:val="00CB5705"/>
    <w:rsid w:val="00CB5E35"/>
    <w:rsid w:val="00CB6156"/>
    <w:rsid w:val="00CB6912"/>
    <w:rsid w:val="00CB727C"/>
    <w:rsid w:val="00CB72BE"/>
    <w:rsid w:val="00CB78FC"/>
    <w:rsid w:val="00CB799D"/>
    <w:rsid w:val="00CB7C53"/>
    <w:rsid w:val="00CC050D"/>
    <w:rsid w:val="00CC1689"/>
    <w:rsid w:val="00CC19D0"/>
    <w:rsid w:val="00CC1C6A"/>
    <w:rsid w:val="00CC1DB1"/>
    <w:rsid w:val="00CC1F50"/>
    <w:rsid w:val="00CC2226"/>
    <w:rsid w:val="00CC29B6"/>
    <w:rsid w:val="00CC2A87"/>
    <w:rsid w:val="00CC3FA1"/>
    <w:rsid w:val="00CC4307"/>
    <w:rsid w:val="00CC4396"/>
    <w:rsid w:val="00CC4898"/>
    <w:rsid w:val="00CC4B1D"/>
    <w:rsid w:val="00CC4DAD"/>
    <w:rsid w:val="00CC4DF0"/>
    <w:rsid w:val="00CC65B2"/>
    <w:rsid w:val="00CC6AAA"/>
    <w:rsid w:val="00CC6EFC"/>
    <w:rsid w:val="00CC700C"/>
    <w:rsid w:val="00CC7A81"/>
    <w:rsid w:val="00CC7BA4"/>
    <w:rsid w:val="00CD0708"/>
    <w:rsid w:val="00CD0A4E"/>
    <w:rsid w:val="00CD12BA"/>
    <w:rsid w:val="00CD1EAF"/>
    <w:rsid w:val="00CD208D"/>
    <w:rsid w:val="00CD2894"/>
    <w:rsid w:val="00CD3096"/>
    <w:rsid w:val="00CD34F5"/>
    <w:rsid w:val="00CD3E96"/>
    <w:rsid w:val="00CD4618"/>
    <w:rsid w:val="00CD4954"/>
    <w:rsid w:val="00CD5094"/>
    <w:rsid w:val="00CD5994"/>
    <w:rsid w:val="00CD606A"/>
    <w:rsid w:val="00CD796B"/>
    <w:rsid w:val="00CD79E1"/>
    <w:rsid w:val="00CE0123"/>
    <w:rsid w:val="00CE03B5"/>
    <w:rsid w:val="00CE0448"/>
    <w:rsid w:val="00CE19CF"/>
    <w:rsid w:val="00CE1C4B"/>
    <w:rsid w:val="00CE1C5B"/>
    <w:rsid w:val="00CE1E31"/>
    <w:rsid w:val="00CE1FCC"/>
    <w:rsid w:val="00CE2C48"/>
    <w:rsid w:val="00CE3428"/>
    <w:rsid w:val="00CE3CD5"/>
    <w:rsid w:val="00CE3DA3"/>
    <w:rsid w:val="00CE48A2"/>
    <w:rsid w:val="00CE4D51"/>
    <w:rsid w:val="00CE536A"/>
    <w:rsid w:val="00CE660C"/>
    <w:rsid w:val="00CE66C9"/>
    <w:rsid w:val="00CE6BA2"/>
    <w:rsid w:val="00CE71EE"/>
    <w:rsid w:val="00CE7DDC"/>
    <w:rsid w:val="00CF08BD"/>
    <w:rsid w:val="00CF17C7"/>
    <w:rsid w:val="00CF1B3F"/>
    <w:rsid w:val="00CF1D5E"/>
    <w:rsid w:val="00CF2606"/>
    <w:rsid w:val="00CF30F5"/>
    <w:rsid w:val="00CF376C"/>
    <w:rsid w:val="00CF46E0"/>
    <w:rsid w:val="00CF484F"/>
    <w:rsid w:val="00CF4BB9"/>
    <w:rsid w:val="00CF4D4F"/>
    <w:rsid w:val="00CF7128"/>
    <w:rsid w:val="00CF7563"/>
    <w:rsid w:val="00CF7B1A"/>
    <w:rsid w:val="00CF7CC0"/>
    <w:rsid w:val="00CF7F19"/>
    <w:rsid w:val="00CF7FD6"/>
    <w:rsid w:val="00D00F15"/>
    <w:rsid w:val="00D011BC"/>
    <w:rsid w:val="00D01604"/>
    <w:rsid w:val="00D02098"/>
    <w:rsid w:val="00D020A1"/>
    <w:rsid w:val="00D0225B"/>
    <w:rsid w:val="00D02F5D"/>
    <w:rsid w:val="00D04157"/>
    <w:rsid w:val="00D041DC"/>
    <w:rsid w:val="00D044F3"/>
    <w:rsid w:val="00D0477B"/>
    <w:rsid w:val="00D05030"/>
    <w:rsid w:val="00D06162"/>
    <w:rsid w:val="00D06DAC"/>
    <w:rsid w:val="00D06FD8"/>
    <w:rsid w:val="00D105AC"/>
    <w:rsid w:val="00D10727"/>
    <w:rsid w:val="00D10FC5"/>
    <w:rsid w:val="00D11D12"/>
    <w:rsid w:val="00D1214F"/>
    <w:rsid w:val="00D12F88"/>
    <w:rsid w:val="00D130C4"/>
    <w:rsid w:val="00D1323C"/>
    <w:rsid w:val="00D135AC"/>
    <w:rsid w:val="00D13AF2"/>
    <w:rsid w:val="00D1420B"/>
    <w:rsid w:val="00D143B6"/>
    <w:rsid w:val="00D146A3"/>
    <w:rsid w:val="00D14F6C"/>
    <w:rsid w:val="00D154C5"/>
    <w:rsid w:val="00D15F08"/>
    <w:rsid w:val="00D163B0"/>
    <w:rsid w:val="00D173BF"/>
    <w:rsid w:val="00D178B7"/>
    <w:rsid w:val="00D17993"/>
    <w:rsid w:val="00D179B0"/>
    <w:rsid w:val="00D17D0D"/>
    <w:rsid w:val="00D206AF"/>
    <w:rsid w:val="00D214FC"/>
    <w:rsid w:val="00D215D9"/>
    <w:rsid w:val="00D21D63"/>
    <w:rsid w:val="00D22251"/>
    <w:rsid w:val="00D223E4"/>
    <w:rsid w:val="00D22BEC"/>
    <w:rsid w:val="00D23169"/>
    <w:rsid w:val="00D238B5"/>
    <w:rsid w:val="00D23C8A"/>
    <w:rsid w:val="00D2592B"/>
    <w:rsid w:val="00D276DA"/>
    <w:rsid w:val="00D27DA1"/>
    <w:rsid w:val="00D27EE8"/>
    <w:rsid w:val="00D32B64"/>
    <w:rsid w:val="00D335BE"/>
    <w:rsid w:val="00D349BE"/>
    <w:rsid w:val="00D34F57"/>
    <w:rsid w:val="00D353EF"/>
    <w:rsid w:val="00D35621"/>
    <w:rsid w:val="00D36C01"/>
    <w:rsid w:val="00D36DFE"/>
    <w:rsid w:val="00D37B1B"/>
    <w:rsid w:val="00D414B9"/>
    <w:rsid w:val="00D414D0"/>
    <w:rsid w:val="00D4151B"/>
    <w:rsid w:val="00D42DE3"/>
    <w:rsid w:val="00D4411D"/>
    <w:rsid w:val="00D44342"/>
    <w:rsid w:val="00D44F9E"/>
    <w:rsid w:val="00D4502F"/>
    <w:rsid w:val="00D45A8C"/>
    <w:rsid w:val="00D45EB7"/>
    <w:rsid w:val="00D45F5A"/>
    <w:rsid w:val="00D47183"/>
    <w:rsid w:val="00D47CA5"/>
    <w:rsid w:val="00D47EA5"/>
    <w:rsid w:val="00D50670"/>
    <w:rsid w:val="00D50CD2"/>
    <w:rsid w:val="00D510DA"/>
    <w:rsid w:val="00D519B4"/>
    <w:rsid w:val="00D51FC6"/>
    <w:rsid w:val="00D532DD"/>
    <w:rsid w:val="00D53700"/>
    <w:rsid w:val="00D537C7"/>
    <w:rsid w:val="00D53FAC"/>
    <w:rsid w:val="00D546CA"/>
    <w:rsid w:val="00D546E9"/>
    <w:rsid w:val="00D54A64"/>
    <w:rsid w:val="00D5527A"/>
    <w:rsid w:val="00D55F32"/>
    <w:rsid w:val="00D56B85"/>
    <w:rsid w:val="00D56E50"/>
    <w:rsid w:val="00D577CB"/>
    <w:rsid w:val="00D57890"/>
    <w:rsid w:val="00D60C05"/>
    <w:rsid w:val="00D60F68"/>
    <w:rsid w:val="00D615DF"/>
    <w:rsid w:val="00D61710"/>
    <w:rsid w:val="00D61B82"/>
    <w:rsid w:val="00D61E6D"/>
    <w:rsid w:val="00D6327D"/>
    <w:rsid w:val="00D63E30"/>
    <w:rsid w:val="00D6442A"/>
    <w:rsid w:val="00D64820"/>
    <w:rsid w:val="00D64987"/>
    <w:rsid w:val="00D64A59"/>
    <w:rsid w:val="00D65833"/>
    <w:rsid w:val="00D65943"/>
    <w:rsid w:val="00D66A20"/>
    <w:rsid w:val="00D6704F"/>
    <w:rsid w:val="00D6727B"/>
    <w:rsid w:val="00D677A3"/>
    <w:rsid w:val="00D67A87"/>
    <w:rsid w:val="00D7003F"/>
    <w:rsid w:val="00D713AF"/>
    <w:rsid w:val="00D71A50"/>
    <w:rsid w:val="00D72B07"/>
    <w:rsid w:val="00D738C1"/>
    <w:rsid w:val="00D75224"/>
    <w:rsid w:val="00D754FE"/>
    <w:rsid w:val="00D75786"/>
    <w:rsid w:val="00D75843"/>
    <w:rsid w:val="00D75E04"/>
    <w:rsid w:val="00D77580"/>
    <w:rsid w:val="00D77DB6"/>
    <w:rsid w:val="00D77E73"/>
    <w:rsid w:val="00D800FE"/>
    <w:rsid w:val="00D805BB"/>
    <w:rsid w:val="00D80D5B"/>
    <w:rsid w:val="00D810A6"/>
    <w:rsid w:val="00D812F7"/>
    <w:rsid w:val="00D813F5"/>
    <w:rsid w:val="00D81529"/>
    <w:rsid w:val="00D818CC"/>
    <w:rsid w:val="00D82708"/>
    <w:rsid w:val="00D83637"/>
    <w:rsid w:val="00D83B89"/>
    <w:rsid w:val="00D83D7E"/>
    <w:rsid w:val="00D83E03"/>
    <w:rsid w:val="00D849E8"/>
    <w:rsid w:val="00D859B2"/>
    <w:rsid w:val="00D85BCC"/>
    <w:rsid w:val="00D86430"/>
    <w:rsid w:val="00D86E3E"/>
    <w:rsid w:val="00D87303"/>
    <w:rsid w:val="00D87472"/>
    <w:rsid w:val="00D87790"/>
    <w:rsid w:val="00D87850"/>
    <w:rsid w:val="00D9003C"/>
    <w:rsid w:val="00D90676"/>
    <w:rsid w:val="00D913A1"/>
    <w:rsid w:val="00D914E2"/>
    <w:rsid w:val="00D917BC"/>
    <w:rsid w:val="00D91B83"/>
    <w:rsid w:val="00D926C0"/>
    <w:rsid w:val="00D92885"/>
    <w:rsid w:val="00D930B5"/>
    <w:rsid w:val="00D935FA"/>
    <w:rsid w:val="00D936A1"/>
    <w:rsid w:val="00D94406"/>
    <w:rsid w:val="00D94648"/>
    <w:rsid w:val="00D94664"/>
    <w:rsid w:val="00D9472D"/>
    <w:rsid w:val="00D954AF"/>
    <w:rsid w:val="00D95A74"/>
    <w:rsid w:val="00D95B45"/>
    <w:rsid w:val="00D95DAD"/>
    <w:rsid w:val="00D96952"/>
    <w:rsid w:val="00D97618"/>
    <w:rsid w:val="00D97703"/>
    <w:rsid w:val="00D97D93"/>
    <w:rsid w:val="00DA0866"/>
    <w:rsid w:val="00DA0FD5"/>
    <w:rsid w:val="00DA1044"/>
    <w:rsid w:val="00DA27F3"/>
    <w:rsid w:val="00DA2A51"/>
    <w:rsid w:val="00DA2C77"/>
    <w:rsid w:val="00DA2E61"/>
    <w:rsid w:val="00DA38E8"/>
    <w:rsid w:val="00DA3CA7"/>
    <w:rsid w:val="00DA45E0"/>
    <w:rsid w:val="00DA4C48"/>
    <w:rsid w:val="00DA53A8"/>
    <w:rsid w:val="00DA695A"/>
    <w:rsid w:val="00DB0494"/>
    <w:rsid w:val="00DB0514"/>
    <w:rsid w:val="00DB0779"/>
    <w:rsid w:val="00DB0CE6"/>
    <w:rsid w:val="00DB176B"/>
    <w:rsid w:val="00DB307D"/>
    <w:rsid w:val="00DB3086"/>
    <w:rsid w:val="00DB440C"/>
    <w:rsid w:val="00DB4C7C"/>
    <w:rsid w:val="00DB4DE1"/>
    <w:rsid w:val="00DB5A41"/>
    <w:rsid w:val="00DB654C"/>
    <w:rsid w:val="00DB6A42"/>
    <w:rsid w:val="00DB79E5"/>
    <w:rsid w:val="00DC017B"/>
    <w:rsid w:val="00DC03D3"/>
    <w:rsid w:val="00DC09C0"/>
    <w:rsid w:val="00DC0D31"/>
    <w:rsid w:val="00DC11F5"/>
    <w:rsid w:val="00DC135C"/>
    <w:rsid w:val="00DC1453"/>
    <w:rsid w:val="00DC1670"/>
    <w:rsid w:val="00DC19D8"/>
    <w:rsid w:val="00DC1BAD"/>
    <w:rsid w:val="00DC1DCB"/>
    <w:rsid w:val="00DC20D7"/>
    <w:rsid w:val="00DC2C52"/>
    <w:rsid w:val="00DC35A2"/>
    <w:rsid w:val="00DC3637"/>
    <w:rsid w:val="00DC3EF9"/>
    <w:rsid w:val="00DC4661"/>
    <w:rsid w:val="00DC47FE"/>
    <w:rsid w:val="00DC4A5F"/>
    <w:rsid w:val="00DC51D1"/>
    <w:rsid w:val="00DC5220"/>
    <w:rsid w:val="00DC57A3"/>
    <w:rsid w:val="00DC59E3"/>
    <w:rsid w:val="00DC634C"/>
    <w:rsid w:val="00DC66B6"/>
    <w:rsid w:val="00DC6BFE"/>
    <w:rsid w:val="00DC6C4D"/>
    <w:rsid w:val="00DC70FF"/>
    <w:rsid w:val="00DC711E"/>
    <w:rsid w:val="00DC7C4E"/>
    <w:rsid w:val="00DC7FD4"/>
    <w:rsid w:val="00DD0AB9"/>
    <w:rsid w:val="00DD0ACD"/>
    <w:rsid w:val="00DD1846"/>
    <w:rsid w:val="00DD18D9"/>
    <w:rsid w:val="00DD19C8"/>
    <w:rsid w:val="00DD1A56"/>
    <w:rsid w:val="00DD1DEF"/>
    <w:rsid w:val="00DD2430"/>
    <w:rsid w:val="00DD2994"/>
    <w:rsid w:val="00DD3446"/>
    <w:rsid w:val="00DD5092"/>
    <w:rsid w:val="00DD5193"/>
    <w:rsid w:val="00DD5208"/>
    <w:rsid w:val="00DD5660"/>
    <w:rsid w:val="00DD5D57"/>
    <w:rsid w:val="00DD623F"/>
    <w:rsid w:val="00DD6E0C"/>
    <w:rsid w:val="00DE0B8D"/>
    <w:rsid w:val="00DE2BCD"/>
    <w:rsid w:val="00DE395D"/>
    <w:rsid w:val="00DE45D5"/>
    <w:rsid w:val="00DE4818"/>
    <w:rsid w:val="00DE5421"/>
    <w:rsid w:val="00DE54EE"/>
    <w:rsid w:val="00DE67B2"/>
    <w:rsid w:val="00DE693F"/>
    <w:rsid w:val="00DE6C83"/>
    <w:rsid w:val="00DE786C"/>
    <w:rsid w:val="00DE7B59"/>
    <w:rsid w:val="00DE7D3F"/>
    <w:rsid w:val="00DF09F9"/>
    <w:rsid w:val="00DF101E"/>
    <w:rsid w:val="00DF1492"/>
    <w:rsid w:val="00DF2172"/>
    <w:rsid w:val="00DF21B4"/>
    <w:rsid w:val="00DF2DC1"/>
    <w:rsid w:val="00DF3038"/>
    <w:rsid w:val="00DF3FDE"/>
    <w:rsid w:val="00DF5090"/>
    <w:rsid w:val="00DF5159"/>
    <w:rsid w:val="00DF6C95"/>
    <w:rsid w:val="00DF6E04"/>
    <w:rsid w:val="00DF74D0"/>
    <w:rsid w:val="00DF7679"/>
    <w:rsid w:val="00E00536"/>
    <w:rsid w:val="00E01A1D"/>
    <w:rsid w:val="00E01DD1"/>
    <w:rsid w:val="00E01E17"/>
    <w:rsid w:val="00E02997"/>
    <w:rsid w:val="00E02A2C"/>
    <w:rsid w:val="00E04481"/>
    <w:rsid w:val="00E04A3F"/>
    <w:rsid w:val="00E04FCF"/>
    <w:rsid w:val="00E05DF5"/>
    <w:rsid w:val="00E06292"/>
    <w:rsid w:val="00E063A0"/>
    <w:rsid w:val="00E06CF5"/>
    <w:rsid w:val="00E0736E"/>
    <w:rsid w:val="00E07715"/>
    <w:rsid w:val="00E07B42"/>
    <w:rsid w:val="00E07CEF"/>
    <w:rsid w:val="00E1016C"/>
    <w:rsid w:val="00E10A93"/>
    <w:rsid w:val="00E115A8"/>
    <w:rsid w:val="00E11982"/>
    <w:rsid w:val="00E12455"/>
    <w:rsid w:val="00E13390"/>
    <w:rsid w:val="00E136C6"/>
    <w:rsid w:val="00E13DD3"/>
    <w:rsid w:val="00E14548"/>
    <w:rsid w:val="00E14E82"/>
    <w:rsid w:val="00E150A6"/>
    <w:rsid w:val="00E157C8"/>
    <w:rsid w:val="00E158FD"/>
    <w:rsid w:val="00E15C61"/>
    <w:rsid w:val="00E17C01"/>
    <w:rsid w:val="00E17D25"/>
    <w:rsid w:val="00E2141F"/>
    <w:rsid w:val="00E22AA0"/>
    <w:rsid w:val="00E22EBE"/>
    <w:rsid w:val="00E234E1"/>
    <w:rsid w:val="00E23BEC"/>
    <w:rsid w:val="00E23FAC"/>
    <w:rsid w:val="00E23FE0"/>
    <w:rsid w:val="00E25069"/>
    <w:rsid w:val="00E25763"/>
    <w:rsid w:val="00E31737"/>
    <w:rsid w:val="00E320FD"/>
    <w:rsid w:val="00E32308"/>
    <w:rsid w:val="00E32D39"/>
    <w:rsid w:val="00E3308A"/>
    <w:rsid w:val="00E33A63"/>
    <w:rsid w:val="00E33C5E"/>
    <w:rsid w:val="00E33FA3"/>
    <w:rsid w:val="00E34DE5"/>
    <w:rsid w:val="00E350F6"/>
    <w:rsid w:val="00E35AA7"/>
    <w:rsid w:val="00E36E51"/>
    <w:rsid w:val="00E375FF"/>
    <w:rsid w:val="00E37725"/>
    <w:rsid w:val="00E40187"/>
    <w:rsid w:val="00E40AF7"/>
    <w:rsid w:val="00E412EE"/>
    <w:rsid w:val="00E41676"/>
    <w:rsid w:val="00E427A6"/>
    <w:rsid w:val="00E42C64"/>
    <w:rsid w:val="00E42E0D"/>
    <w:rsid w:val="00E434E3"/>
    <w:rsid w:val="00E43876"/>
    <w:rsid w:val="00E44804"/>
    <w:rsid w:val="00E460C7"/>
    <w:rsid w:val="00E46712"/>
    <w:rsid w:val="00E46720"/>
    <w:rsid w:val="00E47AB8"/>
    <w:rsid w:val="00E47B82"/>
    <w:rsid w:val="00E50F2B"/>
    <w:rsid w:val="00E514F6"/>
    <w:rsid w:val="00E51791"/>
    <w:rsid w:val="00E519D7"/>
    <w:rsid w:val="00E51ACA"/>
    <w:rsid w:val="00E51B33"/>
    <w:rsid w:val="00E52351"/>
    <w:rsid w:val="00E527F3"/>
    <w:rsid w:val="00E53F1F"/>
    <w:rsid w:val="00E53F28"/>
    <w:rsid w:val="00E54BB2"/>
    <w:rsid w:val="00E55E9A"/>
    <w:rsid w:val="00E55F0F"/>
    <w:rsid w:val="00E55FA1"/>
    <w:rsid w:val="00E55FA7"/>
    <w:rsid w:val="00E56A1E"/>
    <w:rsid w:val="00E56C26"/>
    <w:rsid w:val="00E60298"/>
    <w:rsid w:val="00E610E8"/>
    <w:rsid w:val="00E613DF"/>
    <w:rsid w:val="00E62753"/>
    <w:rsid w:val="00E6294B"/>
    <w:rsid w:val="00E62C3D"/>
    <w:rsid w:val="00E62D77"/>
    <w:rsid w:val="00E64244"/>
    <w:rsid w:val="00E64458"/>
    <w:rsid w:val="00E64E66"/>
    <w:rsid w:val="00E6531A"/>
    <w:rsid w:val="00E65526"/>
    <w:rsid w:val="00E668D0"/>
    <w:rsid w:val="00E679C5"/>
    <w:rsid w:val="00E7004C"/>
    <w:rsid w:val="00E702FA"/>
    <w:rsid w:val="00E71980"/>
    <w:rsid w:val="00E71A78"/>
    <w:rsid w:val="00E71B6E"/>
    <w:rsid w:val="00E71BB4"/>
    <w:rsid w:val="00E71CD3"/>
    <w:rsid w:val="00E72403"/>
    <w:rsid w:val="00E73671"/>
    <w:rsid w:val="00E74B3D"/>
    <w:rsid w:val="00E75A4B"/>
    <w:rsid w:val="00E76A6A"/>
    <w:rsid w:val="00E80847"/>
    <w:rsid w:val="00E809DC"/>
    <w:rsid w:val="00E810BA"/>
    <w:rsid w:val="00E8271C"/>
    <w:rsid w:val="00E83B3D"/>
    <w:rsid w:val="00E84339"/>
    <w:rsid w:val="00E867DD"/>
    <w:rsid w:val="00E876A0"/>
    <w:rsid w:val="00E87835"/>
    <w:rsid w:val="00E90987"/>
    <w:rsid w:val="00E90ED6"/>
    <w:rsid w:val="00E913E8"/>
    <w:rsid w:val="00E91B26"/>
    <w:rsid w:val="00E91B73"/>
    <w:rsid w:val="00E92133"/>
    <w:rsid w:val="00E927F7"/>
    <w:rsid w:val="00E92840"/>
    <w:rsid w:val="00E93464"/>
    <w:rsid w:val="00E94956"/>
    <w:rsid w:val="00E949DE"/>
    <w:rsid w:val="00E94CC7"/>
    <w:rsid w:val="00E94FE3"/>
    <w:rsid w:val="00E95717"/>
    <w:rsid w:val="00E958A2"/>
    <w:rsid w:val="00E96AC1"/>
    <w:rsid w:val="00EA13D2"/>
    <w:rsid w:val="00EA1B7F"/>
    <w:rsid w:val="00EA2AB6"/>
    <w:rsid w:val="00EA335F"/>
    <w:rsid w:val="00EA37E2"/>
    <w:rsid w:val="00EA3F55"/>
    <w:rsid w:val="00EA4396"/>
    <w:rsid w:val="00EA475E"/>
    <w:rsid w:val="00EA487D"/>
    <w:rsid w:val="00EA4963"/>
    <w:rsid w:val="00EA58A4"/>
    <w:rsid w:val="00EA5CAF"/>
    <w:rsid w:val="00EA6CFB"/>
    <w:rsid w:val="00EA767D"/>
    <w:rsid w:val="00EB024A"/>
    <w:rsid w:val="00EB071E"/>
    <w:rsid w:val="00EB1E80"/>
    <w:rsid w:val="00EB3394"/>
    <w:rsid w:val="00EB3D3E"/>
    <w:rsid w:val="00EB4507"/>
    <w:rsid w:val="00EB47EA"/>
    <w:rsid w:val="00EB4D29"/>
    <w:rsid w:val="00EB5019"/>
    <w:rsid w:val="00EB62C4"/>
    <w:rsid w:val="00EB6688"/>
    <w:rsid w:val="00EB6AD9"/>
    <w:rsid w:val="00EB6D3A"/>
    <w:rsid w:val="00EB7368"/>
    <w:rsid w:val="00EB75F9"/>
    <w:rsid w:val="00EB7FA7"/>
    <w:rsid w:val="00EC0240"/>
    <w:rsid w:val="00EC1ED3"/>
    <w:rsid w:val="00EC2812"/>
    <w:rsid w:val="00EC2AB7"/>
    <w:rsid w:val="00EC37C0"/>
    <w:rsid w:val="00EC3944"/>
    <w:rsid w:val="00EC442B"/>
    <w:rsid w:val="00EC4702"/>
    <w:rsid w:val="00EC5CCE"/>
    <w:rsid w:val="00EC5EAB"/>
    <w:rsid w:val="00EC7928"/>
    <w:rsid w:val="00EC7B0E"/>
    <w:rsid w:val="00EC7FB8"/>
    <w:rsid w:val="00ED0239"/>
    <w:rsid w:val="00ED0D78"/>
    <w:rsid w:val="00ED153E"/>
    <w:rsid w:val="00ED1CB1"/>
    <w:rsid w:val="00ED326E"/>
    <w:rsid w:val="00ED397A"/>
    <w:rsid w:val="00ED58EC"/>
    <w:rsid w:val="00ED5BD3"/>
    <w:rsid w:val="00ED7C27"/>
    <w:rsid w:val="00EE0E6F"/>
    <w:rsid w:val="00EE155F"/>
    <w:rsid w:val="00EE1564"/>
    <w:rsid w:val="00EE16C3"/>
    <w:rsid w:val="00EE1912"/>
    <w:rsid w:val="00EE19B3"/>
    <w:rsid w:val="00EE19D0"/>
    <w:rsid w:val="00EE1C5F"/>
    <w:rsid w:val="00EE1EE7"/>
    <w:rsid w:val="00EE2B0A"/>
    <w:rsid w:val="00EE2D82"/>
    <w:rsid w:val="00EE331F"/>
    <w:rsid w:val="00EE378A"/>
    <w:rsid w:val="00EE46EB"/>
    <w:rsid w:val="00EE4B17"/>
    <w:rsid w:val="00EE4CD1"/>
    <w:rsid w:val="00EE52D9"/>
    <w:rsid w:val="00EE5BA2"/>
    <w:rsid w:val="00EE616D"/>
    <w:rsid w:val="00EE628C"/>
    <w:rsid w:val="00EE7108"/>
    <w:rsid w:val="00EE7259"/>
    <w:rsid w:val="00EE7A94"/>
    <w:rsid w:val="00EF0C96"/>
    <w:rsid w:val="00EF0F40"/>
    <w:rsid w:val="00EF1296"/>
    <w:rsid w:val="00EF184E"/>
    <w:rsid w:val="00EF2908"/>
    <w:rsid w:val="00EF2C2F"/>
    <w:rsid w:val="00EF2C9E"/>
    <w:rsid w:val="00EF2DA4"/>
    <w:rsid w:val="00EF3202"/>
    <w:rsid w:val="00EF3352"/>
    <w:rsid w:val="00EF36F4"/>
    <w:rsid w:val="00EF3755"/>
    <w:rsid w:val="00EF3833"/>
    <w:rsid w:val="00EF3C75"/>
    <w:rsid w:val="00EF4341"/>
    <w:rsid w:val="00EF4AFF"/>
    <w:rsid w:val="00EF5737"/>
    <w:rsid w:val="00EF5CC0"/>
    <w:rsid w:val="00EF5F20"/>
    <w:rsid w:val="00EF6005"/>
    <w:rsid w:val="00EF6296"/>
    <w:rsid w:val="00EF6822"/>
    <w:rsid w:val="00EF6D97"/>
    <w:rsid w:val="00EF75AF"/>
    <w:rsid w:val="00EF778B"/>
    <w:rsid w:val="00F00400"/>
    <w:rsid w:val="00F00462"/>
    <w:rsid w:val="00F00FC9"/>
    <w:rsid w:val="00F01169"/>
    <w:rsid w:val="00F019BC"/>
    <w:rsid w:val="00F01AC6"/>
    <w:rsid w:val="00F01C22"/>
    <w:rsid w:val="00F024E9"/>
    <w:rsid w:val="00F0259C"/>
    <w:rsid w:val="00F0323E"/>
    <w:rsid w:val="00F03F50"/>
    <w:rsid w:val="00F063D0"/>
    <w:rsid w:val="00F06813"/>
    <w:rsid w:val="00F0761C"/>
    <w:rsid w:val="00F076FD"/>
    <w:rsid w:val="00F07B5F"/>
    <w:rsid w:val="00F10A98"/>
    <w:rsid w:val="00F10C70"/>
    <w:rsid w:val="00F10F8A"/>
    <w:rsid w:val="00F12C70"/>
    <w:rsid w:val="00F12E91"/>
    <w:rsid w:val="00F133CE"/>
    <w:rsid w:val="00F13AB3"/>
    <w:rsid w:val="00F13B3E"/>
    <w:rsid w:val="00F14C8F"/>
    <w:rsid w:val="00F159BF"/>
    <w:rsid w:val="00F15DA0"/>
    <w:rsid w:val="00F1762D"/>
    <w:rsid w:val="00F1779E"/>
    <w:rsid w:val="00F17C42"/>
    <w:rsid w:val="00F2037D"/>
    <w:rsid w:val="00F20749"/>
    <w:rsid w:val="00F20C2C"/>
    <w:rsid w:val="00F212FF"/>
    <w:rsid w:val="00F21675"/>
    <w:rsid w:val="00F216B9"/>
    <w:rsid w:val="00F22ABB"/>
    <w:rsid w:val="00F22D8B"/>
    <w:rsid w:val="00F2446A"/>
    <w:rsid w:val="00F24C9B"/>
    <w:rsid w:val="00F24FAB"/>
    <w:rsid w:val="00F25222"/>
    <w:rsid w:val="00F2646B"/>
    <w:rsid w:val="00F2653F"/>
    <w:rsid w:val="00F2659E"/>
    <w:rsid w:val="00F26945"/>
    <w:rsid w:val="00F2694E"/>
    <w:rsid w:val="00F269A4"/>
    <w:rsid w:val="00F26C3D"/>
    <w:rsid w:val="00F26C5F"/>
    <w:rsid w:val="00F27734"/>
    <w:rsid w:val="00F308EE"/>
    <w:rsid w:val="00F30C2E"/>
    <w:rsid w:val="00F30F6E"/>
    <w:rsid w:val="00F33473"/>
    <w:rsid w:val="00F3364E"/>
    <w:rsid w:val="00F336C4"/>
    <w:rsid w:val="00F3377A"/>
    <w:rsid w:val="00F33EBA"/>
    <w:rsid w:val="00F34321"/>
    <w:rsid w:val="00F343F6"/>
    <w:rsid w:val="00F34761"/>
    <w:rsid w:val="00F35456"/>
    <w:rsid w:val="00F3641B"/>
    <w:rsid w:val="00F36700"/>
    <w:rsid w:val="00F42072"/>
    <w:rsid w:val="00F425F7"/>
    <w:rsid w:val="00F42EA5"/>
    <w:rsid w:val="00F43367"/>
    <w:rsid w:val="00F442D8"/>
    <w:rsid w:val="00F44F18"/>
    <w:rsid w:val="00F45488"/>
    <w:rsid w:val="00F45751"/>
    <w:rsid w:val="00F45E12"/>
    <w:rsid w:val="00F47194"/>
    <w:rsid w:val="00F47C01"/>
    <w:rsid w:val="00F500A0"/>
    <w:rsid w:val="00F502C8"/>
    <w:rsid w:val="00F50930"/>
    <w:rsid w:val="00F509D6"/>
    <w:rsid w:val="00F50EDA"/>
    <w:rsid w:val="00F513E7"/>
    <w:rsid w:val="00F51555"/>
    <w:rsid w:val="00F51B32"/>
    <w:rsid w:val="00F51E8C"/>
    <w:rsid w:val="00F5241C"/>
    <w:rsid w:val="00F525EC"/>
    <w:rsid w:val="00F52667"/>
    <w:rsid w:val="00F526BC"/>
    <w:rsid w:val="00F52869"/>
    <w:rsid w:val="00F53520"/>
    <w:rsid w:val="00F5355A"/>
    <w:rsid w:val="00F53A4E"/>
    <w:rsid w:val="00F54629"/>
    <w:rsid w:val="00F5535A"/>
    <w:rsid w:val="00F557A1"/>
    <w:rsid w:val="00F55A11"/>
    <w:rsid w:val="00F55A2E"/>
    <w:rsid w:val="00F56255"/>
    <w:rsid w:val="00F56CB6"/>
    <w:rsid w:val="00F574B1"/>
    <w:rsid w:val="00F57869"/>
    <w:rsid w:val="00F57D4E"/>
    <w:rsid w:val="00F614E1"/>
    <w:rsid w:val="00F61581"/>
    <w:rsid w:val="00F61B7B"/>
    <w:rsid w:val="00F62856"/>
    <w:rsid w:val="00F62D32"/>
    <w:rsid w:val="00F637E3"/>
    <w:rsid w:val="00F6428F"/>
    <w:rsid w:val="00F65256"/>
    <w:rsid w:val="00F65499"/>
    <w:rsid w:val="00F658CB"/>
    <w:rsid w:val="00F70088"/>
    <w:rsid w:val="00F701A0"/>
    <w:rsid w:val="00F71909"/>
    <w:rsid w:val="00F72871"/>
    <w:rsid w:val="00F72BA0"/>
    <w:rsid w:val="00F72BD4"/>
    <w:rsid w:val="00F72DBC"/>
    <w:rsid w:val="00F73316"/>
    <w:rsid w:val="00F738AF"/>
    <w:rsid w:val="00F75A41"/>
    <w:rsid w:val="00F75C84"/>
    <w:rsid w:val="00F76C0E"/>
    <w:rsid w:val="00F7787A"/>
    <w:rsid w:val="00F77CCD"/>
    <w:rsid w:val="00F8022B"/>
    <w:rsid w:val="00F8111F"/>
    <w:rsid w:val="00F81188"/>
    <w:rsid w:val="00F8174F"/>
    <w:rsid w:val="00F81F4C"/>
    <w:rsid w:val="00F82DC3"/>
    <w:rsid w:val="00F82DF8"/>
    <w:rsid w:val="00F830E6"/>
    <w:rsid w:val="00F83D4D"/>
    <w:rsid w:val="00F83E92"/>
    <w:rsid w:val="00F8413F"/>
    <w:rsid w:val="00F842A1"/>
    <w:rsid w:val="00F84CBD"/>
    <w:rsid w:val="00F8505B"/>
    <w:rsid w:val="00F850D8"/>
    <w:rsid w:val="00F85F3B"/>
    <w:rsid w:val="00F86E19"/>
    <w:rsid w:val="00F875D5"/>
    <w:rsid w:val="00F905B3"/>
    <w:rsid w:val="00F90C36"/>
    <w:rsid w:val="00F9167B"/>
    <w:rsid w:val="00F916CA"/>
    <w:rsid w:val="00F93A40"/>
    <w:rsid w:val="00F94075"/>
    <w:rsid w:val="00F943E7"/>
    <w:rsid w:val="00F94729"/>
    <w:rsid w:val="00F9497C"/>
    <w:rsid w:val="00F94D1B"/>
    <w:rsid w:val="00F95A06"/>
    <w:rsid w:val="00F9756D"/>
    <w:rsid w:val="00F97697"/>
    <w:rsid w:val="00F976FC"/>
    <w:rsid w:val="00FA00C3"/>
    <w:rsid w:val="00FA00E2"/>
    <w:rsid w:val="00FA077D"/>
    <w:rsid w:val="00FA16B6"/>
    <w:rsid w:val="00FA18FB"/>
    <w:rsid w:val="00FA37D6"/>
    <w:rsid w:val="00FA390E"/>
    <w:rsid w:val="00FA5669"/>
    <w:rsid w:val="00FA56BF"/>
    <w:rsid w:val="00FA5E59"/>
    <w:rsid w:val="00FA6035"/>
    <w:rsid w:val="00FA6C88"/>
    <w:rsid w:val="00FA6E66"/>
    <w:rsid w:val="00FA7064"/>
    <w:rsid w:val="00FA730E"/>
    <w:rsid w:val="00FA7B8E"/>
    <w:rsid w:val="00FA7BEF"/>
    <w:rsid w:val="00FA7F26"/>
    <w:rsid w:val="00FB01E1"/>
    <w:rsid w:val="00FB0285"/>
    <w:rsid w:val="00FB106C"/>
    <w:rsid w:val="00FB10E8"/>
    <w:rsid w:val="00FB147E"/>
    <w:rsid w:val="00FB23ED"/>
    <w:rsid w:val="00FB2E93"/>
    <w:rsid w:val="00FB41A8"/>
    <w:rsid w:val="00FB4C9D"/>
    <w:rsid w:val="00FB61E5"/>
    <w:rsid w:val="00FB688D"/>
    <w:rsid w:val="00FB71A7"/>
    <w:rsid w:val="00FB72AE"/>
    <w:rsid w:val="00FB73DA"/>
    <w:rsid w:val="00FB77B5"/>
    <w:rsid w:val="00FB7868"/>
    <w:rsid w:val="00FB7C35"/>
    <w:rsid w:val="00FB7EEB"/>
    <w:rsid w:val="00FC2272"/>
    <w:rsid w:val="00FC3E8A"/>
    <w:rsid w:val="00FC46CC"/>
    <w:rsid w:val="00FC5266"/>
    <w:rsid w:val="00FC5973"/>
    <w:rsid w:val="00FC5F88"/>
    <w:rsid w:val="00FD0497"/>
    <w:rsid w:val="00FD08A2"/>
    <w:rsid w:val="00FD1E30"/>
    <w:rsid w:val="00FD3353"/>
    <w:rsid w:val="00FD4C78"/>
    <w:rsid w:val="00FD70C4"/>
    <w:rsid w:val="00FD7266"/>
    <w:rsid w:val="00FD7DB6"/>
    <w:rsid w:val="00FD7EBB"/>
    <w:rsid w:val="00FE032D"/>
    <w:rsid w:val="00FE0C42"/>
    <w:rsid w:val="00FE13B1"/>
    <w:rsid w:val="00FE1AE3"/>
    <w:rsid w:val="00FE1EAC"/>
    <w:rsid w:val="00FE2349"/>
    <w:rsid w:val="00FE29BE"/>
    <w:rsid w:val="00FE3007"/>
    <w:rsid w:val="00FE3852"/>
    <w:rsid w:val="00FE5265"/>
    <w:rsid w:val="00FE5A00"/>
    <w:rsid w:val="00FE6275"/>
    <w:rsid w:val="00FF06D6"/>
    <w:rsid w:val="00FF127D"/>
    <w:rsid w:val="00FF12A7"/>
    <w:rsid w:val="00FF26B5"/>
    <w:rsid w:val="00FF279C"/>
    <w:rsid w:val="00FF2B28"/>
    <w:rsid w:val="00FF2D38"/>
    <w:rsid w:val="00FF6741"/>
    <w:rsid w:val="00FF72F2"/>
    <w:rsid w:val="00FF78B5"/>
    <w:rsid w:val="00FF7E2B"/>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CF97"/>
  <w15:docId w15:val="{0257229F-F22E-4071-8226-C4D5E734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DA695A"/>
    <w:pPr>
      <w:keepNext/>
      <w:keepLines/>
      <w:spacing w:before="480"/>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927C4A"/>
    <w:pPr>
      <w:tabs>
        <w:tab w:val="left" w:pos="5130"/>
      </w:tabs>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927C4A"/>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DA695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1F57DF"/>
    <w:pPr>
      <w:ind w:firstLine="0"/>
    </w:pPr>
    <w:rPr>
      <w:rFonts w:cs="Times New Roman"/>
      <w:szCs w:val="20"/>
      <w:lang w:bidi="he-IL"/>
    </w:rPr>
  </w:style>
  <w:style w:type="character" w:customStyle="1" w:styleId="PlainTextChar">
    <w:name w:val="Plain Text Char"/>
    <w:basedOn w:val="DefaultParagraphFont"/>
    <w:link w:val="PlainText"/>
    <w:rsid w:val="001F57DF"/>
    <w:rPr>
      <w:rFonts w:eastAsiaTheme="minorEastAsia" w:cs="Times New Roman"/>
      <w:szCs w:val="20"/>
      <w:lang w:val="en-GB" w:bidi="he-IL"/>
    </w:rPr>
  </w:style>
  <w:style w:type="paragraph" w:styleId="FootnoteText">
    <w:name w:val="footnote text"/>
    <w:basedOn w:val="Normal"/>
    <w:link w:val="FootnoteTextChar"/>
    <w:uiPriority w:val="99"/>
    <w:unhideWhenUsed/>
    <w:rsid w:val="00DA695A"/>
    <w:rPr>
      <w:rFonts w:ascii="Calibri" w:eastAsia="Times New Roman" w:hAnsi="Calibri" w:cs="Times New Roman"/>
      <w:sz w:val="20"/>
      <w:szCs w:val="20"/>
      <w:lang w:bidi="he-IL"/>
    </w:rPr>
  </w:style>
  <w:style w:type="character" w:customStyle="1" w:styleId="FootnoteTextChar">
    <w:name w:val="Footnote Text Char"/>
    <w:basedOn w:val="DefaultParagraphFont"/>
    <w:link w:val="FootnoteText"/>
    <w:uiPriority w:val="99"/>
    <w:rsid w:val="00DA695A"/>
    <w:rPr>
      <w:rFonts w:ascii="Calibri" w:eastAsia="Times New Roman" w:hAnsi="Calibri" w:cs="Times New Roman"/>
      <w:sz w:val="20"/>
      <w:szCs w:val="20"/>
      <w:lang w:bidi="he-IL"/>
    </w:rPr>
  </w:style>
  <w:style w:type="character" w:styleId="FootnoteReference">
    <w:name w:val="footnote reference"/>
    <w:basedOn w:val="DefaultParagraphFont"/>
    <w:uiPriority w:val="99"/>
    <w:semiHidden/>
    <w:unhideWhenUsed/>
    <w:rsid w:val="00DA695A"/>
    <w:rPr>
      <w:vertAlign w:val="superscript"/>
    </w:rPr>
  </w:style>
  <w:style w:type="paragraph" w:customStyle="1" w:styleId="Default">
    <w:name w:val="Default"/>
    <w:rsid w:val="00C926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A367FA"/>
  </w:style>
  <w:style w:type="paragraph" w:styleId="BalloonText">
    <w:name w:val="Balloon Text"/>
    <w:basedOn w:val="Normal"/>
    <w:link w:val="BalloonTextChar"/>
    <w:uiPriority w:val="99"/>
    <w:semiHidden/>
    <w:unhideWhenUsed/>
    <w:rsid w:val="00842FF0"/>
    <w:rPr>
      <w:rFonts w:ascii="Tahoma" w:hAnsi="Tahoma" w:cs="Tahoma"/>
      <w:sz w:val="16"/>
      <w:szCs w:val="16"/>
    </w:rPr>
  </w:style>
  <w:style w:type="character" w:customStyle="1" w:styleId="BalloonTextChar">
    <w:name w:val="Balloon Text Char"/>
    <w:basedOn w:val="DefaultParagraphFont"/>
    <w:link w:val="BalloonText"/>
    <w:uiPriority w:val="99"/>
    <w:semiHidden/>
    <w:rsid w:val="00842FF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A2AF2"/>
    <w:rPr>
      <w:sz w:val="16"/>
      <w:szCs w:val="16"/>
    </w:rPr>
  </w:style>
  <w:style w:type="paragraph" w:styleId="CommentText">
    <w:name w:val="annotation text"/>
    <w:basedOn w:val="Normal"/>
    <w:link w:val="CommentTextChar"/>
    <w:uiPriority w:val="99"/>
    <w:semiHidden/>
    <w:unhideWhenUsed/>
    <w:rsid w:val="009A2AF2"/>
    <w:rPr>
      <w:sz w:val="20"/>
      <w:szCs w:val="20"/>
    </w:rPr>
  </w:style>
  <w:style w:type="character" w:customStyle="1" w:styleId="CommentTextChar">
    <w:name w:val="Comment Text Char"/>
    <w:basedOn w:val="DefaultParagraphFont"/>
    <w:link w:val="CommentText"/>
    <w:uiPriority w:val="99"/>
    <w:semiHidden/>
    <w:rsid w:val="009A2A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A2AF2"/>
    <w:rPr>
      <w:b/>
      <w:bCs/>
    </w:rPr>
  </w:style>
  <w:style w:type="character" w:customStyle="1" w:styleId="CommentSubjectChar">
    <w:name w:val="Comment Subject Char"/>
    <w:basedOn w:val="CommentTextChar"/>
    <w:link w:val="CommentSubject"/>
    <w:uiPriority w:val="99"/>
    <w:semiHidden/>
    <w:rsid w:val="009A2AF2"/>
    <w:rPr>
      <w:rFonts w:eastAsiaTheme="minorEastAsia"/>
      <w:b/>
      <w:bCs/>
      <w:sz w:val="20"/>
      <w:szCs w:val="20"/>
    </w:rPr>
  </w:style>
  <w:style w:type="character" w:customStyle="1" w:styleId="text">
    <w:name w:val="text"/>
    <w:basedOn w:val="DefaultParagraphFont"/>
    <w:rsid w:val="00EB024A"/>
  </w:style>
  <w:style w:type="paragraph" w:styleId="Header">
    <w:name w:val="header"/>
    <w:basedOn w:val="Normal"/>
    <w:link w:val="HeaderChar"/>
    <w:uiPriority w:val="99"/>
    <w:unhideWhenUsed/>
    <w:rsid w:val="004548FA"/>
    <w:pPr>
      <w:tabs>
        <w:tab w:val="center" w:pos="4680"/>
        <w:tab w:val="right" w:pos="9360"/>
      </w:tabs>
    </w:pPr>
  </w:style>
  <w:style w:type="character" w:customStyle="1" w:styleId="HeaderChar">
    <w:name w:val="Header Char"/>
    <w:basedOn w:val="DefaultParagraphFont"/>
    <w:link w:val="Header"/>
    <w:uiPriority w:val="99"/>
    <w:rsid w:val="004548FA"/>
    <w:rPr>
      <w:rFonts w:eastAsiaTheme="minorEastAsia"/>
    </w:rPr>
  </w:style>
  <w:style w:type="paragraph" w:styleId="Footer">
    <w:name w:val="footer"/>
    <w:basedOn w:val="Normal"/>
    <w:link w:val="FooterChar"/>
    <w:uiPriority w:val="99"/>
    <w:unhideWhenUsed/>
    <w:rsid w:val="004548FA"/>
    <w:pPr>
      <w:tabs>
        <w:tab w:val="center" w:pos="4680"/>
        <w:tab w:val="right" w:pos="9360"/>
      </w:tabs>
    </w:pPr>
  </w:style>
  <w:style w:type="character" w:customStyle="1" w:styleId="FooterChar">
    <w:name w:val="Footer Char"/>
    <w:basedOn w:val="DefaultParagraphFont"/>
    <w:link w:val="Footer"/>
    <w:uiPriority w:val="99"/>
    <w:rsid w:val="004548FA"/>
    <w:rPr>
      <w:rFonts w:eastAsiaTheme="minorEastAsia"/>
    </w:rPr>
  </w:style>
  <w:style w:type="character" w:styleId="Emphasis">
    <w:name w:val="Emphasis"/>
    <w:basedOn w:val="DefaultParagraphFont"/>
    <w:uiPriority w:val="20"/>
    <w:qFormat/>
    <w:rsid w:val="00544C15"/>
    <w:rPr>
      <w:i/>
      <w:iCs/>
    </w:rPr>
  </w:style>
  <w:style w:type="character" w:customStyle="1" w:styleId="call-number">
    <w:name w:val="call-number"/>
    <w:basedOn w:val="DefaultParagraphFont"/>
    <w:rsid w:val="00C13018"/>
  </w:style>
  <w:style w:type="character" w:customStyle="1" w:styleId="entryauthor">
    <w:name w:val="entryauthor"/>
    <w:basedOn w:val="DefaultParagraphFont"/>
    <w:rsid w:val="00E64458"/>
  </w:style>
  <w:style w:type="character" w:styleId="HTMLCite">
    <w:name w:val="HTML Cite"/>
    <w:basedOn w:val="DefaultParagraphFont"/>
    <w:uiPriority w:val="99"/>
    <w:semiHidden/>
    <w:unhideWhenUsed/>
    <w:rsid w:val="007102E0"/>
    <w:rPr>
      <w:i/>
      <w:iCs/>
    </w:rPr>
  </w:style>
  <w:style w:type="character" w:customStyle="1" w:styleId="italic">
    <w:name w:val="italic"/>
    <w:basedOn w:val="DefaultParagraphFont"/>
    <w:rsid w:val="000F263A"/>
  </w:style>
  <w:style w:type="character" w:styleId="Hyperlink">
    <w:name w:val="Hyperlink"/>
    <w:basedOn w:val="DefaultParagraphFont"/>
    <w:uiPriority w:val="99"/>
    <w:unhideWhenUsed/>
    <w:rsid w:val="00E73671"/>
    <w:rPr>
      <w:color w:val="0000FF" w:themeColor="hyperlink"/>
      <w:u w:val="single"/>
    </w:rPr>
  </w:style>
  <w:style w:type="paragraph" w:styleId="BodyTextIndent">
    <w:name w:val="Body Text Indent"/>
    <w:basedOn w:val="Normal"/>
    <w:link w:val="BodyTextIndentChar"/>
    <w:rsid w:val="0086743F"/>
    <w:pPr>
      <w:ind w:left="720" w:firstLine="0"/>
    </w:pPr>
    <w:rPr>
      <w:rFonts w:ascii="Times New Roman" w:eastAsia="Times New Roman" w:hAnsi="Times New Roman" w:cs="Times New Roman"/>
      <w:szCs w:val="20"/>
      <w:lang w:bidi="he-IL"/>
    </w:rPr>
  </w:style>
  <w:style w:type="character" w:customStyle="1" w:styleId="BodyTextIndentChar">
    <w:name w:val="Body Text Indent Char"/>
    <w:basedOn w:val="DefaultParagraphFont"/>
    <w:link w:val="BodyTextIndent"/>
    <w:rsid w:val="0086743F"/>
    <w:rPr>
      <w:rFonts w:ascii="Times New Roman" w:eastAsia="Times New Roman" w:hAnsi="Times New Roman" w:cs="Times New Roman"/>
      <w:szCs w:val="20"/>
      <w:lang w:bidi="he-IL"/>
    </w:rPr>
  </w:style>
  <w:style w:type="character" w:styleId="Strong">
    <w:name w:val="Strong"/>
    <w:basedOn w:val="DefaultParagraphFont"/>
    <w:uiPriority w:val="22"/>
    <w:qFormat/>
    <w:rsid w:val="002B684F"/>
    <w:rPr>
      <w:b/>
      <w:bCs/>
    </w:rPr>
  </w:style>
  <w:style w:type="character" w:customStyle="1" w:styleId="nlmarticle-title">
    <w:name w:val="nlm_article-title"/>
    <w:basedOn w:val="DefaultParagraphFont"/>
    <w:rsid w:val="005C0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6343">
      <w:bodyDiv w:val="1"/>
      <w:marLeft w:val="0"/>
      <w:marRight w:val="0"/>
      <w:marTop w:val="0"/>
      <w:marBottom w:val="0"/>
      <w:divBdr>
        <w:top w:val="none" w:sz="0" w:space="0" w:color="auto"/>
        <w:left w:val="none" w:sz="0" w:space="0" w:color="auto"/>
        <w:bottom w:val="none" w:sz="0" w:space="0" w:color="auto"/>
        <w:right w:val="none" w:sz="0" w:space="0" w:color="auto"/>
      </w:divBdr>
      <w:divsChild>
        <w:div w:id="1199388696">
          <w:marLeft w:val="0"/>
          <w:marRight w:val="0"/>
          <w:marTop w:val="0"/>
          <w:marBottom w:val="0"/>
          <w:divBdr>
            <w:top w:val="none" w:sz="0" w:space="0" w:color="auto"/>
            <w:left w:val="none" w:sz="0" w:space="0" w:color="auto"/>
            <w:bottom w:val="none" w:sz="0" w:space="0" w:color="auto"/>
            <w:right w:val="none" w:sz="0" w:space="0" w:color="auto"/>
          </w:divBdr>
          <w:divsChild>
            <w:div w:id="1048534841">
              <w:marLeft w:val="0"/>
              <w:marRight w:val="0"/>
              <w:marTop w:val="0"/>
              <w:marBottom w:val="0"/>
              <w:divBdr>
                <w:top w:val="none" w:sz="0" w:space="0" w:color="auto"/>
                <w:left w:val="none" w:sz="0" w:space="0" w:color="auto"/>
                <w:bottom w:val="none" w:sz="0" w:space="0" w:color="auto"/>
                <w:right w:val="none" w:sz="0" w:space="0" w:color="auto"/>
              </w:divBdr>
            </w:div>
            <w:div w:id="534998718">
              <w:marLeft w:val="0"/>
              <w:marRight w:val="0"/>
              <w:marTop w:val="0"/>
              <w:marBottom w:val="0"/>
              <w:divBdr>
                <w:top w:val="none" w:sz="0" w:space="0" w:color="auto"/>
                <w:left w:val="none" w:sz="0" w:space="0" w:color="auto"/>
                <w:bottom w:val="none" w:sz="0" w:space="0" w:color="auto"/>
                <w:right w:val="none" w:sz="0" w:space="0" w:color="auto"/>
              </w:divBdr>
            </w:div>
            <w:div w:id="441337764">
              <w:marLeft w:val="0"/>
              <w:marRight w:val="0"/>
              <w:marTop w:val="0"/>
              <w:marBottom w:val="0"/>
              <w:divBdr>
                <w:top w:val="none" w:sz="0" w:space="0" w:color="auto"/>
                <w:left w:val="none" w:sz="0" w:space="0" w:color="auto"/>
                <w:bottom w:val="none" w:sz="0" w:space="0" w:color="auto"/>
                <w:right w:val="none" w:sz="0" w:space="0" w:color="auto"/>
              </w:divBdr>
            </w:div>
            <w:div w:id="2050835688">
              <w:marLeft w:val="0"/>
              <w:marRight w:val="0"/>
              <w:marTop w:val="0"/>
              <w:marBottom w:val="0"/>
              <w:divBdr>
                <w:top w:val="none" w:sz="0" w:space="0" w:color="auto"/>
                <w:left w:val="none" w:sz="0" w:space="0" w:color="auto"/>
                <w:bottom w:val="none" w:sz="0" w:space="0" w:color="auto"/>
                <w:right w:val="none" w:sz="0" w:space="0" w:color="auto"/>
              </w:divBdr>
            </w:div>
            <w:div w:id="425229716">
              <w:marLeft w:val="0"/>
              <w:marRight w:val="0"/>
              <w:marTop w:val="0"/>
              <w:marBottom w:val="0"/>
              <w:divBdr>
                <w:top w:val="none" w:sz="0" w:space="0" w:color="auto"/>
                <w:left w:val="none" w:sz="0" w:space="0" w:color="auto"/>
                <w:bottom w:val="none" w:sz="0" w:space="0" w:color="auto"/>
                <w:right w:val="none" w:sz="0" w:space="0" w:color="auto"/>
              </w:divBdr>
            </w:div>
            <w:div w:id="1303076723">
              <w:marLeft w:val="0"/>
              <w:marRight w:val="0"/>
              <w:marTop w:val="0"/>
              <w:marBottom w:val="0"/>
              <w:divBdr>
                <w:top w:val="none" w:sz="0" w:space="0" w:color="auto"/>
                <w:left w:val="none" w:sz="0" w:space="0" w:color="auto"/>
                <w:bottom w:val="none" w:sz="0" w:space="0" w:color="auto"/>
                <w:right w:val="none" w:sz="0" w:space="0" w:color="auto"/>
              </w:divBdr>
            </w:div>
            <w:div w:id="1390811864">
              <w:marLeft w:val="0"/>
              <w:marRight w:val="0"/>
              <w:marTop w:val="0"/>
              <w:marBottom w:val="0"/>
              <w:divBdr>
                <w:top w:val="none" w:sz="0" w:space="0" w:color="auto"/>
                <w:left w:val="none" w:sz="0" w:space="0" w:color="auto"/>
                <w:bottom w:val="none" w:sz="0" w:space="0" w:color="auto"/>
                <w:right w:val="none" w:sz="0" w:space="0" w:color="auto"/>
              </w:divBdr>
            </w:div>
            <w:div w:id="1387757410">
              <w:marLeft w:val="0"/>
              <w:marRight w:val="0"/>
              <w:marTop w:val="0"/>
              <w:marBottom w:val="0"/>
              <w:divBdr>
                <w:top w:val="none" w:sz="0" w:space="0" w:color="auto"/>
                <w:left w:val="none" w:sz="0" w:space="0" w:color="auto"/>
                <w:bottom w:val="none" w:sz="0" w:space="0" w:color="auto"/>
                <w:right w:val="none" w:sz="0" w:space="0" w:color="auto"/>
              </w:divBdr>
            </w:div>
            <w:div w:id="332610077">
              <w:marLeft w:val="0"/>
              <w:marRight w:val="0"/>
              <w:marTop w:val="0"/>
              <w:marBottom w:val="0"/>
              <w:divBdr>
                <w:top w:val="none" w:sz="0" w:space="0" w:color="auto"/>
                <w:left w:val="none" w:sz="0" w:space="0" w:color="auto"/>
                <w:bottom w:val="none" w:sz="0" w:space="0" w:color="auto"/>
                <w:right w:val="none" w:sz="0" w:space="0" w:color="auto"/>
              </w:divBdr>
            </w:div>
            <w:div w:id="202064477">
              <w:marLeft w:val="0"/>
              <w:marRight w:val="0"/>
              <w:marTop w:val="0"/>
              <w:marBottom w:val="0"/>
              <w:divBdr>
                <w:top w:val="none" w:sz="0" w:space="0" w:color="auto"/>
                <w:left w:val="none" w:sz="0" w:space="0" w:color="auto"/>
                <w:bottom w:val="none" w:sz="0" w:space="0" w:color="auto"/>
                <w:right w:val="none" w:sz="0" w:space="0" w:color="auto"/>
              </w:divBdr>
            </w:div>
            <w:div w:id="2060398797">
              <w:marLeft w:val="0"/>
              <w:marRight w:val="0"/>
              <w:marTop w:val="0"/>
              <w:marBottom w:val="0"/>
              <w:divBdr>
                <w:top w:val="none" w:sz="0" w:space="0" w:color="auto"/>
                <w:left w:val="none" w:sz="0" w:space="0" w:color="auto"/>
                <w:bottom w:val="none" w:sz="0" w:space="0" w:color="auto"/>
                <w:right w:val="none" w:sz="0" w:space="0" w:color="auto"/>
              </w:divBdr>
            </w:div>
            <w:div w:id="1167359138">
              <w:marLeft w:val="0"/>
              <w:marRight w:val="0"/>
              <w:marTop w:val="0"/>
              <w:marBottom w:val="0"/>
              <w:divBdr>
                <w:top w:val="none" w:sz="0" w:space="0" w:color="auto"/>
                <w:left w:val="none" w:sz="0" w:space="0" w:color="auto"/>
                <w:bottom w:val="none" w:sz="0" w:space="0" w:color="auto"/>
                <w:right w:val="none" w:sz="0" w:space="0" w:color="auto"/>
              </w:divBdr>
            </w:div>
            <w:div w:id="2115906358">
              <w:marLeft w:val="0"/>
              <w:marRight w:val="0"/>
              <w:marTop w:val="0"/>
              <w:marBottom w:val="0"/>
              <w:divBdr>
                <w:top w:val="none" w:sz="0" w:space="0" w:color="auto"/>
                <w:left w:val="none" w:sz="0" w:space="0" w:color="auto"/>
                <w:bottom w:val="none" w:sz="0" w:space="0" w:color="auto"/>
                <w:right w:val="none" w:sz="0" w:space="0" w:color="auto"/>
              </w:divBdr>
            </w:div>
            <w:div w:id="1125927734">
              <w:marLeft w:val="0"/>
              <w:marRight w:val="0"/>
              <w:marTop w:val="0"/>
              <w:marBottom w:val="0"/>
              <w:divBdr>
                <w:top w:val="none" w:sz="0" w:space="0" w:color="auto"/>
                <w:left w:val="none" w:sz="0" w:space="0" w:color="auto"/>
                <w:bottom w:val="none" w:sz="0" w:space="0" w:color="auto"/>
                <w:right w:val="none" w:sz="0" w:space="0" w:color="auto"/>
              </w:divBdr>
            </w:div>
            <w:div w:id="1677422650">
              <w:marLeft w:val="0"/>
              <w:marRight w:val="0"/>
              <w:marTop w:val="0"/>
              <w:marBottom w:val="0"/>
              <w:divBdr>
                <w:top w:val="none" w:sz="0" w:space="0" w:color="auto"/>
                <w:left w:val="none" w:sz="0" w:space="0" w:color="auto"/>
                <w:bottom w:val="none" w:sz="0" w:space="0" w:color="auto"/>
                <w:right w:val="none" w:sz="0" w:space="0" w:color="auto"/>
              </w:divBdr>
            </w:div>
            <w:div w:id="144974514">
              <w:marLeft w:val="0"/>
              <w:marRight w:val="0"/>
              <w:marTop w:val="0"/>
              <w:marBottom w:val="0"/>
              <w:divBdr>
                <w:top w:val="none" w:sz="0" w:space="0" w:color="auto"/>
                <w:left w:val="none" w:sz="0" w:space="0" w:color="auto"/>
                <w:bottom w:val="none" w:sz="0" w:space="0" w:color="auto"/>
                <w:right w:val="none" w:sz="0" w:space="0" w:color="auto"/>
              </w:divBdr>
            </w:div>
            <w:div w:id="408189511">
              <w:marLeft w:val="0"/>
              <w:marRight w:val="0"/>
              <w:marTop w:val="0"/>
              <w:marBottom w:val="0"/>
              <w:divBdr>
                <w:top w:val="none" w:sz="0" w:space="0" w:color="auto"/>
                <w:left w:val="none" w:sz="0" w:space="0" w:color="auto"/>
                <w:bottom w:val="none" w:sz="0" w:space="0" w:color="auto"/>
                <w:right w:val="none" w:sz="0" w:space="0" w:color="auto"/>
              </w:divBdr>
            </w:div>
            <w:div w:id="316570494">
              <w:marLeft w:val="0"/>
              <w:marRight w:val="0"/>
              <w:marTop w:val="0"/>
              <w:marBottom w:val="0"/>
              <w:divBdr>
                <w:top w:val="none" w:sz="0" w:space="0" w:color="auto"/>
                <w:left w:val="none" w:sz="0" w:space="0" w:color="auto"/>
                <w:bottom w:val="none" w:sz="0" w:space="0" w:color="auto"/>
                <w:right w:val="none" w:sz="0" w:space="0" w:color="auto"/>
              </w:divBdr>
            </w:div>
            <w:div w:id="813568758">
              <w:marLeft w:val="0"/>
              <w:marRight w:val="0"/>
              <w:marTop w:val="0"/>
              <w:marBottom w:val="0"/>
              <w:divBdr>
                <w:top w:val="none" w:sz="0" w:space="0" w:color="auto"/>
                <w:left w:val="none" w:sz="0" w:space="0" w:color="auto"/>
                <w:bottom w:val="none" w:sz="0" w:space="0" w:color="auto"/>
                <w:right w:val="none" w:sz="0" w:space="0" w:color="auto"/>
              </w:divBdr>
            </w:div>
            <w:div w:id="1839029724">
              <w:marLeft w:val="0"/>
              <w:marRight w:val="0"/>
              <w:marTop w:val="0"/>
              <w:marBottom w:val="0"/>
              <w:divBdr>
                <w:top w:val="none" w:sz="0" w:space="0" w:color="auto"/>
                <w:left w:val="none" w:sz="0" w:space="0" w:color="auto"/>
                <w:bottom w:val="none" w:sz="0" w:space="0" w:color="auto"/>
                <w:right w:val="none" w:sz="0" w:space="0" w:color="auto"/>
              </w:divBdr>
            </w:div>
            <w:div w:id="1912621708">
              <w:marLeft w:val="0"/>
              <w:marRight w:val="0"/>
              <w:marTop w:val="0"/>
              <w:marBottom w:val="0"/>
              <w:divBdr>
                <w:top w:val="none" w:sz="0" w:space="0" w:color="auto"/>
                <w:left w:val="none" w:sz="0" w:space="0" w:color="auto"/>
                <w:bottom w:val="none" w:sz="0" w:space="0" w:color="auto"/>
                <w:right w:val="none" w:sz="0" w:space="0" w:color="auto"/>
              </w:divBdr>
            </w:div>
            <w:div w:id="2075156255">
              <w:marLeft w:val="0"/>
              <w:marRight w:val="0"/>
              <w:marTop w:val="0"/>
              <w:marBottom w:val="0"/>
              <w:divBdr>
                <w:top w:val="none" w:sz="0" w:space="0" w:color="auto"/>
                <w:left w:val="none" w:sz="0" w:space="0" w:color="auto"/>
                <w:bottom w:val="none" w:sz="0" w:space="0" w:color="auto"/>
                <w:right w:val="none" w:sz="0" w:space="0" w:color="auto"/>
              </w:divBdr>
            </w:div>
            <w:div w:id="1409183503">
              <w:marLeft w:val="0"/>
              <w:marRight w:val="0"/>
              <w:marTop w:val="0"/>
              <w:marBottom w:val="0"/>
              <w:divBdr>
                <w:top w:val="none" w:sz="0" w:space="0" w:color="auto"/>
                <w:left w:val="none" w:sz="0" w:space="0" w:color="auto"/>
                <w:bottom w:val="none" w:sz="0" w:space="0" w:color="auto"/>
                <w:right w:val="none" w:sz="0" w:space="0" w:color="auto"/>
              </w:divBdr>
            </w:div>
            <w:div w:id="969288824">
              <w:marLeft w:val="0"/>
              <w:marRight w:val="0"/>
              <w:marTop w:val="0"/>
              <w:marBottom w:val="0"/>
              <w:divBdr>
                <w:top w:val="none" w:sz="0" w:space="0" w:color="auto"/>
                <w:left w:val="none" w:sz="0" w:space="0" w:color="auto"/>
                <w:bottom w:val="none" w:sz="0" w:space="0" w:color="auto"/>
                <w:right w:val="none" w:sz="0" w:space="0" w:color="auto"/>
              </w:divBdr>
            </w:div>
            <w:div w:id="379942305">
              <w:marLeft w:val="0"/>
              <w:marRight w:val="0"/>
              <w:marTop w:val="0"/>
              <w:marBottom w:val="0"/>
              <w:divBdr>
                <w:top w:val="none" w:sz="0" w:space="0" w:color="auto"/>
                <w:left w:val="none" w:sz="0" w:space="0" w:color="auto"/>
                <w:bottom w:val="none" w:sz="0" w:space="0" w:color="auto"/>
                <w:right w:val="none" w:sz="0" w:space="0" w:color="auto"/>
              </w:divBdr>
            </w:div>
            <w:div w:id="1344016464">
              <w:marLeft w:val="0"/>
              <w:marRight w:val="0"/>
              <w:marTop w:val="0"/>
              <w:marBottom w:val="0"/>
              <w:divBdr>
                <w:top w:val="none" w:sz="0" w:space="0" w:color="auto"/>
                <w:left w:val="none" w:sz="0" w:space="0" w:color="auto"/>
                <w:bottom w:val="none" w:sz="0" w:space="0" w:color="auto"/>
                <w:right w:val="none" w:sz="0" w:space="0" w:color="auto"/>
              </w:divBdr>
            </w:div>
            <w:div w:id="1555391369">
              <w:marLeft w:val="0"/>
              <w:marRight w:val="0"/>
              <w:marTop w:val="0"/>
              <w:marBottom w:val="0"/>
              <w:divBdr>
                <w:top w:val="none" w:sz="0" w:space="0" w:color="auto"/>
                <w:left w:val="none" w:sz="0" w:space="0" w:color="auto"/>
                <w:bottom w:val="none" w:sz="0" w:space="0" w:color="auto"/>
                <w:right w:val="none" w:sz="0" w:space="0" w:color="auto"/>
              </w:divBdr>
            </w:div>
            <w:div w:id="537355694">
              <w:marLeft w:val="0"/>
              <w:marRight w:val="0"/>
              <w:marTop w:val="0"/>
              <w:marBottom w:val="0"/>
              <w:divBdr>
                <w:top w:val="none" w:sz="0" w:space="0" w:color="auto"/>
                <w:left w:val="none" w:sz="0" w:space="0" w:color="auto"/>
                <w:bottom w:val="none" w:sz="0" w:space="0" w:color="auto"/>
                <w:right w:val="none" w:sz="0" w:space="0" w:color="auto"/>
              </w:divBdr>
            </w:div>
            <w:div w:id="2098600223">
              <w:marLeft w:val="0"/>
              <w:marRight w:val="0"/>
              <w:marTop w:val="0"/>
              <w:marBottom w:val="0"/>
              <w:divBdr>
                <w:top w:val="none" w:sz="0" w:space="0" w:color="auto"/>
                <w:left w:val="none" w:sz="0" w:space="0" w:color="auto"/>
                <w:bottom w:val="none" w:sz="0" w:space="0" w:color="auto"/>
                <w:right w:val="none" w:sz="0" w:space="0" w:color="auto"/>
              </w:divBdr>
            </w:div>
            <w:div w:id="933053582">
              <w:marLeft w:val="0"/>
              <w:marRight w:val="0"/>
              <w:marTop w:val="0"/>
              <w:marBottom w:val="0"/>
              <w:divBdr>
                <w:top w:val="none" w:sz="0" w:space="0" w:color="auto"/>
                <w:left w:val="none" w:sz="0" w:space="0" w:color="auto"/>
                <w:bottom w:val="none" w:sz="0" w:space="0" w:color="auto"/>
                <w:right w:val="none" w:sz="0" w:space="0" w:color="auto"/>
              </w:divBdr>
            </w:div>
            <w:div w:id="430904707">
              <w:marLeft w:val="0"/>
              <w:marRight w:val="0"/>
              <w:marTop w:val="0"/>
              <w:marBottom w:val="0"/>
              <w:divBdr>
                <w:top w:val="none" w:sz="0" w:space="0" w:color="auto"/>
                <w:left w:val="none" w:sz="0" w:space="0" w:color="auto"/>
                <w:bottom w:val="none" w:sz="0" w:space="0" w:color="auto"/>
                <w:right w:val="none" w:sz="0" w:space="0" w:color="auto"/>
              </w:divBdr>
            </w:div>
            <w:div w:id="1321278092">
              <w:marLeft w:val="0"/>
              <w:marRight w:val="0"/>
              <w:marTop w:val="0"/>
              <w:marBottom w:val="0"/>
              <w:divBdr>
                <w:top w:val="none" w:sz="0" w:space="0" w:color="auto"/>
                <w:left w:val="none" w:sz="0" w:space="0" w:color="auto"/>
                <w:bottom w:val="none" w:sz="0" w:space="0" w:color="auto"/>
                <w:right w:val="none" w:sz="0" w:space="0" w:color="auto"/>
              </w:divBdr>
            </w:div>
            <w:div w:id="2035187183">
              <w:marLeft w:val="0"/>
              <w:marRight w:val="0"/>
              <w:marTop w:val="0"/>
              <w:marBottom w:val="0"/>
              <w:divBdr>
                <w:top w:val="none" w:sz="0" w:space="0" w:color="auto"/>
                <w:left w:val="none" w:sz="0" w:space="0" w:color="auto"/>
                <w:bottom w:val="none" w:sz="0" w:space="0" w:color="auto"/>
                <w:right w:val="none" w:sz="0" w:space="0" w:color="auto"/>
              </w:divBdr>
            </w:div>
            <w:div w:id="1482038929">
              <w:marLeft w:val="0"/>
              <w:marRight w:val="0"/>
              <w:marTop w:val="0"/>
              <w:marBottom w:val="0"/>
              <w:divBdr>
                <w:top w:val="none" w:sz="0" w:space="0" w:color="auto"/>
                <w:left w:val="none" w:sz="0" w:space="0" w:color="auto"/>
                <w:bottom w:val="none" w:sz="0" w:space="0" w:color="auto"/>
                <w:right w:val="none" w:sz="0" w:space="0" w:color="auto"/>
              </w:divBdr>
            </w:div>
            <w:div w:id="1046612348">
              <w:marLeft w:val="0"/>
              <w:marRight w:val="0"/>
              <w:marTop w:val="0"/>
              <w:marBottom w:val="0"/>
              <w:divBdr>
                <w:top w:val="none" w:sz="0" w:space="0" w:color="auto"/>
                <w:left w:val="none" w:sz="0" w:space="0" w:color="auto"/>
                <w:bottom w:val="none" w:sz="0" w:space="0" w:color="auto"/>
                <w:right w:val="none" w:sz="0" w:space="0" w:color="auto"/>
              </w:divBdr>
            </w:div>
            <w:div w:id="1967159876">
              <w:marLeft w:val="0"/>
              <w:marRight w:val="0"/>
              <w:marTop w:val="0"/>
              <w:marBottom w:val="0"/>
              <w:divBdr>
                <w:top w:val="none" w:sz="0" w:space="0" w:color="auto"/>
                <w:left w:val="none" w:sz="0" w:space="0" w:color="auto"/>
                <w:bottom w:val="none" w:sz="0" w:space="0" w:color="auto"/>
                <w:right w:val="none" w:sz="0" w:space="0" w:color="auto"/>
              </w:divBdr>
            </w:div>
            <w:div w:id="808865242">
              <w:marLeft w:val="0"/>
              <w:marRight w:val="0"/>
              <w:marTop w:val="0"/>
              <w:marBottom w:val="0"/>
              <w:divBdr>
                <w:top w:val="none" w:sz="0" w:space="0" w:color="auto"/>
                <w:left w:val="none" w:sz="0" w:space="0" w:color="auto"/>
                <w:bottom w:val="none" w:sz="0" w:space="0" w:color="auto"/>
                <w:right w:val="none" w:sz="0" w:space="0" w:color="auto"/>
              </w:divBdr>
            </w:div>
            <w:div w:id="1281448188">
              <w:marLeft w:val="0"/>
              <w:marRight w:val="0"/>
              <w:marTop w:val="0"/>
              <w:marBottom w:val="0"/>
              <w:divBdr>
                <w:top w:val="none" w:sz="0" w:space="0" w:color="auto"/>
                <w:left w:val="none" w:sz="0" w:space="0" w:color="auto"/>
                <w:bottom w:val="none" w:sz="0" w:space="0" w:color="auto"/>
                <w:right w:val="none" w:sz="0" w:space="0" w:color="auto"/>
              </w:divBdr>
            </w:div>
            <w:div w:id="1343781368">
              <w:marLeft w:val="0"/>
              <w:marRight w:val="0"/>
              <w:marTop w:val="0"/>
              <w:marBottom w:val="0"/>
              <w:divBdr>
                <w:top w:val="none" w:sz="0" w:space="0" w:color="auto"/>
                <w:left w:val="none" w:sz="0" w:space="0" w:color="auto"/>
                <w:bottom w:val="none" w:sz="0" w:space="0" w:color="auto"/>
                <w:right w:val="none" w:sz="0" w:space="0" w:color="auto"/>
              </w:divBdr>
            </w:div>
            <w:div w:id="1510634180">
              <w:marLeft w:val="0"/>
              <w:marRight w:val="0"/>
              <w:marTop w:val="0"/>
              <w:marBottom w:val="0"/>
              <w:divBdr>
                <w:top w:val="none" w:sz="0" w:space="0" w:color="auto"/>
                <w:left w:val="none" w:sz="0" w:space="0" w:color="auto"/>
                <w:bottom w:val="none" w:sz="0" w:space="0" w:color="auto"/>
                <w:right w:val="none" w:sz="0" w:space="0" w:color="auto"/>
              </w:divBdr>
            </w:div>
            <w:div w:id="31806665">
              <w:marLeft w:val="0"/>
              <w:marRight w:val="0"/>
              <w:marTop w:val="0"/>
              <w:marBottom w:val="0"/>
              <w:divBdr>
                <w:top w:val="none" w:sz="0" w:space="0" w:color="auto"/>
                <w:left w:val="none" w:sz="0" w:space="0" w:color="auto"/>
                <w:bottom w:val="none" w:sz="0" w:space="0" w:color="auto"/>
                <w:right w:val="none" w:sz="0" w:space="0" w:color="auto"/>
              </w:divBdr>
            </w:div>
            <w:div w:id="1437821752">
              <w:marLeft w:val="0"/>
              <w:marRight w:val="0"/>
              <w:marTop w:val="0"/>
              <w:marBottom w:val="0"/>
              <w:divBdr>
                <w:top w:val="none" w:sz="0" w:space="0" w:color="auto"/>
                <w:left w:val="none" w:sz="0" w:space="0" w:color="auto"/>
                <w:bottom w:val="none" w:sz="0" w:space="0" w:color="auto"/>
                <w:right w:val="none" w:sz="0" w:space="0" w:color="auto"/>
              </w:divBdr>
            </w:div>
            <w:div w:id="1593932221">
              <w:marLeft w:val="0"/>
              <w:marRight w:val="0"/>
              <w:marTop w:val="0"/>
              <w:marBottom w:val="0"/>
              <w:divBdr>
                <w:top w:val="none" w:sz="0" w:space="0" w:color="auto"/>
                <w:left w:val="none" w:sz="0" w:space="0" w:color="auto"/>
                <w:bottom w:val="none" w:sz="0" w:space="0" w:color="auto"/>
                <w:right w:val="none" w:sz="0" w:space="0" w:color="auto"/>
              </w:divBdr>
            </w:div>
            <w:div w:id="1629512165">
              <w:marLeft w:val="0"/>
              <w:marRight w:val="0"/>
              <w:marTop w:val="0"/>
              <w:marBottom w:val="0"/>
              <w:divBdr>
                <w:top w:val="none" w:sz="0" w:space="0" w:color="auto"/>
                <w:left w:val="none" w:sz="0" w:space="0" w:color="auto"/>
                <w:bottom w:val="none" w:sz="0" w:space="0" w:color="auto"/>
                <w:right w:val="none" w:sz="0" w:space="0" w:color="auto"/>
              </w:divBdr>
            </w:div>
            <w:div w:id="1137647144">
              <w:marLeft w:val="0"/>
              <w:marRight w:val="0"/>
              <w:marTop w:val="0"/>
              <w:marBottom w:val="0"/>
              <w:divBdr>
                <w:top w:val="none" w:sz="0" w:space="0" w:color="auto"/>
                <w:left w:val="none" w:sz="0" w:space="0" w:color="auto"/>
                <w:bottom w:val="none" w:sz="0" w:space="0" w:color="auto"/>
                <w:right w:val="none" w:sz="0" w:space="0" w:color="auto"/>
              </w:divBdr>
            </w:div>
            <w:div w:id="1653482293">
              <w:marLeft w:val="0"/>
              <w:marRight w:val="0"/>
              <w:marTop w:val="0"/>
              <w:marBottom w:val="0"/>
              <w:divBdr>
                <w:top w:val="none" w:sz="0" w:space="0" w:color="auto"/>
                <w:left w:val="none" w:sz="0" w:space="0" w:color="auto"/>
                <w:bottom w:val="none" w:sz="0" w:space="0" w:color="auto"/>
                <w:right w:val="none" w:sz="0" w:space="0" w:color="auto"/>
              </w:divBdr>
            </w:div>
            <w:div w:id="726149442">
              <w:marLeft w:val="0"/>
              <w:marRight w:val="0"/>
              <w:marTop w:val="0"/>
              <w:marBottom w:val="0"/>
              <w:divBdr>
                <w:top w:val="none" w:sz="0" w:space="0" w:color="auto"/>
                <w:left w:val="none" w:sz="0" w:space="0" w:color="auto"/>
                <w:bottom w:val="none" w:sz="0" w:space="0" w:color="auto"/>
                <w:right w:val="none" w:sz="0" w:space="0" w:color="auto"/>
              </w:divBdr>
            </w:div>
            <w:div w:id="1801730099">
              <w:marLeft w:val="0"/>
              <w:marRight w:val="0"/>
              <w:marTop w:val="0"/>
              <w:marBottom w:val="0"/>
              <w:divBdr>
                <w:top w:val="none" w:sz="0" w:space="0" w:color="auto"/>
                <w:left w:val="none" w:sz="0" w:space="0" w:color="auto"/>
                <w:bottom w:val="none" w:sz="0" w:space="0" w:color="auto"/>
                <w:right w:val="none" w:sz="0" w:space="0" w:color="auto"/>
              </w:divBdr>
            </w:div>
            <w:div w:id="572811315">
              <w:marLeft w:val="0"/>
              <w:marRight w:val="0"/>
              <w:marTop w:val="0"/>
              <w:marBottom w:val="0"/>
              <w:divBdr>
                <w:top w:val="none" w:sz="0" w:space="0" w:color="auto"/>
                <w:left w:val="none" w:sz="0" w:space="0" w:color="auto"/>
                <w:bottom w:val="none" w:sz="0" w:space="0" w:color="auto"/>
                <w:right w:val="none" w:sz="0" w:space="0" w:color="auto"/>
              </w:divBdr>
            </w:div>
            <w:div w:id="538011614">
              <w:marLeft w:val="0"/>
              <w:marRight w:val="0"/>
              <w:marTop w:val="0"/>
              <w:marBottom w:val="0"/>
              <w:divBdr>
                <w:top w:val="none" w:sz="0" w:space="0" w:color="auto"/>
                <w:left w:val="none" w:sz="0" w:space="0" w:color="auto"/>
                <w:bottom w:val="none" w:sz="0" w:space="0" w:color="auto"/>
                <w:right w:val="none" w:sz="0" w:space="0" w:color="auto"/>
              </w:divBdr>
            </w:div>
            <w:div w:id="1497502703">
              <w:marLeft w:val="0"/>
              <w:marRight w:val="0"/>
              <w:marTop w:val="0"/>
              <w:marBottom w:val="0"/>
              <w:divBdr>
                <w:top w:val="none" w:sz="0" w:space="0" w:color="auto"/>
                <w:left w:val="none" w:sz="0" w:space="0" w:color="auto"/>
                <w:bottom w:val="none" w:sz="0" w:space="0" w:color="auto"/>
                <w:right w:val="none" w:sz="0" w:space="0" w:color="auto"/>
              </w:divBdr>
            </w:div>
            <w:div w:id="877620220">
              <w:marLeft w:val="0"/>
              <w:marRight w:val="0"/>
              <w:marTop w:val="0"/>
              <w:marBottom w:val="0"/>
              <w:divBdr>
                <w:top w:val="none" w:sz="0" w:space="0" w:color="auto"/>
                <w:left w:val="none" w:sz="0" w:space="0" w:color="auto"/>
                <w:bottom w:val="none" w:sz="0" w:space="0" w:color="auto"/>
                <w:right w:val="none" w:sz="0" w:space="0" w:color="auto"/>
              </w:divBdr>
            </w:div>
            <w:div w:id="1371802695">
              <w:marLeft w:val="0"/>
              <w:marRight w:val="0"/>
              <w:marTop w:val="0"/>
              <w:marBottom w:val="0"/>
              <w:divBdr>
                <w:top w:val="none" w:sz="0" w:space="0" w:color="auto"/>
                <w:left w:val="none" w:sz="0" w:space="0" w:color="auto"/>
                <w:bottom w:val="none" w:sz="0" w:space="0" w:color="auto"/>
                <w:right w:val="none" w:sz="0" w:space="0" w:color="auto"/>
              </w:divBdr>
            </w:div>
            <w:div w:id="53705408">
              <w:marLeft w:val="0"/>
              <w:marRight w:val="0"/>
              <w:marTop w:val="0"/>
              <w:marBottom w:val="0"/>
              <w:divBdr>
                <w:top w:val="none" w:sz="0" w:space="0" w:color="auto"/>
                <w:left w:val="none" w:sz="0" w:space="0" w:color="auto"/>
                <w:bottom w:val="none" w:sz="0" w:space="0" w:color="auto"/>
                <w:right w:val="none" w:sz="0" w:space="0" w:color="auto"/>
              </w:divBdr>
            </w:div>
            <w:div w:id="1051810705">
              <w:marLeft w:val="0"/>
              <w:marRight w:val="0"/>
              <w:marTop w:val="0"/>
              <w:marBottom w:val="0"/>
              <w:divBdr>
                <w:top w:val="none" w:sz="0" w:space="0" w:color="auto"/>
                <w:left w:val="none" w:sz="0" w:space="0" w:color="auto"/>
                <w:bottom w:val="none" w:sz="0" w:space="0" w:color="auto"/>
                <w:right w:val="none" w:sz="0" w:space="0" w:color="auto"/>
              </w:divBdr>
            </w:div>
            <w:div w:id="1721056376">
              <w:marLeft w:val="0"/>
              <w:marRight w:val="0"/>
              <w:marTop w:val="0"/>
              <w:marBottom w:val="0"/>
              <w:divBdr>
                <w:top w:val="none" w:sz="0" w:space="0" w:color="auto"/>
                <w:left w:val="none" w:sz="0" w:space="0" w:color="auto"/>
                <w:bottom w:val="none" w:sz="0" w:space="0" w:color="auto"/>
                <w:right w:val="none" w:sz="0" w:space="0" w:color="auto"/>
              </w:divBdr>
            </w:div>
            <w:div w:id="1682391394">
              <w:marLeft w:val="0"/>
              <w:marRight w:val="0"/>
              <w:marTop w:val="0"/>
              <w:marBottom w:val="0"/>
              <w:divBdr>
                <w:top w:val="none" w:sz="0" w:space="0" w:color="auto"/>
                <w:left w:val="none" w:sz="0" w:space="0" w:color="auto"/>
                <w:bottom w:val="none" w:sz="0" w:space="0" w:color="auto"/>
                <w:right w:val="none" w:sz="0" w:space="0" w:color="auto"/>
              </w:divBdr>
            </w:div>
            <w:div w:id="1692607145">
              <w:marLeft w:val="0"/>
              <w:marRight w:val="0"/>
              <w:marTop w:val="0"/>
              <w:marBottom w:val="0"/>
              <w:divBdr>
                <w:top w:val="none" w:sz="0" w:space="0" w:color="auto"/>
                <w:left w:val="none" w:sz="0" w:space="0" w:color="auto"/>
                <w:bottom w:val="none" w:sz="0" w:space="0" w:color="auto"/>
                <w:right w:val="none" w:sz="0" w:space="0" w:color="auto"/>
              </w:divBdr>
            </w:div>
            <w:div w:id="1293558861">
              <w:marLeft w:val="0"/>
              <w:marRight w:val="0"/>
              <w:marTop w:val="0"/>
              <w:marBottom w:val="0"/>
              <w:divBdr>
                <w:top w:val="none" w:sz="0" w:space="0" w:color="auto"/>
                <w:left w:val="none" w:sz="0" w:space="0" w:color="auto"/>
                <w:bottom w:val="none" w:sz="0" w:space="0" w:color="auto"/>
                <w:right w:val="none" w:sz="0" w:space="0" w:color="auto"/>
              </w:divBdr>
            </w:div>
            <w:div w:id="747926390">
              <w:marLeft w:val="0"/>
              <w:marRight w:val="0"/>
              <w:marTop w:val="0"/>
              <w:marBottom w:val="0"/>
              <w:divBdr>
                <w:top w:val="none" w:sz="0" w:space="0" w:color="auto"/>
                <w:left w:val="none" w:sz="0" w:space="0" w:color="auto"/>
                <w:bottom w:val="none" w:sz="0" w:space="0" w:color="auto"/>
                <w:right w:val="none" w:sz="0" w:space="0" w:color="auto"/>
              </w:divBdr>
            </w:div>
            <w:div w:id="708797814">
              <w:marLeft w:val="0"/>
              <w:marRight w:val="0"/>
              <w:marTop w:val="0"/>
              <w:marBottom w:val="0"/>
              <w:divBdr>
                <w:top w:val="none" w:sz="0" w:space="0" w:color="auto"/>
                <w:left w:val="none" w:sz="0" w:space="0" w:color="auto"/>
                <w:bottom w:val="none" w:sz="0" w:space="0" w:color="auto"/>
                <w:right w:val="none" w:sz="0" w:space="0" w:color="auto"/>
              </w:divBdr>
            </w:div>
            <w:div w:id="2111004085">
              <w:marLeft w:val="0"/>
              <w:marRight w:val="0"/>
              <w:marTop w:val="0"/>
              <w:marBottom w:val="0"/>
              <w:divBdr>
                <w:top w:val="none" w:sz="0" w:space="0" w:color="auto"/>
                <w:left w:val="none" w:sz="0" w:space="0" w:color="auto"/>
                <w:bottom w:val="none" w:sz="0" w:space="0" w:color="auto"/>
                <w:right w:val="none" w:sz="0" w:space="0" w:color="auto"/>
              </w:divBdr>
            </w:div>
            <w:div w:id="348720883">
              <w:marLeft w:val="0"/>
              <w:marRight w:val="0"/>
              <w:marTop w:val="0"/>
              <w:marBottom w:val="0"/>
              <w:divBdr>
                <w:top w:val="none" w:sz="0" w:space="0" w:color="auto"/>
                <w:left w:val="none" w:sz="0" w:space="0" w:color="auto"/>
                <w:bottom w:val="none" w:sz="0" w:space="0" w:color="auto"/>
                <w:right w:val="none" w:sz="0" w:space="0" w:color="auto"/>
              </w:divBdr>
            </w:div>
            <w:div w:id="2092240224">
              <w:marLeft w:val="0"/>
              <w:marRight w:val="0"/>
              <w:marTop w:val="0"/>
              <w:marBottom w:val="0"/>
              <w:divBdr>
                <w:top w:val="none" w:sz="0" w:space="0" w:color="auto"/>
                <w:left w:val="none" w:sz="0" w:space="0" w:color="auto"/>
                <w:bottom w:val="none" w:sz="0" w:space="0" w:color="auto"/>
                <w:right w:val="none" w:sz="0" w:space="0" w:color="auto"/>
              </w:divBdr>
            </w:div>
            <w:div w:id="609439461">
              <w:marLeft w:val="0"/>
              <w:marRight w:val="0"/>
              <w:marTop w:val="0"/>
              <w:marBottom w:val="0"/>
              <w:divBdr>
                <w:top w:val="none" w:sz="0" w:space="0" w:color="auto"/>
                <w:left w:val="none" w:sz="0" w:space="0" w:color="auto"/>
                <w:bottom w:val="none" w:sz="0" w:space="0" w:color="auto"/>
                <w:right w:val="none" w:sz="0" w:space="0" w:color="auto"/>
              </w:divBdr>
            </w:div>
            <w:div w:id="1373119550">
              <w:marLeft w:val="0"/>
              <w:marRight w:val="0"/>
              <w:marTop w:val="0"/>
              <w:marBottom w:val="0"/>
              <w:divBdr>
                <w:top w:val="none" w:sz="0" w:space="0" w:color="auto"/>
                <w:left w:val="none" w:sz="0" w:space="0" w:color="auto"/>
                <w:bottom w:val="none" w:sz="0" w:space="0" w:color="auto"/>
                <w:right w:val="none" w:sz="0" w:space="0" w:color="auto"/>
              </w:divBdr>
            </w:div>
            <w:div w:id="1853378850">
              <w:marLeft w:val="0"/>
              <w:marRight w:val="0"/>
              <w:marTop w:val="0"/>
              <w:marBottom w:val="0"/>
              <w:divBdr>
                <w:top w:val="none" w:sz="0" w:space="0" w:color="auto"/>
                <w:left w:val="none" w:sz="0" w:space="0" w:color="auto"/>
                <w:bottom w:val="none" w:sz="0" w:space="0" w:color="auto"/>
                <w:right w:val="none" w:sz="0" w:space="0" w:color="auto"/>
              </w:divBdr>
            </w:div>
            <w:div w:id="406002998">
              <w:marLeft w:val="0"/>
              <w:marRight w:val="0"/>
              <w:marTop w:val="0"/>
              <w:marBottom w:val="0"/>
              <w:divBdr>
                <w:top w:val="none" w:sz="0" w:space="0" w:color="auto"/>
                <w:left w:val="none" w:sz="0" w:space="0" w:color="auto"/>
                <w:bottom w:val="none" w:sz="0" w:space="0" w:color="auto"/>
                <w:right w:val="none" w:sz="0" w:space="0" w:color="auto"/>
              </w:divBdr>
            </w:div>
            <w:div w:id="685639708">
              <w:marLeft w:val="0"/>
              <w:marRight w:val="0"/>
              <w:marTop w:val="0"/>
              <w:marBottom w:val="0"/>
              <w:divBdr>
                <w:top w:val="none" w:sz="0" w:space="0" w:color="auto"/>
                <w:left w:val="none" w:sz="0" w:space="0" w:color="auto"/>
                <w:bottom w:val="none" w:sz="0" w:space="0" w:color="auto"/>
                <w:right w:val="none" w:sz="0" w:space="0" w:color="auto"/>
              </w:divBdr>
            </w:div>
            <w:div w:id="326715243">
              <w:marLeft w:val="0"/>
              <w:marRight w:val="0"/>
              <w:marTop w:val="0"/>
              <w:marBottom w:val="0"/>
              <w:divBdr>
                <w:top w:val="none" w:sz="0" w:space="0" w:color="auto"/>
                <w:left w:val="none" w:sz="0" w:space="0" w:color="auto"/>
                <w:bottom w:val="none" w:sz="0" w:space="0" w:color="auto"/>
                <w:right w:val="none" w:sz="0" w:space="0" w:color="auto"/>
              </w:divBdr>
            </w:div>
            <w:div w:id="1937668336">
              <w:marLeft w:val="0"/>
              <w:marRight w:val="0"/>
              <w:marTop w:val="0"/>
              <w:marBottom w:val="0"/>
              <w:divBdr>
                <w:top w:val="none" w:sz="0" w:space="0" w:color="auto"/>
                <w:left w:val="none" w:sz="0" w:space="0" w:color="auto"/>
                <w:bottom w:val="none" w:sz="0" w:space="0" w:color="auto"/>
                <w:right w:val="none" w:sz="0" w:space="0" w:color="auto"/>
              </w:divBdr>
            </w:div>
            <w:div w:id="7464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7997">
      <w:bodyDiv w:val="1"/>
      <w:marLeft w:val="0"/>
      <w:marRight w:val="0"/>
      <w:marTop w:val="0"/>
      <w:marBottom w:val="0"/>
      <w:divBdr>
        <w:top w:val="none" w:sz="0" w:space="0" w:color="auto"/>
        <w:left w:val="none" w:sz="0" w:space="0" w:color="auto"/>
        <w:bottom w:val="none" w:sz="0" w:space="0" w:color="auto"/>
        <w:right w:val="none" w:sz="0" w:space="0" w:color="auto"/>
      </w:divBdr>
      <w:divsChild>
        <w:div w:id="337274879">
          <w:marLeft w:val="0"/>
          <w:marRight w:val="0"/>
          <w:marTop w:val="0"/>
          <w:marBottom w:val="0"/>
          <w:divBdr>
            <w:top w:val="none" w:sz="0" w:space="0" w:color="auto"/>
            <w:left w:val="none" w:sz="0" w:space="0" w:color="auto"/>
            <w:bottom w:val="none" w:sz="0" w:space="0" w:color="auto"/>
            <w:right w:val="none" w:sz="0" w:space="0" w:color="auto"/>
          </w:divBdr>
        </w:div>
        <w:div w:id="1494293871">
          <w:marLeft w:val="0"/>
          <w:marRight w:val="0"/>
          <w:marTop w:val="0"/>
          <w:marBottom w:val="0"/>
          <w:divBdr>
            <w:top w:val="none" w:sz="0" w:space="0" w:color="auto"/>
            <w:left w:val="none" w:sz="0" w:space="0" w:color="auto"/>
            <w:bottom w:val="none" w:sz="0" w:space="0" w:color="auto"/>
            <w:right w:val="none" w:sz="0" w:space="0" w:color="auto"/>
          </w:divBdr>
        </w:div>
        <w:div w:id="706301674">
          <w:marLeft w:val="0"/>
          <w:marRight w:val="0"/>
          <w:marTop w:val="0"/>
          <w:marBottom w:val="0"/>
          <w:divBdr>
            <w:top w:val="none" w:sz="0" w:space="0" w:color="auto"/>
            <w:left w:val="none" w:sz="0" w:space="0" w:color="auto"/>
            <w:bottom w:val="none" w:sz="0" w:space="0" w:color="auto"/>
            <w:right w:val="none" w:sz="0" w:space="0" w:color="auto"/>
          </w:divBdr>
        </w:div>
      </w:divsChild>
    </w:div>
    <w:div w:id="136532292">
      <w:bodyDiv w:val="1"/>
      <w:marLeft w:val="0"/>
      <w:marRight w:val="0"/>
      <w:marTop w:val="0"/>
      <w:marBottom w:val="0"/>
      <w:divBdr>
        <w:top w:val="none" w:sz="0" w:space="0" w:color="auto"/>
        <w:left w:val="none" w:sz="0" w:space="0" w:color="auto"/>
        <w:bottom w:val="none" w:sz="0" w:space="0" w:color="auto"/>
        <w:right w:val="none" w:sz="0" w:space="0" w:color="auto"/>
      </w:divBdr>
      <w:divsChild>
        <w:div w:id="91047137">
          <w:marLeft w:val="0"/>
          <w:marRight w:val="0"/>
          <w:marTop w:val="0"/>
          <w:marBottom w:val="0"/>
          <w:divBdr>
            <w:top w:val="none" w:sz="0" w:space="0" w:color="auto"/>
            <w:left w:val="none" w:sz="0" w:space="0" w:color="auto"/>
            <w:bottom w:val="none" w:sz="0" w:space="0" w:color="auto"/>
            <w:right w:val="none" w:sz="0" w:space="0" w:color="auto"/>
          </w:divBdr>
        </w:div>
      </w:divsChild>
    </w:div>
    <w:div w:id="171647901">
      <w:bodyDiv w:val="1"/>
      <w:marLeft w:val="0"/>
      <w:marRight w:val="0"/>
      <w:marTop w:val="0"/>
      <w:marBottom w:val="0"/>
      <w:divBdr>
        <w:top w:val="none" w:sz="0" w:space="0" w:color="auto"/>
        <w:left w:val="none" w:sz="0" w:space="0" w:color="auto"/>
        <w:bottom w:val="none" w:sz="0" w:space="0" w:color="auto"/>
        <w:right w:val="none" w:sz="0" w:space="0" w:color="auto"/>
      </w:divBdr>
      <w:divsChild>
        <w:div w:id="201094052">
          <w:marLeft w:val="0"/>
          <w:marRight w:val="0"/>
          <w:marTop w:val="0"/>
          <w:marBottom w:val="0"/>
          <w:divBdr>
            <w:top w:val="none" w:sz="0" w:space="0" w:color="auto"/>
            <w:left w:val="none" w:sz="0" w:space="0" w:color="auto"/>
            <w:bottom w:val="none" w:sz="0" w:space="0" w:color="auto"/>
            <w:right w:val="none" w:sz="0" w:space="0" w:color="auto"/>
          </w:divBdr>
          <w:divsChild>
            <w:div w:id="1336497687">
              <w:marLeft w:val="0"/>
              <w:marRight w:val="0"/>
              <w:marTop w:val="0"/>
              <w:marBottom w:val="0"/>
              <w:divBdr>
                <w:top w:val="none" w:sz="0" w:space="0" w:color="auto"/>
                <w:left w:val="none" w:sz="0" w:space="0" w:color="auto"/>
                <w:bottom w:val="none" w:sz="0" w:space="0" w:color="auto"/>
                <w:right w:val="none" w:sz="0" w:space="0" w:color="auto"/>
              </w:divBdr>
            </w:div>
            <w:div w:id="1124883246">
              <w:marLeft w:val="0"/>
              <w:marRight w:val="0"/>
              <w:marTop w:val="0"/>
              <w:marBottom w:val="0"/>
              <w:divBdr>
                <w:top w:val="none" w:sz="0" w:space="0" w:color="auto"/>
                <w:left w:val="none" w:sz="0" w:space="0" w:color="auto"/>
                <w:bottom w:val="none" w:sz="0" w:space="0" w:color="auto"/>
                <w:right w:val="none" w:sz="0" w:space="0" w:color="auto"/>
              </w:divBdr>
            </w:div>
            <w:div w:id="616714637">
              <w:marLeft w:val="0"/>
              <w:marRight w:val="0"/>
              <w:marTop w:val="0"/>
              <w:marBottom w:val="0"/>
              <w:divBdr>
                <w:top w:val="none" w:sz="0" w:space="0" w:color="auto"/>
                <w:left w:val="none" w:sz="0" w:space="0" w:color="auto"/>
                <w:bottom w:val="none" w:sz="0" w:space="0" w:color="auto"/>
                <w:right w:val="none" w:sz="0" w:space="0" w:color="auto"/>
              </w:divBdr>
            </w:div>
            <w:div w:id="812986518">
              <w:marLeft w:val="0"/>
              <w:marRight w:val="0"/>
              <w:marTop w:val="0"/>
              <w:marBottom w:val="0"/>
              <w:divBdr>
                <w:top w:val="none" w:sz="0" w:space="0" w:color="auto"/>
                <w:left w:val="none" w:sz="0" w:space="0" w:color="auto"/>
                <w:bottom w:val="none" w:sz="0" w:space="0" w:color="auto"/>
                <w:right w:val="none" w:sz="0" w:space="0" w:color="auto"/>
              </w:divBdr>
            </w:div>
            <w:div w:id="303005555">
              <w:marLeft w:val="0"/>
              <w:marRight w:val="0"/>
              <w:marTop w:val="0"/>
              <w:marBottom w:val="0"/>
              <w:divBdr>
                <w:top w:val="none" w:sz="0" w:space="0" w:color="auto"/>
                <w:left w:val="none" w:sz="0" w:space="0" w:color="auto"/>
                <w:bottom w:val="none" w:sz="0" w:space="0" w:color="auto"/>
                <w:right w:val="none" w:sz="0" w:space="0" w:color="auto"/>
              </w:divBdr>
            </w:div>
            <w:div w:id="16394954">
              <w:marLeft w:val="0"/>
              <w:marRight w:val="0"/>
              <w:marTop w:val="0"/>
              <w:marBottom w:val="0"/>
              <w:divBdr>
                <w:top w:val="none" w:sz="0" w:space="0" w:color="auto"/>
                <w:left w:val="none" w:sz="0" w:space="0" w:color="auto"/>
                <w:bottom w:val="none" w:sz="0" w:space="0" w:color="auto"/>
                <w:right w:val="none" w:sz="0" w:space="0" w:color="auto"/>
              </w:divBdr>
            </w:div>
            <w:div w:id="285507361">
              <w:marLeft w:val="0"/>
              <w:marRight w:val="0"/>
              <w:marTop w:val="0"/>
              <w:marBottom w:val="0"/>
              <w:divBdr>
                <w:top w:val="none" w:sz="0" w:space="0" w:color="auto"/>
                <w:left w:val="none" w:sz="0" w:space="0" w:color="auto"/>
                <w:bottom w:val="none" w:sz="0" w:space="0" w:color="auto"/>
                <w:right w:val="none" w:sz="0" w:space="0" w:color="auto"/>
              </w:divBdr>
            </w:div>
            <w:div w:id="1232618797">
              <w:marLeft w:val="0"/>
              <w:marRight w:val="0"/>
              <w:marTop w:val="0"/>
              <w:marBottom w:val="0"/>
              <w:divBdr>
                <w:top w:val="none" w:sz="0" w:space="0" w:color="auto"/>
                <w:left w:val="none" w:sz="0" w:space="0" w:color="auto"/>
                <w:bottom w:val="none" w:sz="0" w:space="0" w:color="auto"/>
                <w:right w:val="none" w:sz="0" w:space="0" w:color="auto"/>
              </w:divBdr>
            </w:div>
            <w:div w:id="2076197290">
              <w:marLeft w:val="0"/>
              <w:marRight w:val="0"/>
              <w:marTop w:val="0"/>
              <w:marBottom w:val="0"/>
              <w:divBdr>
                <w:top w:val="none" w:sz="0" w:space="0" w:color="auto"/>
                <w:left w:val="none" w:sz="0" w:space="0" w:color="auto"/>
                <w:bottom w:val="none" w:sz="0" w:space="0" w:color="auto"/>
                <w:right w:val="none" w:sz="0" w:space="0" w:color="auto"/>
              </w:divBdr>
            </w:div>
            <w:div w:id="1075855150">
              <w:marLeft w:val="0"/>
              <w:marRight w:val="0"/>
              <w:marTop w:val="0"/>
              <w:marBottom w:val="0"/>
              <w:divBdr>
                <w:top w:val="none" w:sz="0" w:space="0" w:color="auto"/>
                <w:left w:val="none" w:sz="0" w:space="0" w:color="auto"/>
                <w:bottom w:val="none" w:sz="0" w:space="0" w:color="auto"/>
                <w:right w:val="none" w:sz="0" w:space="0" w:color="auto"/>
              </w:divBdr>
            </w:div>
            <w:div w:id="1809781129">
              <w:marLeft w:val="0"/>
              <w:marRight w:val="0"/>
              <w:marTop w:val="0"/>
              <w:marBottom w:val="0"/>
              <w:divBdr>
                <w:top w:val="none" w:sz="0" w:space="0" w:color="auto"/>
                <w:left w:val="none" w:sz="0" w:space="0" w:color="auto"/>
                <w:bottom w:val="none" w:sz="0" w:space="0" w:color="auto"/>
                <w:right w:val="none" w:sz="0" w:space="0" w:color="auto"/>
              </w:divBdr>
            </w:div>
            <w:div w:id="1236745887">
              <w:marLeft w:val="0"/>
              <w:marRight w:val="0"/>
              <w:marTop w:val="0"/>
              <w:marBottom w:val="0"/>
              <w:divBdr>
                <w:top w:val="none" w:sz="0" w:space="0" w:color="auto"/>
                <w:left w:val="none" w:sz="0" w:space="0" w:color="auto"/>
                <w:bottom w:val="none" w:sz="0" w:space="0" w:color="auto"/>
                <w:right w:val="none" w:sz="0" w:space="0" w:color="auto"/>
              </w:divBdr>
            </w:div>
            <w:div w:id="2017613343">
              <w:marLeft w:val="0"/>
              <w:marRight w:val="0"/>
              <w:marTop w:val="0"/>
              <w:marBottom w:val="0"/>
              <w:divBdr>
                <w:top w:val="none" w:sz="0" w:space="0" w:color="auto"/>
                <w:left w:val="none" w:sz="0" w:space="0" w:color="auto"/>
                <w:bottom w:val="none" w:sz="0" w:space="0" w:color="auto"/>
                <w:right w:val="none" w:sz="0" w:space="0" w:color="auto"/>
              </w:divBdr>
            </w:div>
            <w:div w:id="98064593">
              <w:marLeft w:val="0"/>
              <w:marRight w:val="0"/>
              <w:marTop w:val="0"/>
              <w:marBottom w:val="0"/>
              <w:divBdr>
                <w:top w:val="none" w:sz="0" w:space="0" w:color="auto"/>
                <w:left w:val="none" w:sz="0" w:space="0" w:color="auto"/>
                <w:bottom w:val="none" w:sz="0" w:space="0" w:color="auto"/>
                <w:right w:val="none" w:sz="0" w:space="0" w:color="auto"/>
              </w:divBdr>
            </w:div>
            <w:div w:id="1533611399">
              <w:marLeft w:val="0"/>
              <w:marRight w:val="0"/>
              <w:marTop w:val="0"/>
              <w:marBottom w:val="0"/>
              <w:divBdr>
                <w:top w:val="none" w:sz="0" w:space="0" w:color="auto"/>
                <w:left w:val="none" w:sz="0" w:space="0" w:color="auto"/>
                <w:bottom w:val="none" w:sz="0" w:space="0" w:color="auto"/>
                <w:right w:val="none" w:sz="0" w:space="0" w:color="auto"/>
              </w:divBdr>
            </w:div>
            <w:div w:id="289166098">
              <w:marLeft w:val="0"/>
              <w:marRight w:val="0"/>
              <w:marTop w:val="0"/>
              <w:marBottom w:val="0"/>
              <w:divBdr>
                <w:top w:val="none" w:sz="0" w:space="0" w:color="auto"/>
                <w:left w:val="none" w:sz="0" w:space="0" w:color="auto"/>
                <w:bottom w:val="none" w:sz="0" w:space="0" w:color="auto"/>
                <w:right w:val="none" w:sz="0" w:space="0" w:color="auto"/>
              </w:divBdr>
            </w:div>
            <w:div w:id="2067025002">
              <w:marLeft w:val="0"/>
              <w:marRight w:val="0"/>
              <w:marTop w:val="0"/>
              <w:marBottom w:val="0"/>
              <w:divBdr>
                <w:top w:val="none" w:sz="0" w:space="0" w:color="auto"/>
                <w:left w:val="none" w:sz="0" w:space="0" w:color="auto"/>
                <w:bottom w:val="none" w:sz="0" w:space="0" w:color="auto"/>
                <w:right w:val="none" w:sz="0" w:space="0" w:color="auto"/>
              </w:divBdr>
            </w:div>
            <w:div w:id="272442425">
              <w:marLeft w:val="0"/>
              <w:marRight w:val="0"/>
              <w:marTop w:val="0"/>
              <w:marBottom w:val="0"/>
              <w:divBdr>
                <w:top w:val="none" w:sz="0" w:space="0" w:color="auto"/>
                <w:left w:val="none" w:sz="0" w:space="0" w:color="auto"/>
                <w:bottom w:val="none" w:sz="0" w:space="0" w:color="auto"/>
                <w:right w:val="none" w:sz="0" w:space="0" w:color="auto"/>
              </w:divBdr>
            </w:div>
            <w:div w:id="577980943">
              <w:marLeft w:val="0"/>
              <w:marRight w:val="0"/>
              <w:marTop w:val="0"/>
              <w:marBottom w:val="0"/>
              <w:divBdr>
                <w:top w:val="none" w:sz="0" w:space="0" w:color="auto"/>
                <w:left w:val="none" w:sz="0" w:space="0" w:color="auto"/>
                <w:bottom w:val="none" w:sz="0" w:space="0" w:color="auto"/>
                <w:right w:val="none" w:sz="0" w:space="0" w:color="auto"/>
              </w:divBdr>
            </w:div>
            <w:div w:id="848832580">
              <w:marLeft w:val="0"/>
              <w:marRight w:val="0"/>
              <w:marTop w:val="0"/>
              <w:marBottom w:val="0"/>
              <w:divBdr>
                <w:top w:val="none" w:sz="0" w:space="0" w:color="auto"/>
                <w:left w:val="none" w:sz="0" w:space="0" w:color="auto"/>
                <w:bottom w:val="none" w:sz="0" w:space="0" w:color="auto"/>
                <w:right w:val="none" w:sz="0" w:space="0" w:color="auto"/>
              </w:divBdr>
            </w:div>
            <w:div w:id="1068843400">
              <w:marLeft w:val="0"/>
              <w:marRight w:val="0"/>
              <w:marTop w:val="0"/>
              <w:marBottom w:val="0"/>
              <w:divBdr>
                <w:top w:val="none" w:sz="0" w:space="0" w:color="auto"/>
                <w:left w:val="none" w:sz="0" w:space="0" w:color="auto"/>
                <w:bottom w:val="none" w:sz="0" w:space="0" w:color="auto"/>
                <w:right w:val="none" w:sz="0" w:space="0" w:color="auto"/>
              </w:divBdr>
            </w:div>
            <w:div w:id="146171750">
              <w:marLeft w:val="0"/>
              <w:marRight w:val="0"/>
              <w:marTop w:val="0"/>
              <w:marBottom w:val="0"/>
              <w:divBdr>
                <w:top w:val="none" w:sz="0" w:space="0" w:color="auto"/>
                <w:left w:val="none" w:sz="0" w:space="0" w:color="auto"/>
                <w:bottom w:val="none" w:sz="0" w:space="0" w:color="auto"/>
                <w:right w:val="none" w:sz="0" w:space="0" w:color="auto"/>
              </w:divBdr>
            </w:div>
            <w:div w:id="1388067692">
              <w:marLeft w:val="0"/>
              <w:marRight w:val="0"/>
              <w:marTop w:val="0"/>
              <w:marBottom w:val="0"/>
              <w:divBdr>
                <w:top w:val="none" w:sz="0" w:space="0" w:color="auto"/>
                <w:left w:val="none" w:sz="0" w:space="0" w:color="auto"/>
                <w:bottom w:val="none" w:sz="0" w:space="0" w:color="auto"/>
                <w:right w:val="none" w:sz="0" w:space="0" w:color="auto"/>
              </w:divBdr>
            </w:div>
            <w:div w:id="652369649">
              <w:marLeft w:val="0"/>
              <w:marRight w:val="0"/>
              <w:marTop w:val="0"/>
              <w:marBottom w:val="0"/>
              <w:divBdr>
                <w:top w:val="none" w:sz="0" w:space="0" w:color="auto"/>
                <w:left w:val="none" w:sz="0" w:space="0" w:color="auto"/>
                <w:bottom w:val="none" w:sz="0" w:space="0" w:color="auto"/>
                <w:right w:val="none" w:sz="0" w:space="0" w:color="auto"/>
              </w:divBdr>
            </w:div>
            <w:div w:id="2041740852">
              <w:marLeft w:val="0"/>
              <w:marRight w:val="0"/>
              <w:marTop w:val="0"/>
              <w:marBottom w:val="0"/>
              <w:divBdr>
                <w:top w:val="none" w:sz="0" w:space="0" w:color="auto"/>
                <w:left w:val="none" w:sz="0" w:space="0" w:color="auto"/>
                <w:bottom w:val="none" w:sz="0" w:space="0" w:color="auto"/>
                <w:right w:val="none" w:sz="0" w:space="0" w:color="auto"/>
              </w:divBdr>
            </w:div>
            <w:div w:id="1324700233">
              <w:marLeft w:val="0"/>
              <w:marRight w:val="0"/>
              <w:marTop w:val="0"/>
              <w:marBottom w:val="0"/>
              <w:divBdr>
                <w:top w:val="none" w:sz="0" w:space="0" w:color="auto"/>
                <w:left w:val="none" w:sz="0" w:space="0" w:color="auto"/>
                <w:bottom w:val="none" w:sz="0" w:space="0" w:color="auto"/>
                <w:right w:val="none" w:sz="0" w:space="0" w:color="auto"/>
              </w:divBdr>
            </w:div>
            <w:div w:id="1687322168">
              <w:marLeft w:val="0"/>
              <w:marRight w:val="0"/>
              <w:marTop w:val="0"/>
              <w:marBottom w:val="0"/>
              <w:divBdr>
                <w:top w:val="none" w:sz="0" w:space="0" w:color="auto"/>
                <w:left w:val="none" w:sz="0" w:space="0" w:color="auto"/>
                <w:bottom w:val="none" w:sz="0" w:space="0" w:color="auto"/>
                <w:right w:val="none" w:sz="0" w:space="0" w:color="auto"/>
              </w:divBdr>
            </w:div>
            <w:div w:id="1383291454">
              <w:marLeft w:val="0"/>
              <w:marRight w:val="0"/>
              <w:marTop w:val="0"/>
              <w:marBottom w:val="0"/>
              <w:divBdr>
                <w:top w:val="none" w:sz="0" w:space="0" w:color="auto"/>
                <w:left w:val="none" w:sz="0" w:space="0" w:color="auto"/>
                <w:bottom w:val="none" w:sz="0" w:space="0" w:color="auto"/>
                <w:right w:val="none" w:sz="0" w:space="0" w:color="auto"/>
              </w:divBdr>
            </w:div>
            <w:div w:id="478117295">
              <w:marLeft w:val="0"/>
              <w:marRight w:val="0"/>
              <w:marTop w:val="0"/>
              <w:marBottom w:val="0"/>
              <w:divBdr>
                <w:top w:val="none" w:sz="0" w:space="0" w:color="auto"/>
                <w:left w:val="none" w:sz="0" w:space="0" w:color="auto"/>
                <w:bottom w:val="none" w:sz="0" w:space="0" w:color="auto"/>
                <w:right w:val="none" w:sz="0" w:space="0" w:color="auto"/>
              </w:divBdr>
            </w:div>
            <w:div w:id="1607804974">
              <w:marLeft w:val="0"/>
              <w:marRight w:val="0"/>
              <w:marTop w:val="0"/>
              <w:marBottom w:val="0"/>
              <w:divBdr>
                <w:top w:val="none" w:sz="0" w:space="0" w:color="auto"/>
                <w:left w:val="none" w:sz="0" w:space="0" w:color="auto"/>
                <w:bottom w:val="none" w:sz="0" w:space="0" w:color="auto"/>
                <w:right w:val="none" w:sz="0" w:space="0" w:color="auto"/>
              </w:divBdr>
            </w:div>
            <w:div w:id="1996717109">
              <w:marLeft w:val="0"/>
              <w:marRight w:val="0"/>
              <w:marTop w:val="0"/>
              <w:marBottom w:val="0"/>
              <w:divBdr>
                <w:top w:val="none" w:sz="0" w:space="0" w:color="auto"/>
                <w:left w:val="none" w:sz="0" w:space="0" w:color="auto"/>
                <w:bottom w:val="none" w:sz="0" w:space="0" w:color="auto"/>
                <w:right w:val="none" w:sz="0" w:space="0" w:color="auto"/>
              </w:divBdr>
            </w:div>
            <w:div w:id="413087391">
              <w:marLeft w:val="0"/>
              <w:marRight w:val="0"/>
              <w:marTop w:val="0"/>
              <w:marBottom w:val="0"/>
              <w:divBdr>
                <w:top w:val="none" w:sz="0" w:space="0" w:color="auto"/>
                <w:left w:val="none" w:sz="0" w:space="0" w:color="auto"/>
                <w:bottom w:val="none" w:sz="0" w:space="0" w:color="auto"/>
                <w:right w:val="none" w:sz="0" w:space="0" w:color="auto"/>
              </w:divBdr>
            </w:div>
            <w:div w:id="437796652">
              <w:marLeft w:val="0"/>
              <w:marRight w:val="0"/>
              <w:marTop w:val="0"/>
              <w:marBottom w:val="0"/>
              <w:divBdr>
                <w:top w:val="none" w:sz="0" w:space="0" w:color="auto"/>
                <w:left w:val="none" w:sz="0" w:space="0" w:color="auto"/>
                <w:bottom w:val="none" w:sz="0" w:space="0" w:color="auto"/>
                <w:right w:val="none" w:sz="0" w:space="0" w:color="auto"/>
              </w:divBdr>
            </w:div>
            <w:div w:id="666253581">
              <w:marLeft w:val="0"/>
              <w:marRight w:val="0"/>
              <w:marTop w:val="0"/>
              <w:marBottom w:val="0"/>
              <w:divBdr>
                <w:top w:val="none" w:sz="0" w:space="0" w:color="auto"/>
                <w:left w:val="none" w:sz="0" w:space="0" w:color="auto"/>
                <w:bottom w:val="none" w:sz="0" w:space="0" w:color="auto"/>
                <w:right w:val="none" w:sz="0" w:space="0" w:color="auto"/>
              </w:divBdr>
            </w:div>
            <w:div w:id="856235330">
              <w:marLeft w:val="0"/>
              <w:marRight w:val="0"/>
              <w:marTop w:val="0"/>
              <w:marBottom w:val="0"/>
              <w:divBdr>
                <w:top w:val="none" w:sz="0" w:space="0" w:color="auto"/>
                <w:left w:val="none" w:sz="0" w:space="0" w:color="auto"/>
                <w:bottom w:val="none" w:sz="0" w:space="0" w:color="auto"/>
                <w:right w:val="none" w:sz="0" w:space="0" w:color="auto"/>
              </w:divBdr>
            </w:div>
            <w:div w:id="132211813">
              <w:marLeft w:val="0"/>
              <w:marRight w:val="0"/>
              <w:marTop w:val="0"/>
              <w:marBottom w:val="0"/>
              <w:divBdr>
                <w:top w:val="none" w:sz="0" w:space="0" w:color="auto"/>
                <w:left w:val="none" w:sz="0" w:space="0" w:color="auto"/>
                <w:bottom w:val="none" w:sz="0" w:space="0" w:color="auto"/>
                <w:right w:val="none" w:sz="0" w:space="0" w:color="auto"/>
              </w:divBdr>
            </w:div>
            <w:div w:id="637762189">
              <w:marLeft w:val="0"/>
              <w:marRight w:val="0"/>
              <w:marTop w:val="0"/>
              <w:marBottom w:val="0"/>
              <w:divBdr>
                <w:top w:val="none" w:sz="0" w:space="0" w:color="auto"/>
                <w:left w:val="none" w:sz="0" w:space="0" w:color="auto"/>
                <w:bottom w:val="none" w:sz="0" w:space="0" w:color="auto"/>
                <w:right w:val="none" w:sz="0" w:space="0" w:color="auto"/>
              </w:divBdr>
            </w:div>
            <w:div w:id="516191060">
              <w:marLeft w:val="0"/>
              <w:marRight w:val="0"/>
              <w:marTop w:val="0"/>
              <w:marBottom w:val="0"/>
              <w:divBdr>
                <w:top w:val="none" w:sz="0" w:space="0" w:color="auto"/>
                <w:left w:val="none" w:sz="0" w:space="0" w:color="auto"/>
                <w:bottom w:val="none" w:sz="0" w:space="0" w:color="auto"/>
                <w:right w:val="none" w:sz="0" w:space="0" w:color="auto"/>
              </w:divBdr>
            </w:div>
            <w:div w:id="343821606">
              <w:marLeft w:val="0"/>
              <w:marRight w:val="0"/>
              <w:marTop w:val="0"/>
              <w:marBottom w:val="0"/>
              <w:divBdr>
                <w:top w:val="none" w:sz="0" w:space="0" w:color="auto"/>
                <w:left w:val="none" w:sz="0" w:space="0" w:color="auto"/>
                <w:bottom w:val="none" w:sz="0" w:space="0" w:color="auto"/>
                <w:right w:val="none" w:sz="0" w:space="0" w:color="auto"/>
              </w:divBdr>
            </w:div>
            <w:div w:id="1521629540">
              <w:marLeft w:val="0"/>
              <w:marRight w:val="0"/>
              <w:marTop w:val="0"/>
              <w:marBottom w:val="0"/>
              <w:divBdr>
                <w:top w:val="none" w:sz="0" w:space="0" w:color="auto"/>
                <w:left w:val="none" w:sz="0" w:space="0" w:color="auto"/>
                <w:bottom w:val="none" w:sz="0" w:space="0" w:color="auto"/>
                <w:right w:val="none" w:sz="0" w:space="0" w:color="auto"/>
              </w:divBdr>
            </w:div>
            <w:div w:id="1080638387">
              <w:marLeft w:val="0"/>
              <w:marRight w:val="0"/>
              <w:marTop w:val="0"/>
              <w:marBottom w:val="0"/>
              <w:divBdr>
                <w:top w:val="none" w:sz="0" w:space="0" w:color="auto"/>
                <w:left w:val="none" w:sz="0" w:space="0" w:color="auto"/>
                <w:bottom w:val="none" w:sz="0" w:space="0" w:color="auto"/>
                <w:right w:val="none" w:sz="0" w:space="0" w:color="auto"/>
              </w:divBdr>
            </w:div>
            <w:div w:id="1751467542">
              <w:marLeft w:val="0"/>
              <w:marRight w:val="0"/>
              <w:marTop w:val="0"/>
              <w:marBottom w:val="0"/>
              <w:divBdr>
                <w:top w:val="none" w:sz="0" w:space="0" w:color="auto"/>
                <w:left w:val="none" w:sz="0" w:space="0" w:color="auto"/>
                <w:bottom w:val="none" w:sz="0" w:space="0" w:color="auto"/>
                <w:right w:val="none" w:sz="0" w:space="0" w:color="auto"/>
              </w:divBdr>
            </w:div>
            <w:div w:id="1513303167">
              <w:marLeft w:val="0"/>
              <w:marRight w:val="0"/>
              <w:marTop w:val="0"/>
              <w:marBottom w:val="0"/>
              <w:divBdr>
                <w:top w:val="none" w:sz="0" w:space="0" w:color="auto"/>
                <w:left w:val="none" w:sz="0" w:space="0" w:color="auto"/>
                <w:bottom w:val="none" w:sz="0" w:space="0" w:color="auto"/>
                <w:right w:val="none" w:sz="0" w:space="0" w:color="auto"/>
              </w:divBdr>
            </w:div>
            <w:div w:id="538205255">
              <w:marLeft w:val="0"/>
              <w:marRight w:val="0"/>
              <w:marTop w:val="0"/>
              <w:marBottom w:val="0"/>
              <w:divBdr>
                <w:top w:val="none" w:sz="0" w:space="0" w:color="auto"/>
                <w:left w:val="none" w:sz="0" w:space="0" w:color="auto"/>
                <w:bottom w:val="none" w:sz="0" w:space="0" w:color="auto"/>
                <w:right w:val="none" w:sz="0" w:space="0" w:color="auto"/>
              </w:divBdr>
            </w:div>
            <w:div w:id="1158303098">
              <w:marLeft w:val="0"/>
              <w:marRight w:val="0"/>
              <w:marTop w:val="0"/>
              <w:marBottom w:val="0"/>
              <w:divBdr>
                <w:top w:val="none" w:sz="0" w:space="0" w:color="auto"/>
                <w:left w:val="none" w:sz="0" w:space="0" w:color="auto"/>
                <w:bottom w:val="none" w:sz="0" w:space="0" w:color="auto"/>
                <w:right w:val="none" w:sz="0" w:space="0" w:color="auto"/>
              </w:divBdr>
            </w:div>
            <w:div w:id="1834682257">
              <w:marLeft w:val="0"/>
              <w:marRight w:val="0"/>
              <w:marTop w:val="0"/>
              <w:marBottom w:val="0"/>
              <w:divBdr>
                <w:top w:val="none" w:sz="0" w:space="0" w:color="auto"/>
                <w:left w:val="none" w:sz="0" w:space="0" w:color="auto"/>
                <w:bottom w:val="none" w:sz="0" w:space="0" w:color="auto"/>
                <w:right w:val="none" w:sz="0" w:space="0" w:color="auto"/>
              </w:divBdr>
            </w:div>
            <w:div w:id="1256017939">
              <w:marLeft w:val="0"/>
              <w:marRight w:val="0"/>
              <w:marTop w:val="0"/>
              <w:marBottom w:val="0"/>
              <w:divBdr>
                <w:top w:val="none" w:sz="0" w:space="0" w:color="auto"/>
                <w:left w:val="none" w:sz="0" w:space="0" w:color="auto"/>
                <w:bottom w:val="none" w:sz="0" w:space="0" w:color="auto"/>
                <w:right w:val="none" w:sz="0" w:space="0" w:color="auto"/>
              </w:divBdr>
            </w:div>
            <w:div w:id="2140368040">
              <w:marLeft w:val="0"/>
              <w:marRight w:val="0"/>
              <w:marTop w:val="0"/>
              <w:marBottom w:val="0"/>
              <w:divBdr>
                <w:top w:val="none" w:sz="0" w:space="0" w:color="auto"/>
                <w:left w:val="none" w:sz="0" w:space="0" w:color="auto"/>
                <w:bottom w:val="none" w:sz="0" w:space="0" w:color="auto"/>
                <w:right w:val="none" w:sz="0" w:space="0" w:color="auto"/>
              </w:divBdr>
            </w:div>
            <w:div w:id="512381945">
              <w:marLeft w:val="0"/>
              <w:marRight w:val="0"/>
              <w:marTop w:val="0"/>
              <w:marBottom w:val="0"/>
              <w:divBdr>
                <w:top w:val="none" w:sz="0" w:space="0" w:color="auto"/>
                <w:left w:val="none" w:sz="0" w:space="0" w:color="auto"/>
                <w:bottom w:val="none" w:sz="0" w:space="0" w:color="auto"/>
                <w:right w:val="none" w:sz="0" w:space="0" w:color="auto"/>
              </w:divBdr>
            </w:div>
            <w:div w:id="4982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7592">
      <w:bodyDiv w:val="1"/>
      <w:marLeft w:val="0"/>
      <w:marRight w:val="0"/>
      <w:marTop w:val="0"/>
      <w:marBottom w:val="0"/>
      <w:divBdr>
        <w:top w:val="none" w:sz="0" w:space="0" w:color="auto"/>
        <w:left w:val="none" w:sz="0" w:space="0" w:color="auto"/>
        <w:bottom w:val="none" w:sz="0" w:space="0" w:color="auto"/>
        <w:right w:val="none" w:sz="0" w:space="0" w:color="auto"/>
      </w:divBdr>
      <w:divsChild>
        <w:div w:id="157964398">
          <w:marLeft w:val="0"/>
          <w:marRight w:val="0"/>
          <w:marTop w:val="0"/>
          <w:marBottom w:val="0"/>
          <w:divBdr>
            <w:top w:val="none" w:sz="0" w:space="0" w:color="auto"/>
            <w:left w:val="none" w:sz="0" w:space="0" w:color="auto"/>
            <w:bottom w:val="none" w:sz="0" w:space="0" w:color="auto"/>
            <w:right w:val="none" w:sz="0" w:space="0" w:color="auto"/>
          </w:divBdr>
          <w:divsChild>
            <w:div w:id="789133734">
              <w:marLeft w:val="0"/>
              <w:marRight w:val="0"/>
              <w:marTop w:val="0"/>
              <w:marBottom w:val="0"/>
              <w:divBdr>
                <w:top w:val="none" w:sz="0" w:space="0" w:color="auto"/>
                <w:left w:val="none" w:sz="0" w:space="0" w:color="auto"/>
                <w:bottom w:val="none" w:sz="0" w:space="0" w:color="auto"/>
                <w:right w:val="none" w:sz="0" w:space="0" w:color="auto"/>
              </w:divBdr>
            </w:div>
            <w:div w:id="796139694">
              <w:marLeft w:val="0"/>
              <w:marRight w:val="0"/>
              <w:marTop w:val="0"/>
              <w:marBottom w:val="0"/>
              <w:divBdr>
                <w:top w:val="none" w:sz="0" w:space="0" w:color="auto"/>
                <w:left w:val="none" w:sz="0" w:space="0" w:color="auto"/>
                <w:bottom w:val="none" w:sz="0" w:space="0" w:color="auto"/>
                <w:right w:val="none" w:sz="0" w:space="0" w:color="auto"/>
              </w:divBdr>
            </w:div>
            <w:div w:id="1120567035">
              <w:marLeft w:val="0"/>
              <w:marRight w:val="0"/>
              <w:marTop w:val="0"/>
              <w:marBottom w:val="0"/>
              <w:divBdr>
                <w:top w:val="none" w:sz="0" w:space="0" w:color="auto"/>
                <w:left w:val="none" w:sz="0" w:space="0" w:color="auto"/>
                <w:bottom w:val="none" w:sz="0" w:space="0" w:color="auto"/>
                <w:right w:val="none" w:sz="0" w:space="0" w:color="auto"/>
              </w:divBdr>
            </w:div>
            <w:div w:id="29494310">
              <w:marLeft w:val="0"/>
              <w:marRight w:val="0"/>
              <w:marTop w:val="0"/>
              <w:marBottom w:val="0"/>
              <w:divBdr>
                <w:top w:val="none" w:sz="0" w:space="0" w:color="auto"/>
                <w:left w:val="none" w:sz="0" w:space="0" w:color="auto"/>
                <w:bottom w:val="none" w:sz="0" w:space="0" w:color="auto"/>
                <w:right w:val="none" w:sz="0" w:space="0" w:color="auto"/>
              </w:divBdr>
            </w:div>
            <w:div w:id="246035590">
              <w:marLeft w:val="0"/>
              <w:marRight w:val="0"/>
              <w:marTop w:val="0"/>
              <w:marBottom w:val="0"/>
              <w:divBdr>
                <w:top w:val="none" w:sz="0" w:space="0" w:color="auto"/>
                <w:left w:val="none" w:sz="0" w:space="0" w:color="auto"/>
                <w:bottom w:val="none" w:sz="0" w:space="0" w:color="auto"/>
                <w:right w:val="none" w:sz="0" w:space="0" w:color="auto"/>
              </w:divBdr>
            </w:div>
            <w:div w:id="2117559277">
              <w:marLeft w:val="0"/>
              <w:marRight w:val="0"/>
              <w:marTop w:val="0"/>
              <w:marBottom w:val="0"/>
              <w:divBdr>
                <w:top w:val="none" w:sz="0" w:space="0" w:color="auto"/>
                <w:left w:val="none" w:sz="0" w:space="0" w:color="auto"/>
                <w:bottom w:val="none" w:sz="0" w:space="0" w:color="auto"/>
                <w:right w:val="none" w:sz="0" w:space="0" w:color="auto"/>
              </w:divBdr>
            </w:div>
            <w:div w:id="682392390">
              <w:marLeft w:val="0"/>
              <w:marRight w:val="0"/>
              <w:marTop w:val="0"/>
              <w:marBottom w:val="0"/>
              <w:divBdr>
                <w:top w:val="none" w:sz="0" w:space="0" w:color="auto"/>
                <w:left w:val="none" w:sz="0" w:space="0" w:color="auto"/>
                <w:bottom w:val="none" w:sz="0" w:space="0" w:color="auto"/>
                <w:right w:val="none" w:sz="0" w:space="0" w:color="auto"/>
              </w:divBdr>
            </w:div>
            <w:div w:id="1292518237">
              <w:marLeft w:val="0"/>
              <w:marRight w:val="0"/>
              <w:marTop w:val="0"/>
              <w:marBottom w:val="0"/>
              <w:divBdr>
                <w:top w:val="none" w:sz="0" w:space="0" w:color="auto"/>
                <w:left w:val="none" w:sz="0" w:space="0" w:color="auto"/>
                <w:bottom w:val="none" w:sz="0" w:space="0" w:color="auto"/>
                <w:right w:val="none" w:sz="0" w:space="0" w:color="auto"/>
              </w:divBdr>
            </w:div>
            <w:div w:id="1722899275">
              <w:marLeft w:val="0"/>
              <w:marRight w:val="0"/>
              <w:marTop w:val="0"/>
              <w:marBottom w:val="0"/>
              <w:divBdr>
                <w:top w:val="none" w:sz="0" w:space="0" w:color="auto"/>
                <w:left w:val="none" w:sz="0" w:space="0" w:color="auto"/>
                <w:bottom w:val="none" w:sz="0" w:space="0" w:color="auto"/>
                <w:right w:val="none" w:sz="0" w:space="0" w:color="auto"/>
              </w:divBdr>
            </w:div>
            <w:div w:id="1796488025">
              <w:marLeft w:val="0"/>
              <w:marRight w:val="0"/>
              <w:marTop w:val="0"/>
              <w:marBottom w:val="0"/>
              <w:divBdr>
                <w:top w:val="none" w:sz="0" w:space="0" w:color="auto"/>
                <w:left w:val="none" w:sz="0" w:space="0" w:color="auto"/>
                <w:bottom w:val="none" w:sz="0" w:space="0" w:color="auto"/>
                <w:right w:val="none" w:sz="0" w:space="0" w:color="auto"/>
              </w:divBdr>
            </w:div>
            <w:div w:id="1297564627">
              <w:marLeft w:val="0"/>
              <w:marRight w:val="0"/>
              <w:marTop w:val="0"/>
              <w:marBottom w:val="0"/>
              <w:divBdr>
                <w:top w:val="none" w:sz="0" w:space="0" w:color="auto"/>
                <w:left w:val="none" w:sz="0" w:space="0" w:color="auto"/>
                <w:bottom w:val="none" w:sz="0" w:space="0" w:color="auto"/>
                <w:right w:val="none" w:sz="0" w:space="0" w:color="auto"/>
              </w:divBdr>
            </w:div>
            <w:div w:id="520096243">
              <w:marLeft w:val="0"/>
              <w:marRight w:val="0"/>
              <w:marTop w:val="0"/>
              <w:marBottom w:val="0"/>
              <w:divBdr>
                <w:top w:val="none" w:sz="0" w:space="0" w:color="auto"/>
                <w:left w:val="none" w:sz="0" w:space="0" w:color="auto"/>
                <w:bottom w:val="none" w:sz="0" w:space="0" w:color="auto"/>
                <w:right w:val="none" w:sz="0" w:space="0" w:color="auto"/>
              </w:divBdr>
            </w:div>
            <w:div w:id="921992806">
              <w:marLeft w:val="0"/>
              <w:marRight w:val="0"/>
              <w:marTop w:val="0"/>
              <w:marBottom w:val="0"/>
              <w:divBdr>
                <w:top w:val="none" w:sz="0" w:space="0" w:color="auto"/>
                <w:left w:val="none" w:sz="0" w:space="0" w:color="auto"/>
                <w:bottom w:val="none" w:sz="0" w:space="0" w:color="auto"/>
                <w:right w:val="none" w:sz="0" w:space="0" w:color="auto"/>
              </w:divBdr>
            </w:div>
            <w:div w:id="1303735946">
              <w:marLeft w:val="0"/>
              <w:marRight w:val="0"/>
              <w:marTop w:val="0"/>
              <w:marBottom w:val="0"/>
              <w:divBdr>
                <w:top w:val="none" w:sz="0" w:space="0" w:color="auto"/>
                <w:left w:val="none" w:sz="0" w:space="0" w:color="auto"/>
                <w:bottom w:val="none" w:sz="0" w:space="0" w:color="auto"/>
                <w:right w:val="none" w:sz="0" w:space="0" w:color="auto"/>
              </w:divBdr>
            </w:div>
            <w:div w:id="1542207462">
              <w:marLeft w:val="0"/>
              <w:marRight w:val="0"/>
              <w:marTop w:val="0"/>
              <w:marBottom w:val="0"/>
              <w:divBdr>
                <w:top w:val="none" w:sz="0" w:space="0" w:color="auto"/>
                <w:left w:val="none" w:sz="0" w:space="0" w:color="auto"/>
                <w:bottom w:val="none" w:sz="0" w:space="0" w:color="auto"/>
                <w:right w:val="none" w:sz="0" w:space="0" w:color="auto"/>
              </w:divBdr>
            </w:div>
            <w:div w:id="180435141">
              <w:marLeft w:val="0"/>
              <w:marRight w:val="0"/>
              <w:marTop w:val="0"/>
              <w:marBottom w:val="0"/>
              <w:divBdr>
                <w:top w:val="none" w:sz="0" w:space="0" w:color="auto"/>
                <w:left w:val="none" w:sz="0" w:space="0" w:color="auto"/>
                <w:bottom w:val="none" w:sz="0" w:space="0" w:color="auto"/>
                <w:right w:val="none" w:sz="0" w:space="0" w:color="auto"/>
              </w:divBdr>
            </w:div>
            <w:div w:id="44987420">
              <w:marLeft w:val="0"/>
              <w:marRight w:val="0"/>
              <w:marTop w:val="0"/>
              <w:marBottom w:val="0"/>
              <w:divBdr>
                <w:top w:val="none" w:sz="0" w:space="0" w:color="auto"/>
                <w:left w:val="none" w:sz="0" w:space="0" w:color="auto"/>
                <w:bottom w:val="none" w:sz="0" w:space="0" w:color="auto"/>
                <w:right w:val="none" w:sz="0" w:space="0" w:color="auto"/>
              </w:divBdr>
            </w:div>
            <w:div w:id="1925802748">
              <w:marLeft w:val="0"/>
              <w:marRight w:val="0"/>
              <w:marTop w:val="0"/>
              <w:marBottom w:val="0"/>
              <w:divBdr>
                <w:top w:val="none" w:sz="0" w:space="0" w:color="auto"/>
                <w:left w:val="none" w:sz="0" w:space="0" w:color="auto"/>
                <w:bottom w:val="none" w:sz="0" w:space="0" w:color="auto"/>
                <w:right w:val="none" w:sz="0" w:space="0" w:color="auto"/>
              </w:divBdr>
            </w:div>
            <w:div w:id="1613366816">
              <w:marLeft w:val="0"/>
              <w:marRight w:val="0"/>
              <w:marTop w:val="0"/>
              <w:marBottom w:val="0"/>
              <w:divBdr>
                <w:top w:val="none" w:sz="0" w:space="0" w:color="auto"/>
                <w:left w:val="none" w:sz="0" w:space="0" w:color="auto"/>
                <w:bottom w:val="none" w:sz="0" w:space="0" w:color="auto"/>
                <w:right w:val="none" w:sz="0" w:space="0" w:color="auto"/>
              </w:divBdr>
            </w:div>
            <w:div w:id="74980884">
              <w:marLeft w:val="0"/>
              <w:marRight w:val="0"/>
              <w:marTop w:val="0"/>
              <w:marBottom w:val="0"/>
              <w:divBdr>
                <w:top w:val="none" w:sz="0" w:space="0" w:color="auto"/>
                <w:left w:val="none" w:sz="0" w:space="0" w:color="auto"/>
                <w:bottom w:val="none" w:sz="0" w:space="0" w:color="auto"/>
                <w:right w:val="none" w:sz="0" w:space="0" w:color="auto"/>
              </w:divBdr>
            </w:div>
            <w:div w:id="1681739428">
              <w:marLeft w:val="0"/>
              <w:marRight w:val="0"/>
              <w:marTop w:val="0"/>
              <w:marBottom w:val="0"/>
              <w:divBdr>
                <w:top w:val="none" w:sz="0" w:space="0" w:color="auto"/>
                <w:left w:val="none" w:sz="0" w:space="0" w:color="auto"/>
                <w:bottom w:val="none" w:sz="0" w:space="0" w:color="auto"/>
                <w:right w:val="none" w:sz="0" w:space="0" w:color="auto"/>
              </w:divBdr>
            </w:div>
            <w:div w:id="411242126">
              <w:marLeft w:val="0"/>
              <w:marRight w:val="0"/>
              <w:marTop w:val="0"/>
              <w:marBottom w:val="0"/>
              <w:divBdr>
                <w:top w:val="none" w:sz="0" w:space="0" w:color="auto"/>
                <w:left w:val="none" w:sz="0" w:space="0" w:color="auto"/>
                <w:bottom w:val="none" w:sz="0" w:space="0" w:color="auto"/>
                <w:right w:val="none" w:sz="0" w:space="0" w:color="auto"/>
              </w:divBdr>
            </w:div>
            <w:div w:id="2027632741">
              <w:marLeft w:val="0"/>
              <w:marRight w:val="0"/>
              <w:marTop w:val="0"/>
              <w:marBottom w:val="0"/>
              <w:divBdr>
                <w:top w:val="none" w:sz="0" w:space="0" w:color="auto"/>
                <w:left w:val="none" w:sz="0" w:space="0" w:color="auto"/>
                <w:bottom w:val="none" w:sz="0" w:space="0" w:color="auto"/>
                <w:right w:val="none" w:sz="0" w:space="0" w:color="auto"/>
              </w:divBdr>
            </w:div>
            <w:div w:id="527136401">
              <w:marLeft w:val="0"/>
              <w:marRight w:val="0"/>
              <w:marTop w:val="0"/>
              <w:marBottom w:val="0"/>
              <w:divBdr>
                <w:top w:val="none" w:sz="0" w:space="0" w:color="auto"/>
                <w:left w:val="none" w:sz="0" w:space="0" w:color="auto"/>
                <w:bottom w:val="none" w:sz="0" w:space="0" w:color="auto"/>
                <w:right w:val="none" w:sz="0" w:space="0" w:color="auto"/>
              </w:divBdr>
            </w:div>
            <w:div w:id="1426731145">
              <w:marLeft w:val="0"/>
              <w:marRight w:val="0"/>
              <w:marTop w:val="0"/>
              <w:marBottom w:val="0"/>
              <w:divBdr>
                <w:top w:val="none" w:sz="0" w:space="0" w:color="auto"/>
                <w:left w:val="none" w:sz="0" w:space="0" w:color="auto"/>
                <w:bottom w:val="none" w:sz="0" w:space="0" w:color="auto"/>
                <w:right w:val="none" w:sz="0" w:space="0" w:color="auto"/>
              </w:divBdr>
            </w:div>
            <w:div w:id="281808858">
              <w:marLeft w:val="0"/>
              <w:marRight w:val="0"/>
              <w:marTop w:val="0"/>
              <w:marBottom w:val="0"/>
              <w:divBdr>
                <w:top w:val="none" w:sz="0" w:space="0" w:color="auto"/>
                <w:left w:val="none" w:sz="0" w:space="0" w:color="auto"/>
                <w:bottom w:val="none" w:sz="0" w:space="0" w:color="auto"/>
                <w:right w:val="none" w:sz="0" w:space="0" w:color="auto"/>
              </w:divBdr>
            </w:div>
            <w:div w:id="936254665">
              <w:marLeft w:val="0"/>
              <w:marRight w:val="0"/>
              <w:marTop w:val="0"/>
              <w:marBottom w:val="0"/>
              <w:divBdr>
                <w:top w:val="none" w:sz="0" w:space="0" w:color="auto"/>
                <w:left w:val="none" w:sz="0" w:space="0" w:color="auto"/>
                <w:bottom w:val="none" w:sz="0" w:space="0" w:color="auto"/>
                <w:right w:val="none" w:sz="0" w:space="0" w:color="auto"/>
              </w:divBdr>
            </w:div>
            <w:div w:id="1445419026">
              <w:marLeft w:val="0"/>
              <w:marRight w:val="0"/>
              <w:marTop w:val="0"/>
              <w:marBottom w:val="0"/>
              <w:divBdr>
                <w:top w:val="none" w:sz="0" w:space="0" w:color="auto"/>
                <w:left w:val="none" w:sz="0" w:space="0" w:color="auto"/>
                <w:bottom w:val="none" w:sz="0" w:space="0" w:color="auto"/>
                <w:right w:val="none" w:sz="0" w:space="0" w:color="auto"/>
              </w:divBdr>
            </w:div>
            <w:div w:id="1116558092">
              <w:marLeft w:val="0"/>
              <w:marRight w:val="0"/>
              <w:marTop w:val="0"/>
              <w:marBottom w:val="0"/>
              <w:divBdr>
                <w:top w:val="none" w:sz="0" w:space="0" w:color="auto"/>
                <w:left w:val="none" w:sz="0" w:space="0" w:color="auto"/>
                <w:bottom w:val="none" w:sz="0" w:space="0" w:color="auto"/>
                <w:right w:val="none" w:sz="0" w:space="0" w:color="auto"/>
              </w:divBdr>
            </w:div>
            <w:div w:id="574896741">
              <w:marLeft w:val="0"/>
              <w:marRight w:val="0"/>
              <w:marTop w:val="0"/>
              <w:marBottom w:val="0"/>
              <w:divBdr>
                <w:top w:val="none" w:sz="0" w:space="0" w:color="auto"/>
                <w:left w:val="none" w:sz="0" w:space="0" w:color="auto"/>
                <w:bottom w:val="none" w:sz="0" w:space="0" w:color="auto"/>
                <w:right w:val="none" w:sz="0" w:space="0" w:color="auto"/>
              </w:divBdr>
            </w:div>
            <w:div w:id="1064336861">
              <w:marLeft w:val="0"/>
              <w:marRight w:val="0"/>
              <w:marTop w:val="0"/>
              <w:marBottom w:val="0"/>
              <w:divBdr>
                <w:top w:val="none" w:sz="0" w:space="0" w:color="auto"/>
                <w:left w:val="none" w:sz="0" w:space="0" w:color="auto"/>
                <w:bottom w:val="none" w:sz="0" w:space="0" w:color="auto"/>
                <w:right w:val="none" w:sz="0" w:space="0" w:color="auto"/>
              </w:divBdr>
            </w:div>
            <w:div w:id="776947590">
              <w:marLeft w:val="0"/>
              <w:marRight w:val="0"/>
              <w:marTop w:val="0"/>
              <w:marBottom w:val="0"/>
              <w:divBdr>
                <w:top w:val="none" w:sz="0" w:space="0" w:color="auto"/>
                <w:left w:val="none" w:sz="0" w:space="0" w:color="auto"/>
                <w:bottom w:val="none" w:sz="0" w:space="0" w:color="auto"/>
                <w:right w:val="none" w:sz="0" w:space="0" w:color="auto"/>
              </w:divBdr>
            </w:div>
            <w:div w:id="1822623599">
              <w:marLeft w:val="0"/>
              <w:marRight w:val="0"/>
              <w:marTop w:val="0"/>
              <w:marBottom w:val="0"/>
              <w:divBdr>
                <w:top w:val="none" w:sz="0" w:space="0" w:color="auto"/>
                <w:left w:val="none" w:sz="0" w:space="0" w:color="auto"/>
                <w:bottom w:val="none" w:sz="0" w:space="0" w:color="auto"/>
                <w:right w:val="none" w:sz="0" w:space="0" w:color="auto"/>
              </w:divBdr>
            </w:div>
            <w:div w:id="800460877">
              <w:marLeft w:val="0"/>
              <w:marRight w:val="0"/>
              <w:marTop w:val="0"/>
              <w:marBottom w:val="0"/>
              <w:divBdr>
                <w:top w:val="none" w:sz="0" w:space="0" w:color="auto"/>
                <w:left w:val="none" w:sz="0" w:space="0" w:color="auto"/>
                <w:bottom w:val="none" w:sz="0" w:space="0" w:color="auto"/>
                <w:right w:val="none" w:sz="0" w:space="0" w:color="auto"/>
              </w:divBdr>
            </w:div>
            <w:div w:id="1500997183">
              <w:marLeft w:val="0"/>
              <w:marRight w:val="0"/>
              <w:marTop w:val="0"/>
              <w:marBottom w:val="0"/>
              <w:divBdr>
                <w:top w:val="none" w:sz="0" w:space="0" w:color="auto"/>
                <w:left w:val="none" w:sz="0" w:space="0" w:color="auto"/>
                <w:bottom w:val="none" w:sz="0" w:space="0" w:color="auto"/>
                <w:right w:val="none" w:sz="0" w:space="0" w:color="auto"/>
              </w:divBdr>
            </w:div>
            <w:div w:id="934943475">
              <w:marLeft w:val="0"/>
              <w:marRight w:val="0"/>
              <w:marTop w:val="0"/>
              <w:marBottom w:val="0"/>
              <w:divBdr>
                <w:top w:val="none" w:sz="0" w:space="0" w:color="auto"/>
                <w:left w:val="none" w:sz="0" w:space="0" w:color="auto"/>
                <w:bottom w:val="none" w:sz="0" w:space="0" w:color="auto"/>
                <w:right w:val="none" w:sz="0" w:space="0" w:color="auto"/>
              </w:divBdr>
            </w:div>
            <w:div w:id="1997563785">
              <w:marLeft w:val="0"/>
              <w:marRight w:val="0"/>
              <w:marTop w:val="0"/>
              <w:marBottom w:val="0"/>
              <w:divBdr>
                <w:top w:val="none" w:sz="0" w:space="0" w:color="auto"/>
                <w:left w:val="none" w:sz="0" w:space="0" w:color="auto"/>
                <w:bottom w:val="none" w:sz="0" w:space="0" w:color="auto"/>
                <w:right w:val="none" w:sz="0" w:space="0" w:color="auto"/>
              </w:divBdr>
            </w:div>
            <w:div w:id="402871693">
              <w:marLeft w:val="0"/>
              <w:marRight w:val="0"/>
              <w:marTop w:val="0"/>
              <w:marBottom w:val="0"/>
              <w:divBdr>
                <w:top w:val="none" w:sz="0" w:space="0" w:color="auto"/>
                <w:left w:val="none" w:sz="0" w:space="0" w:color="auto"/>
                <w:bottom w:val="none" w:sz="0" w:space="0" w:color="auto"/>
                <w:right w:val="none" w:sz="0" w:space="0" w:color="auto"/>
              </w:divBdr>
            </w:div>
            <w:div w:id="360978571">
              <w:marLeft w:val="0"/>
              <w:marRight w:val="0"/>
              <w:marTop w:val="0"/>
              <w:marBottom w:val="0"/>
              <w:divBdr>
                <w:top w:val="none" w:sz="0" w:space="0" w:color="auto"/>
                <w:left w:val="none" w:sz="0" w:space="0" w:color="auto"/>
                <w:bottom w:val="none" w:sz="0" w:space="0" w:color="auto"/>
                <w:right w:val="none" w:sz="0" w:space="0" w:color="auto"/>
              </w:divBdr>
            </w:div>
            <w:div w:id="190807002">
              <w:marLeft w:val="0"/>
              <w:marRight w:val="0"/>
              <w:marTop w:val="0"/>
              <w:marBottom w:val="0"/>
              <w:divBdr>
                <w:top w:val="none" w:sz="0" w:space="0" w:color="auto"/>
                <w:left w:val="none" w:sz="0" w:space="0" w:color="auto"/>
                <w:bottom w:val="none" w:sz="0" w:space="0" w:color="auto"/>
                <w:right w:val="none" w:sz="0" w:space="0" w:color="auto"/>
              </w:divBdr>
            </w:div>
            <w:div w:id="1992366016">
              <w:marLeft w:val="0"/>
              <w:marRight w:val="0"/>
              <w:marTop w:val="0"/>
              <w:marBottom w:val="0"/>
              <w:divBdr>
                <w:top w:val="none" w:sz="0" w:space="0" w:color="auto"/>
                <w:left w:val="none" w:sz="0" w:space="0" w:color="auto"/>
                <w:bottom w:val="none" w:sz="0" w:space="0" w:color="auto"/>
                <w:right w:val="none" w:sz="0" w:space="0" w:color="auto"/>
              </w:divBdr>
            </w:div>
            <w:div w:id="586963156">
              <w:marLeft w:val="0"/>
              <w:marRight w:val="0"/>
              <w:marTop w:val="0"/>
              <w:marBottom w:val="0"/>
              <w:divBdr>
                <w:top w:val="none" w:sz="0" w:space="0" w:color="auto"/>
                <w:left w:val="none" w:sz="0" w:space="0" w:color="auto"/>
                <w:bottom w:val="none" w:sz="0" w:space="0" w:color="auto"/>
                <w:right w:val="none" w:sz="0" w:space="0" w:color="auto"/>
              </w:divBdr>
            </w:div>
            <w:div w:id="1902861674">
              <w:marLeft w:val="0"/>
              <w:marRight w:val="0"/>
              <w:marTop w:val="0"/>
              <w:marBottom w:val="0"/>
              <w:divBdr>
                <w:top w:val="none" w:sz="0" w:space="0" w:color="auto"/>
                <w:left w:val="none" w:sz="0" w:space="0" w:color="auto"/>
                <w:bottom w:val="none" w:sz="0" w:space="0" w:color="auto"/>
                <w:right w:val="none" w:sz="0" w:space="0" w:color="auto"/>
              </w:divBdr>
            </w:div>
            <w:div w:id="1120344583">
              <w:marLeft w:val="0"/>
              <w:marRight w:val="0"/>
              <w:marTop w:val="0"/>
              <w:marBottom w:val="0"/>
              <w:divBdr>
                <w:top w:val="none" w:sz="0" w:space="0" w:color="auto"/>
                <w:left w:val="none" w:sz="0" w:space="0" w:color="auto"/>
                <w:bottom w:val="none" w:sz="0" w:space="0" w:color="auto"/>
                <w:right w:val="none" w:sz="0" w:space="0" w:color="auto"/>
              </w:divBdr>
            </w:div>
            <w:div w:id="330331085">
              <w:marLeft w:val="0"/>
              <w:marRight w:val="0"/>
              <w:marTop w:val="0"/>
              <w:marBottom w:val="0"/>
              <w:divBdr>
                <w:top w:val="none" w:sz="0" w:space="0" w:color="auto"/>
                <w:left w:val="none" w:sz="0" w:space="0" w:color="auto"/>
                <w:bottom w:val="none" w:sz="0" w:space="0" w:color="auto"/>
                <w:right w:val="none" w:sz="0" w:space="0" w:color="auto"/>
              </w:divBdr>
            </w:div>
            <w:div w:id="455493831">
              <w:marLeft w:val="0"/>
              <w:marRight w:val="0"/>
              <w:marTop w:val="0"/>
              <w:marBottom w:val="0"/>
              <w:divBdr>
                <w:top w:val="none" w:sz="0" w:space="0" w:color="auto"/>
                <w:left w:val="none" w:sz="0" w:space="0" w:color="auto"/>
                <w:bottom w:val="none" w:sz="0" w:space="0" w:color="auto"/>
                <w:right w:val="none" w:sz="0" w:space="0" w:color="auto"/>
              </w:divBdr>
            </w:div>
            <w:div w:id="153961314">
              <w:marLeft w:val="0"/>
              <w:marRight w:val="0"/>
              <w:marTop w:val="0"/>
              <w:marBottom w:val="0"/>
              <w:divBdr>
                <w:top w:val="none" w:sz="0" w:space="0" w:color="auto"/>
                <w:left w:val="none" w:sz="0" w:space="0" w:color="auto"/>
                <w:bottom w:val="none" w:sz="0" w:space="0" w:color="auto"/>
                <w:right w:val="none" w:sz="0" w:space="0" w:color="auto"/>
              </w:divBdr>
            </w:div>
            <w:div w:id="435444968">
              <w:marLeft w:val="0"/>
              <w:marRight w:val="0"/>
              <w:marTop w:val="0"/>
              <w:marBottom w:val="0"/>
              <w:divBdr>
                <w:top w:val="none" w:sz="0" w:space="0" w:color="auto"/>
                <w:left w:val="none" w:sz="0" w:space="0" w:color="auto"/>
                <w:bottom w:val="none" w:sz="0" w:space="0" w:color="auto"/>
                <w:right w:val="none" w:sz="0" w:space="0" w:color="auto"/>
              </w:divBdr>
            </w:div>
            <w:div w:id="1524591081">
              <w:marLeft w:val="0"/>
              <w:marRight w:val="0"/>
              <w:marTop w:val="0"/>
              <w:marBottom w:val="0"/>
              <w:divBdr>
                <w:top w:val="none" w:sz="0" w:space="0" w:color="auto"/>
                <w:left w:val="none" w:sz="0" w:space="0" w:color="auto"/>
                <w:bottom w:val="none" w:sz="0" w:space="0" w:color="auto"/>
                <w:right w:val="none" w:sz="0" w:space="0" w:color="auto"/>
              </w:divBdr>
            </w:div>
            <w:div w:id="868029088">
              <w:marLeft w:val="0"/>
              <w:marRight w:val="0"/>
              <w:marTop w:val="0"/>
              <w:marBottom w:val="0"/>
              <w:divBdr>
                <w:top w:val="none" w:sz="0" w:space="0" w:color="auto"/>
                <w:left w:val="none" w:sz="0" w:space="0" w:color="auto"/>
                <w:bottom w:val="none" w:sz="0" w:space="0" w:color="auto"/>
                <w:right w:val="none" w:sz="0" w:space="0" w:color="auto"/>
              </w:divBdr>
            </w:div>
            <w:div w:id="16539771">
              <w:marLeft w:val="0"/>
              <w:marRight w:val="0"/>
              <w:marTop w:val="0"/>
              <w:marBottom w:val="0"/>
              <w:divBdr>
                <w:top w:val="none" w:sz="0" w:space="0" w:color="auto"/>
                <w:left w:val="none" w:sz="0" w:space="0" w:color="auto"/>
                <w:bottom w:val="none" w:sz="0" w:space="0" w:color="auto"/>
                <w:right w:val="none" w:sz="0" w:space="0" w:color="auto"/>
              </w:divBdr>
            </w:div>
            <w:div w:id="1851749105">
              <w:marLeft w:val="0"/>
              <w:marRight w:val="0"/>
              <w:marTop w:val="0"/>
              <w:marBottom w:val="0"/>
              <w:divBdr>
                <w:top w:val="none" w:sz="0" w:space="0" w:color="auto"/>
                <w:left w:val="none" w:sz="0" w:space="0" w:color="auto"/>
                <w:bottom w:val="none" w:sz="0" w:space="0" w:color="auto"/>
                <w:right w:val="none" w:sz="0" w:space="0" w:color="auto"/>
              </w:divBdr>
            </w:div>
            <w:div w:id="802161559">
              <w:marLeft w:val="0"/>
              <w:marRight w:val="0"/>
              <w:marTop w:val="0"/>
              <w:marBottom w:val="0"/>
              <w:divBdr>
                <w:top w:val="none" w:sz="0" w:space="0" w:color="auto"/>
                <w:left w:val="none" w:sz="0" w:space="0" w:color="auto"/>
                <w:bottom w:val="none" w:sz="0" w:space="0" w:color="auto"/>
                <w:right w:val="none" w:sz="0" w:space="0" w:color="auto"/>
              </w:divBdr>
            </w:div>
            <w:div w:id="1171069565">
              <w:marLeft w:val="0"/>
              <w:marRight w:val="0"/>
              <w:marTop w:val="0"/>
              <w:marBottom w:val="0"/>
              <w:divBdr>
                <w:top w:val="none" w:sz="0" w:space="0" w:color="auto"/>
                <w:left w:val="none" w:sz="0" w:space="0" w:color="auto"/>
                <w:bottom w:val="none" w:sz="0" w:space="0" w:color="auto"/>
                <w:right w:val="none" w:sz="0" w:space="0" w:color="auto"/>
              </w:divBdr>
            </w:div>
            <w:div w:id="748619572">
              <w:marLeft w:val="0"/>
              <w:marRight w:val="0"/>
              <w:marTop w:val="0"/>
              <w:marBottom w:val="0"/>
              <w:divBdr>
                <w:top w:val="none" w:sz="0" w:space="0" w:color="auto"/>
                <w:left w:val="none" w:sz="0" w:space="0" w:color="auto"/>
                <w:bottom w:val="none" w:sz="0" w:space="0" w:color="auto"/>
                <w:right w:val="none" w:sz="0" w:space="0" w:color="auto"/>
              </w:divBdr>
            </w:div>
            <w:div w:id="1656178355">
              <w:marLeft w:val="0"/>
              <w:marRight w:val="0"/>
              <w:marTop w:val="0"/>
              <w:marBottom w:val="0"/>
              <w:divBdr>
                <w:top w:val="none" w:sz="0" w:space="0" w:color="auto"/>
                <w:left w:val="none" w:sz="0" w:space="0" w:color="auto"/>
                <w:bottom w:val="none" w:sz="0" w:space="0" w:color="auto"/>
                <w:right w:val="none" w:sz="0" w:space="0" w:color="auto"/>
              </w:divBdr>
            </w:div>
            <w:div w:id="1474368121">
              <w:marLeft w:val="0"/>
              <w:marRight w:val="0"/>
              <w:marTop w:val="0"/>
              <w:marBottom w:val="0"/>
              <w:divBdr>
                <w:top w:val="none" w:sz="0" w:space="0" w:color="auto"/>
                <w:left w:val="none" w:sz="0" w:space="0" w:color="auto"/>
                <w:bottom w:val="none" w:sz="0" w:space="0" w:color="auto"/>
                <w:right w:val="none" w:sz="0" w:space="0" w:color="auto"/>
              </w:divBdr>
            </w:div>
            <w:div w:id="1212116199">
              <w:marLeft w:val="0"/>
              <w:marRight w:val="0"/>
              <w:marTop w:val="0"/>
              <w:marBottom w:val="0"/>
              <w:divBdr>
                <w:top w:val="none" w:sz="0" w:space="0" w:color="auto"/>
                <w:left w:val="none" w:sz="0" w:space="0" w:color="auto"/>
                <w:bottom w:val="none" w:sz="0" w:space="0" w:color="auto"/>
                <w:right w:val="none" w:sz="0" w:space="0" w:color="auto"/>
              </w:divBdr>
            </w:div>
            <w:div w:id="2145388128">
              <w:marLeft w:val="0"/>
              <w:marRight w:val="0"/>
              <w:marTop w:val="0"/>
              <w:marBottom w:val="0"/>
              <w:divBdr>
                <w:top w:val="none" w:sz="0" w:space="0" w:color="auto"/>
                <w:left w:val="none" w:sz="0" w:space="0" w:color="auto"/>
                <w:bottom w:val="none" w:sz="0" w:space="0" w:color="auto"/>
                <w:right w:val="none" w:sz="0" w:space="0" w:color="auto"/>
              </w:divBdr>
            </w:div>
            <w:div w:id="277952920">
              <w:marLeft w:val="0"/>
              <w:marRight w:val="0"/>
              <w:marTop w:val="0"/>
              <w:marBottom w:val="0"/>
              <w:divBdr>
                <w:top w:val="none" w:sz="0" w:space="0" w:color="auto"/>
                <w:left w:val="none" w:sz="0" w:space="0" w:color="auto"/>
                <w:bottom w:val="none" w:sz="0" w:space="0" w:color="auto"/>
                <w:right w:val="none" w:sz="0" w:space="0" w:color="auto"/>
              </w:divBdr>
            </w:div>
            <w:div w:id="609319014">
              <w:marLeft w:val="0"/>
              <w:marRight w:val="0"/>
              <w:marTop w:val="0"/>
              <w:marBottom w:val="0"/>
              <w:divBdr>
                <w:top w:val="none" w:sz="0" w:space="0" w:color="auto"/>
                <w:left w:val="none" w:sz="0" w:space="0" w:color="auto"/>
                <w:bottom w:val="none" w:sz="0" w:space="0" w:color="auto"/>
                <w:right w:val="none" w:sz="0" w:space="0" w:color="auto"/>
              </w:divBdr>
            </w:div>
            <w:div w:id="309408167">
              <w:marLeft w:val="0"/>
              <w:marRight w:val="0"/>
              <w:marTop w:val="0"/>
              <w:marBottom w:val="0"/>
              <w:divBdr>
                <w:top w:val="none" w:sz="0" w:space="0" w:color="auto"/>
                <w:left w:val="none" w:sz="0" w:space="0" w:color="auto"/>
                <w:bottom w:val="none" w:sz="0" w:space="0" w:color="auto"/>
                <w:right w:val="none" w:sz="0" w:space="0" w:color="auto"/>
              </w:divBdr>
            </w:div>
            <w:div w:id="2045672414">
              <w:marLeft w:val="0"/>
              <w:marRight w:val="0"/>
              <w:marTop w:val="0"/>
              <w:marBottom w:val="0"/>
              <w:divBdr>
                <w:top w:val="none" w:sz="0" w:space="0" w:color="auto"/>
                <w:left w:val="none" w:sz="0" w:space="0" w:color="auto"/>
                <w:bottom w:val="none" w:sz="0" w:space="0" w:color="auto"/>
                <w:right w:val="none" w:sz="0" w:space="0" w:color="auto"/>
              </w:divBdr>
            </w:div>
            <w:div w:id="530340485">
              <w:marLeft w:val="0"/>
              <w:marRight w:val="0"/>
              <w:marTop w:val="0"/>
              <w:marBottom w:val="0"/>
              <w:divBdr>
                <w:top w:val="none" w:sz="0" w:space="0" w:color="auto"/>
                <w:left w:val="none" w:sz="0" w:space="0" w:color="auto"/>
                <w:bottom w:val="none" w:sz="0" w:space="0" w:color="auto"/>
                <w:right w:val="none" w:sz="0" w:space="0" w:color="auto"/>
              </w:divBdr>
            </w:div>
            <w:div w:id="1336300900">
              <w:marLeft w:val="0"/>
              <w:marRight w:val="0"/>
              <w:marTop w:val="0"/>
              <w:marBottom w:val="0"/>
              <w:divBdr>
                <w:top w:val="none" w:sz="0" w:space="0" w:color="auto"/>
                <w:left w:val="none" w:sz="0" w:space="0" w:color="auto"/>
                <w:bottom w:val="none" w:sz="0" w:space="0" w:color="auto"/>
                <w:right w:val="none" w:sz="0" w:space="0" w:color="auto"/>
              </w:divBdr>
            </w:div>
            <w:div w:id="267204073">
              <w:marLeft w:val="0"/>
              <w:marRight w:val="0"/>
              <w:marTop w:val="0"/>
              <w:marBottom w:val="0"/>
              <w:divBdr>
                <w:top w:val="none" w:sz="0" w:space="0" w:color="auto"/>
                <w:left w:val="none" w:sz="0" w:space="0" w:color="auto"/>
                <w:bottom w:val="none" w:sz="0" w:space="0" w:color="auto"/>
                <w:right w:val="none" w:sz="0" w:space="0" w:color="auto"/>
              </w:divBdr>
            </w:div>
            <w:div w:id="915241717">
              <w:marLeft w:val="0"/>
              <w:marRight w:val="0"/>
              <w:marTop w:val="0"/>
              <w:marBottom w:val="0"/>
              <w:divBdr>
                <w:top w:val="none" w:sz="0" w:space="0" w:color="auto"/>
                <w:left w:val="none" w:sz="0" w:space="0" w:color="auto"/>
                <w:bottom w:val="none" w:sz="0" w:space="0" w:color="auto"/>
                <w:right w:val="none" w:sz="0" w:space="0" w:color="auto"/>
              </w:divBdr>
            </w:div>
            <w:div w:id="801843806">
              <w:marLeft w:val="0"/>
              <w:marRight w:val="0"/>
              <w:marTop w:val="0"/>
              <w:marBottom w:val="0"/>
              <w:divBdr>
                <w:top w:val="none" w:sz="0" w:space="0" w:color="auto"/>
                <w:left w:val="none" w:sz="0" w:space="0" w:color="auto"/>
                <w:bottom w:val="none" w:sz="0" w:space="0" w:color="auto"/>
                <w:right w:val="none" w:sz="0" w:space="0" w:color="auto"/>
              </w:divBdr>
            </w:div>
            <w:div w:id="1692294486">
              <w:marLeft w:val="0"/>
              <w:marRight w:val="0"/>
              <w:marTop w:val="0"/>
              <w:marBottom w:val="0"/>
              <w:divBdr>
                <w:top w:val="none" w:sz="0" w:space="0" w:color="auto"/>
                <w:left w:val="none" w:sz="0" w:space="0" w:color="auto"/>
                <w:bottom w:val="none" w:sz="0" w:space="0" w:color="auto"/>
                <w:right w:val="none" w:sz="0" w:space="0" w:color="auto"/>
              </w:divBdr>
            </w:div>
            <w:div w:id="1544444771">
              <w:marLeft w:val="0"/>
              <w:marRight w:val="0"/>
              <w:marTop w:val="0"/>
              <w:marBottom w:val="0"/>
              <w:divBdr>
                <w:top w:val="none" w:sz="0" w:space="0" w:color="auto"/>
                <w:left w:val="none" w:sz="0" w:space="0" w:color="auto"/>
                <w:bottom w:val="none" w:sz="0" w:space="0" w:color="auto"/>
                <w:right w:val="none" w:sz="0" w:space="0" w:color="auto"/>
              </w:divBdr>
            </w:div>
            <w:div w:id="101341632">
              <w:marLeft w:val="0"/>
              <w:marRight w:val="0"/>
              <w:marTop w:val="0"/>
              <w:marBottom w:val="0"/>
              <w:divBdr>
                <w:top w:val="none" w:sz="0" w:space="0" w:color="auto"/>
                <w:left w:val="none" w:sz="0" w:space="0" w:color="auto"/>
                <w:bottom w:val="none" w:sz="0" w:space="0" w:color="auto"/>
                <w:right w:val="none" w:sz="0" w:space="0" w:color="auto"/>
              </w:divBdr>
            </w:div>
            <w:div w:id="8931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265">
      <w:bodyDiv w:val="1"/>
      <w:marLeft w:val="0"/>
      <w:marRight w:val="0"/>
      <w:marTop w:val="0"/>
      <w:marBottom w:val="0"/>
      <w:divBdr>
        <w:top w:val="none" w:sz="0" w:space="0" w:color="auto"/>
        <w:left w:val="none" w:sz="0" w:space="0" w:color="auto"/>
        <w:bottom w:val="none" w:sz="0" w:space="0" w:color="auto"/>
        <w:right w:val="none" w:sz="0" w:space="0" w:color="auto"/>
      </w:divBdr>
      <w:divsChild>
        <w:div w:id="2008748517">
          <w:marLeft w:val="0"/>
          <w:marRight w:val="0"/>
          <w:marTop w:val="0"/>
          <w:marBottom w:val="0"/>
          <w:divBdr>
            <w:top w:val="none" w:sz="0" w:space="0" w:color="auto"/>
            <w:left w:val="none" w:sz="0" w:space="0" w:color="auto"/>
            <w:bottom w:val="none" w:sz="0" w:space="0" w:color="auto"/>
            <w:right w:val="none" w:sz="0" w:space="0" w:color="auto"/>
          </w:divBdr>
        </w:div>
      </w:divsChild>
    </w:div>
    <w:div w:id="241572072">
      <w:bodyDiv w:val="1"/>
      <w:marLeft w:val="0"/>
      <w:marRight w:val="0"/>
      <w:marTop w:val="0"/>
      <w:marBottom w:val="0"/>
      <w:divBdr>
        <w:top w:val="none" w:sz="0" w:space="0" w:color="auto"/>
        <w:left w:val="none" w:sz="0" w:space="0" w:color="auto"/>
        <w:bottom w:val="none" w:sz="0" w:space="0" w:color="auto"/>
        <w:right w:val="none" w:sz="0" w:space="0" w:color="auto"/>
      </w:divBdr>
      <w:divsChild>
        <w:div w:id="695347150">
          <w:marLeft w:val="0"/>
          <w:marRight w:val="0"/>
          <w:marTop w:val="0"/>
          <w:marBottom w:val="0"/>
          <w:divBdr>
            <w:top w:val="none" w:sz="0" w:space="0" w:color="auto"/>
            <w:left w:val="none" w:sz="0" w:space="0" w:color="auto"/>
            <w:bottom w:val="none" w:sz="0" w:space="0" w:color="auto"/>
            <w:right w:val="none" w:sz="0" w:space="0" w:color="auto"/>
          </w:divBdr>
        </w:div>
        <w:div w:id="589239507">
          <w:marLeft w:val="0"/>
          <w:marRight w:val="0"/>
          <w:marTop w:val="0"/>
          <w:marBottom w:val="0"/>
          <w:divBdr>
            <w:top w:val="none" w:sz="0" w:space="0" w:color="auto"/>
            <w:left w:val="none" w:sz="0" w:space="0" w:color="auto"/>
            <w:bottom w:val="none" w:sz="0" w:space="0" w:color="auto"/>
            <w:right w:val="none" w:sz="0" w:space="0" w:color="auto"/>
          </w:divBdr>
        </w:div>
        <w:div w:id="1584415557">
          <w:marLeft w:val="0"/>
          <w:marRight w:val="0"/>
          <w:marTop w:val="0"/>
          <w:marBottom w:val="0"/>
          <w:divBdr>
            <w:top w:val="none" w:sz="0" w:space="0" w:color="auto"/>
            <w:left w:val="none" w:sz="0" w:space="0" w:color="auto"/>
            <w:bottom w:val="none" w:sz="0" w:space="0" w:color="auto"/>
            <w:right w:val="none" w:sz="0" w:space="0" w:color="auto"/>
          </w:divBdr>
        </w:div>
        <w:div w:id="1478230723">
          <w:marLeft w:val="0"/>
          <w:marRight w:val="0"/>
          <w:marTop w:val="0"/>
          <w:marBottom w:val="0"/>
          <w:divBdr>
            <w:top w:val="none" w:sz="0" w:space="0" w:color="auto"/>
            <w:left w:val="none" w:sz="0" w:space="0" w:color="auto"/>
            <w:bottom w:val="none" w:sz="0" w:space="0" w:color="auto"/>
            <w:right w:val="none" w:sz="0" w:space="0" w:color="auto"/>
          </w:divBdr>
        </w:div>
        <w:div w:id="55517455">
          <w:marLeft w:val="0"/>
          <w:marRight w:val="0"/>
          <w:marTop w:val="0"/>
          <w:marBottom w:val="0"/>
          <w:divBdr>
            <w:top w:val="none" w:sz="0" w:space="0" w:color="auto"/>
            <w:left w:val="none" w:sz="0" w:space="0" w:color="auto"/>
            <w:bottom w:val="none" w:sz="0" w:space="0" w:color="auto"/>
            <w:right w:val="none" w:sz="0" w:space="0" w:color="auto"/>
          </w:divBdr>
        </w:div>
        <w:div w:id="1622760525">
          <w:marLeft w:val="0"/>
          <w:marRight w:val="0"/>
          <w:marTop w:val="0"/>
          <w:marBottom w:val="0"/>
          <w:divBdr>
            <w:top w:val="none" w:sz="0" w:space="0" w:color="auto"/>
            <w:left w:val="none" w:sz="0" w:space="0" w:color="auto"/>
            <w:bottom w:val="none" w:sz="0" w:space="0" w:color="auto"/>
            <w:right w:val="none" w:sz="0" w:space="0" w:color="auto"/>
          </w:divBdr>
        </w:div>
      </w:divsChild>
    </w:div>
    <w:div w:id="382599736">
      <w:bodyDiv w:val="1"/>
      <w:marLeft w:val="0"/>
      <w:marRight w:val="0"/>
      <w:marTop w:val="0"/>
      <w:marBottom w:val="0"/>
      <w:divBdr>
        <w:top w:val="none" w:sz="0" w:space="0" w:color="auto"/>
        <w:left w:val="none" w:sz="0" w:space="0" w:color="auto"/>
        <w:bottom w:val="none" w:sz="0" w:space="0" w:color="auto"/>
        <w:right w:val="none" w:sz="0" w:space="0" w:color="auto"/>
      </w:divBdr>
      <w:divsChild>
        <w:div w:id="1538355126">
          <w:marLeft w:val="0"/>
          <w:marRight w:val="0"/>
          <w:marTop w:val="0"/>
          <w:marBottom w:val="0"/>
          <w:divBdr>
            <w:top w:val="none" w:sz="0" w:space="0" w:color="auto"/>
            <w:left w:val="none" w:sz="0" w:space="0" w:color="auto"/>
            <w:bottom w:val="none" w:sz="0" w:space="0" w:color="auto"/>
            <w:right w:val="none" w:sz="0" w:space="0" w:color="auto"/>
          </w:divBdr>
        </w:div>
        <w:div w:id="921913468">
          <w:marLeft w:val="0"/>
          <w:marRight w:val="0"/>
          <w:marTop w:val="0"/>
          <w:marBottom w:val="0"/>
          <w:divBdr>
            <w:top w:val="none" w:sz="0" w:space="0" w:color="auto"/>
            <w:left w:val="none" w:sz="0" w:space="0" w:color="auto"/>
            <w:bottom w:val="none" w:sz="0" w:space="0" w:color="auto"/>
            <w:right w:val="none" w:sz="0" w:space="0" w:color="auto"/>
          </w:divBdr>
        </w:div>
        <w:div w:id="1659961580">
          <w:marLeft w:val="0"/>
          <w:marRight w:val="0"/>
          <w:marTop w:val="0"/>
          <w:marBottom w:val="0"/>
          <w:divBdr>
            <w:top w:val="none" w:sz="0" w:space="0" w:color="auto"/>
            <w:left w:val="none" w:sz="0" w:space="0" w:color="auto"/>
            <w:bottom w:val="none" w:sz="0" w:space="0" w:color="auto"/>
            <w:right w:val="none" w:sz="0" w:space="0" w:color="auto"/>
          </w:divBdr>
        </w:div>
        <w:div w:id="1730954859">
          <w:marLeft w:val="0"/>
          <w:marRight w:val="0"/>
          <w:marTop w:val="0"/>
          <w:marBottom w:val="0"/>
          <w:divBdr>
            <w:top w:val="none" w:sz="0" w:space="0" w:color="auto"/>
            <w:left w:val="none" w:sz="0" w:space="0" w:color="auto"/>
            <w:bottom w:val="none" w:sz="0" w:space="0" w:color="auto"/>
            <w:right w:val="none" w:sz="0" w:space="0" w:color="auto"/>
          </w:divBdr>
        </w:div>
        <w:div w:id="579872971">
          <w:marLeft w:val="0"/>
          <w:marRight w:val="0"/>
          <w:marTop w:val="0"/>
          <w:marBottom w:val="0"/>
          <w:divBdr>
            <w:top w:val="none" w:sz="0" w:space="0" w:color="auto"/>
            <w:left w:val="none" w:sz="0" w:space="0" w:color="auto"/>
            <w:bottom w:val="none" w:sz="0" w:space="0" w:color="auto"/>
            <w:right w:val="none" w:sz="0" w:space="0" w:color="auto"/>
          </w:divBdr>
        </w:div>
      </w:divsChild>
    </w:div>
    <w:div w:id="438835318">
      <w:bodyDiv w:val="1"/>
      <w:marLeft w:val="0"/>
      <w:marRight w:val="0"/>
      <w:marTop w:val="0"/>
      <w:marBottom w:val="0"/>
      <w:divBdr>
        <w:top w:val="none" w:sz="0" w:space="0" w:color="auto"/>
        <w:left w:val="none" w:sz="0" w:space="0" w:color="auto"/>
        <w:bottom w:val="none" w:sz="0" w:space="0" w:color="auto"/>
        <w:right w:val="none" w:sz="0" w:space="0" w:color="auto"/>
      </w:divBdr>
      <w:divsChild>
        <w:div w:id="935553213">
          <w:marLeft w:val="0"/>
          <w:marRight w:val="0"/>
          <w:marTop w:val="0"/>
          <w:marBottom w:val="0"/>
          <w:divBdr>
            <w:top w:val="none" w:sz="0" w:space="0" w:color="auto"/>
            <w:left w:val="none" w:sz="0" w:space="0" w:color="auto"/>
            <w:bottom w:val="none" w:sz="0" w:space="0" w:color="auto"/>
            <w:right w:val="none" w:sz="0" w:space="0" w:color="auto"/>
          </w:divBdr>
        </w:div>
        <w:div w:id="977957817">
          <w:marLeft w:val="0"/>
          <w:marRight w:val="0"/>
          <w:marTop w:val="0"/>
          <w:marBottom w:val="0"/>
          <w:divBdr>
            <w:top w:val="none" w:sz="0" w:space="0" w:color="auto"/>
            <w:left w:val="none" w:sz="0" w:space="0" w:color="auto"/>
            <w:bottom w:val="none" w:sz="0" w:space="0" w:color="auto"/>
            <w:right w:val="none" w:sz="0" w:space="0" w:color="auto"/>
          </w:divBdr>
        </w:div>
      </w:divsChild>
    </w:div>
    <w:div w:id="654065996">
      <w:bodyDiv w:val="1"/>
      <w:marLeft w:val="0"/>
      <w:marRight w:val="0"/>
      <w:marTop w:val="0"/>
      <w:marBottom w:val="0"/>
      <w:divBdr>
        <w:top w:val="none" w:sz="0" w:space="0" w:color="auto"/>
        <w:left w:val="none" w:sz="0" w:space="0" w:color="auto"/>
        <w:bottom w:val="none" w:sz="0" w:space="0" w:color="auto"/>
        <w:right w:val="none" w:sz="0" w:space="0" w:color="auto"/>
      </w:divBdr>
      <w:divsChild>
        <w:div w:id="1915117829">
          <w:marLeft w:val="0"/>
          <w:marRight w:val="0"/>
          <w:marTop w:val="0"/>
          <w:marBottom w:val="0"/>
          <w:divBdr>
            <w:top w:val="none" w:sz="0" w:space="0" w:color="auto"/>
            <w:left w:val="none" w:sz="0" w:space="0" w:color="auto"/>
            <w:bottom w:val="none" w:sz="0" w:space="0" w:color="auto"/>
            <w:right w:val="none" w:sz="0" w:space="0" w:color="auto"/>
          </w:divBdr>
        </w:div>
      </w:divsChild>
    </w:div>
    <w:div w:id="676419379">
      <w:bodyDiv w:val="1"/>
      <w:marLeft w:val="0"/>
      <w:marRight w:val="0"/>
      <w:marTop w:val="0"/>
      <w:marBottom w:val="0"/>
      <w:divBdr>
        <w:top w:val="none" w:sz="0" w:space="0" w:color="auto"/>
        <w:left w:val="none" w:sz="0" w:space="0" w:color="auto"/>
        <w:bottom w:val="none" w:sz="0" w:space="0" w:color="auto"/>
        <w:right w:val="none" w:sz="0" w:space="0" w:color="auto"/>
      </w:divBdr>
    </w:div>
    <w:div w:id="776292292">
      <w:bodyDiv w:val="1"/>
      <w:marLeft w:val="0"/>
      <w:marRight w:val="0"/>
      <w:marTop w:val="0"/>
      <w:marBottom w:val="0"/>
      <w:divBdr>
        <w:top w:val="none" w:sz="0" w:space="0" w:color="auto"/>
        <w:left w:val="none" w:sz="0" w:space="0" w:color="auto"/>
        <w:bottom w:val="none" w:sz="0" w:space="0" w:color="auto"/>
        <w:right w:val="none" w:sz="0" w:space="0" w:color="auto"/>
      </w:divBdr>
      <w:divsChild>
        <w:div w:id="614756501">
          <w:marLeft w:val="0"/>
          <w:marRight w:val="0"/>
          <w:marTop w:val="0"/>
          <w:marBottom w:val="0"/>
          <w:divBdr>
            <w:top w:val="none" w:sz="0" w:space="0" w:color="auto"/>
            <w:left w:val="none" w:sz="0" w:space="0" w:color="auto"/>
            <w:bottom w:val="none" w:sz="0" w:space="0" w:color="auto"/>
            <w:right w:val="none" w:sz="0" w:space="0" w:color="auto"/>
          </w:divBdr>
        </w:div>
      </w:divsChild>
    </w:div>
    <w:div w:id="788814121">
      <w:bodyDiv w:val="1"/>
      <w:marLeft w:val="0"/>
      <w:marRight w:val="0"/>
      <w:marTop w:val="0"/>
      <w:marBottom w:val="0"/>
      <w:divBdr>
        <w:top w:val="none" w:sz="0" w:space="0" w:color="auto"/>
        <w:left w:val="none" w:sz="0" w:space="0" w:color="auto"/>
        <w:bottom w:val="none" w:sz="0" w:space="0" w:color="auto"/>
        <w:right w:val="none" w:sz="0" w:space="0" w:color="auto"/>
      </w:divBdr>
      <w:divsChild>
        <w:div w:id="802580995">
          <w:marLeft w:val="0"/>
          <w:marRight w:val="0"/>
          <w:marTop w:val="0"/>
          <w:marBottom w:val="0"/>
          <w:divBdr>
            <w:top w:val="none" w:sz="0" w:space="0" w:color="auto"/>
            <w:left w:val="none" w:sz="0" w:space="0" w:color="auto"/>
            <w:bottom w:val="none" w:sz="0" w:space="0" w:color="auto"/>
            <w:right w:val="none" w:sz="0" w:space="0" w:color="auto"/>
          </w:divBdr>
        </w:div>
        <w:div w:id="261954796">
          <w:marLeft w:val="0"/>
          <w:marRight w:val="0"/>
          <w:marTop w:val="0"/>
          <w:marBottom w:val="0"/>
          <w:divBdr>
            <w:top w:val="none" w:sz="0" w:space="0" w:color="auto"/>
            <w:left w:val="none" w:sz="0" w:space="0" w:color="auto"/>
            <w:bottom w:val="none" w:sz="0" w:space="0" w:color="auto"/>
            <w:right w:val="none" w:sz="0" w:space="0" w:color="auto"/>
          </w:divBdr>
        </w:div>
        <w:div w:id="308024241">
          <w:marLeft w:val="0"/>
          <w:marRight w:val="0"/>
          <w:marTop w:val="0"/>
          <w:marBottom w:val="0"/>
          <w:divBdr>
            <w:top w:val="none" w:sz="0" w:space="0" w:color="auto"/>
            <w:left w:val="none" w:sz="0" w:space="0" w:color="auto"/>
            <w:bottom w:val="none" w:sz="0" w:space="0" w:color="auto"/>
            <w:right w:val="none" w:sz="0" w:space="0" w:color="auto"/>
          </w:divBdr>
        </w:div>
        <w:div w:id="1938908469">
          <w:marLeft w:val="0"/>
          <w:marRight w:val="0"/>
          <w:marTop w:val="0"/>
          <w:marBottom w:val="0"/>
          <w:divBdr>
            <w:top w:val="none" w:sz="0" w:space="0" w:color="auto"/>
            <w:left w:val="none" w:sz="0" w:space="0" w:color="auto"/>
            <w:bottom w:val="none" w:sz="0" w:space="0" w:color="auto"/>
            <w:right w:val="none" w:sz="0" w:space="0" w:color="auto"/>
          </w:divBdr>
        </w:div>
        <w:div w:id="1107654820">
          <w:marLeft w:val="0"/>
          <w:marRight w:val="0"/>
          <w:marTop w:val="0"/>
          <w:marBottom w:val="0"/>
          <w:divBdr>
            <w:top w:val="none" w:sz="0" w:space="0" w:color="auto"/>
            <w:left w:val="none" w:sz="0" w:space="0" w:color="auto"/>
            <w:bottom w:val="none" w:sz="0" w:space="0" w:color="auto"/>
            <w:right w:val="none" w:sz="0" w:space="0" w:color="auto"/>
          </w:divBdr>
        </w:div>
        <w:div w:id="1331055466">
          <w:marLeft w:val="0"/>
          <w:marRight w:val="0"/>
          <w:marTop w:val="0"/>
          <w:marBottom w:val="0"/>
          <w:divBdr>
            <w:top w:val="none" w:sz="0" w:space="0" w:color="auto"/>
            <w:left w:val="none" w:sz="0" w:space="0" w:color="auto"/>
            <w:bottom w:val="none" w:sz="0" w:space="0" w:color="auto"/>
            <w:right w:val="none" w:sz="0" w:space="0" w:color="auto"/>
          </w:divBdr>
        </w:div>
        <w:div w:id="1301956913">
          <w:marLeft w:val="0"/>
          <w:marRight w:val="0"/>
          <w:marTop w:val="0"/>
          <w:marBottom w:val="0"/>
          <w:divBdr>
            <w:top w:val="none" w:sz="0" w:space="0" w:color="auto"/>
            <w:left w:val="none" w:sz="0" w:space="0" w:color="auto"/>
            <w:bottom w:val="none" w:sz="0" w:space="0" w:color="auto"/>
            <w:right w:val="none" w:sz="0" w:space="0" w:color="auto"/>
          </w:divBdr>
        </w:div>
        <w:div w:id="1995796262">
          <w:marLeft w:val="0"/>
          <w:marRight w:val="0"/>
          <w:marTop w:val="0"/>
          <w:marBottom w:val="0"/>
          <w:divBdr>
            <w:top w:val="none" w:sz="0" w:space="0" w:color="auto"/>
            <w:left w:val="none" w:sz="0" w:space="0" w:color="auto"/>
            <w:bottom w:val="none" w:sz="0" w:space="0" w:color="auto"/>
            <w:right w:val="none" w:sz="0" w:space="0" w:color="auto"/>
          </w:divBdr>
        </w:div>
        <w:div w:id="632364746">
          <w:marLeft w:val="0"/>
          <w:marRight w:val="0"/>
          <w:marTop w:val="0"/>
          <w:marBottom w:val="0"/>
          <w:divBdr>
            <w:top w:val="none" w:sz="0" w:space="0" w:color="auto"/>
            <w:left w:val="none" w:sz="0" w:space="0" w:color="auto"/>
            <w:bottom w:val="none" w:sz="0" w:space="0" w:color="auto"/>
            <w:right w:val="none" w:sz="0" w:space="0" w:color="auto"/>
          </w:divBdr>
        </w:div>
        <w:div w:id="1288852978">
          <w:marLeft w:val="0"/>
          <w:marRight w:val="0"/>
          <w:marTop w:val="0"/>
          <w:marBottom w:val="0"/>
          <w:divBdr>
            <w:top w:val="none" w:sz="0" w:space="0" w:color="auto"/>
            <w:left w:val="none" w:sz="0" w:space="0" w:color="auto"/>
            <w:bottom w:val="none" w:sz="0" w:space="0" w:color="auto"/>
            <w:right w:val="none" w:sz="0" w:space="0" w:color="auto"/>
          </w:divBdr>
        </w:div>
        <w:div w:id="911354507">
          <w:marLeft w:val="0"/>
          <w:marRight w:val="0"/>
          <w:marTop w:val="0"/>
          <w:marBottom w:val="0"/>
          <w:divBdr>
            <w:top w:val="none" w:sz="0" w:space="0" w:color="auto"/>
            <w:left w:val="none" w:sz="0" w:space="0" w:color="auto"/>
            <w:bottom w:val="none" w:sz="0" w:space="0" w:color="auto"/>
            <w:right w:val="none" w:sz="0" w:space="0" w:color="auto"/>
          </w:divBdr>
        </w:div>
      </w:divsChild>
    </w:div>
    <w:div w:id="1004671210">
      <w:bodyDiv w:val="1"/>
      <w:marLeft w:val="0"/>
      <w:marRight w:val="0"/>
      <w:marTop w:val="0"/>
      <w:marBottom w:val="0"/>
      <w:divBdr>
        <w:top w:val="none" w:sz="0" w:space="0" w:color="auto"/>
        <w:left w:val="none" w:sz="0" w:space="0" w:color="auto"/>
        <w:bottom w:val="none" w:sz="0" w:space="0" w:color="auto"/>
        <w:right w:val="none" w:sz="0" w:space="0" w:color="auto"/>
      </w:divBdr>
      <w:divsChild>
        <w:div w:id="390691009">
          <w:marLeft w:val="0"/>
          <w:marRight w:val="0"/>
          <w:marTop w:val="0"/>
          <w:marBottom w:val="0"/>
          <w:divBdr>
            <w:top w:val="none" w:sz="0" w:space="0" w:color="auto"/>
            <w:left w:val="none" w:sz="0" w:space="0" w:color="auto"/>
            <w:bottom w:val="none" w:sz="0" w:space="0" w:color="auto"/>
            <w:right w:val="none" w:sz="0" w:space="0" w:color="auto"/>
          </w:divBdr>
          <w:divsChild>
            <w:div w:id="953437289">
              <w:marLeft w:val="0"/>
              <w:marRight w:val="0"/>
              <w:marTop w:val="0"/>
              <w:marBottom w:val="0"/>
              <w:divBdr>
                <w:top w:val="none" w:sz="0" w:space="0" w:color="auto"/>
                <w:left w:val="none" w:sz="0" w:space="0" w:color="auto"/>
                <w:bottom w:val="none" w:sz="0" w:space="0" w:color="auto"/>
                <w:right w:val="none" w:sz="0" w:space="0" w:color="auto"/>
              </w:divBdr>
            </w:div>
            <w:div w:id="2058429673">
              <w:marLeft w:val="0"/>
              <w:marRight w:val="0"/>
              <w:marTop w:val="0"/>
              <w:marBottom w:val="0"/>
              <w:divBdr>
                <w:top w:val="none" w:sz="0" w:space="0" w:color="auto"/>
                <w:left w:val="none" w:sz="0" w:space="0" w:color="auto"/>
                <w:bottom w:val="none" w:sz="0" w:space="0" w:color="auto"/>
                <w:right w:val="none" w:sz="0" w:space="0" w:color="auto"/>
              </w:divBdr>
            </w:div>
            <w:div w:id="317273278">
              <w:marLeft w:val="0"/>
              <w:marRight w:val="0"/>
              <w:marTop w:val="0"/>
              <w:marBottom w:val="0"/>
              <w:divBdr>
                <w:top w:val="none" w:sz="0" w:space="0" w:color="auto"/>
                <w:left w:val="none" w:sz="0" w:space="0" w:color="auto"/>
                <w:bottom w:val="none" w:sz="0" w:space="0" w:color="auto"/>
                <w:right w:val="none" w:sz="0" w:space="0" w:color="auto"/>
              </w:divBdr>
            </w:div>
            <w:div w:id="27879154">
              <w:marLeft w:val="0"/>
              <w:marRight w:val="0"/>
              <w:marTop w:val="0"/>
              <w:marBottom w:val="0"/>
              <w:divBdr>
                <w:top w:val="none" w:sz="0" w:space="0" w:color="auto"/>
                <w:left w:val="none" w:sz="0" w:space="0" w:color="auto"/>
                <w:bottom w:val="none" w:sz="0" w:space="0" w:color="auto"/>
                <w:right w:val="none" w:sz="0" w:space="0" w:color="auto"/>
              </w:divBdr>
            </w:div>
            <w:div w:id="184564682">
              <w:marLeft w:val="0"/>
              <w:marRight w:val="0"/>
              <w:marTop w:val="0"/>
              <w:marBottom w:val="0"/>
              <w:divBdr>
                <w:top w:val="none" w:sz="0" w:space="0" w:color="auto"/>
                <w:left w:val="none" w:sz="0" w:space="0" w:color="auto"/>
                <w:bottom w:val="none" w:sz="0" w:space="0" w:color="auto"/>
                <w:right w:val="none" w:sz="0" w:space="0" w:color="auto"/>
              </w:divBdr>
            </w:div>
            <w:div w:id="1147164144">
              <w:marLeft w:val="0"/>
              <w:marRight w:val="0"/>
              <w:marTop w:val="0"/>
              <w:marBottom w:val="0"/>
              <w:divBdr>
                <w:top w:val="none" w:sz="0" w:space="0" w:color="auto"/>
                <w:left w:val="none" w:sz="0" w:space="0" w:color="auto"/>
                <w:bottom w:val="none" w:sz="0" w:space="0" w:color="auto"/>
                <w:right w:val="none" w:sz="0" w:space="0" w:color="auto"/>
              </w:divBdr>
            </w:div>
            <w:div w:id="2036538152">
              <w:marLeft w:val="0"/>
              <w:marRight w:val="0"/>
              <w:marTop w:val="0"/>
              <w:marBottom w:val="0"/>
              <w:divBdr>
                <w:top w:val="none" w:sz="0" w:space="0" w:color="auto"/>
                <w:left w:val="none" w:sz="0" w:space="0" w:color="auto"/>
                <w:bottom w:val="none" w:sz="0" w:space="0" w:color="auto"/>
                <w:right w:val="none" w:sz="0" w:space="0" w:color="auto"/>
              </w:divBdr>
            </w:div>
            <w:div w:id="1838424820">
              <w:marLeft w:val="0"/>
              <w:marRight w:val="0"/>
              <w:marTop w:val="0"/>
              <w:marBottom w:val="0"/>
              <w:divBdr>
                <w:top w:val="none" w:sz="0" w:space="0" w:color="auto"/>
                <w:left w:val="none" w:sz="0" w:space="0" w:color="auto"/>
                <w:bottom w:val="none" w:sz="0" w:space="0" w:color="auto"/>
                <w:right w:val="none" w:sz="0" w:space="0" w:color="auto"/>
              </w:divBdr>
            </w:div>
            <w:div w:id="1846673445">
              <w:marLeft w:val="0"/>
              <w:marRight w:val="0"/>
              <w:marTop w:val="0"/>
              <w:marBottom w:val="0"/>
              <w:divBdr>
                <w:top w:val="none" w:sz="0" w:space="0" w:color="auto"/>
                <w:left w:val="none" w:sz="0" w:space="0" w:color="auto"/>
                <w:bottom w:val="none" w:sz="0" w:space="0" w:color="auto"/>
                <w:right w:val="none" w:sz="0" w:space="0" w:color="auto"/>
              </w:divBdr>
            </w:div>
            <w:div w:id="634260737">
              <w:marLeft w:val="0"/>
              <w:marRight w:val="0"/>
              <w:marTop w:val="0"/>
              <w:marBottom w:val="0"/>
              <w:divBdr>
                <w:top w:val="none" w:sz="0" w:space="0" w:color="auto"/>
                <w:left w:val="none" w:sz="0" w:space="0" w:color="auto"/>
                <w:bottom w:val="none" w:sz="0" w:space="0" w:color="auto"/>
                <w:right w:val="none" w:sz="0" w:space="0" w:color="auto"/>
              </w:divBdr>
            </w:div>
            <w:div w:id="1798327673">
              <w:marLeft w:val="0"/>
              <w:marRight w:val="0"/>
              <w:marTop w:val="0"/>
              <w:marBottom w:val="0"/>
              <w:divBdr>
                <w:top w:val="none" w:sz="0" w:space="0" w:color="auto"/>
                <w:left w:val="none" w:sz="0" w:space="0" w:color="auto"/>
                <w:bottom w:val="none" w:sz="0" w:space="0" w:color="auto"/>
                <w:right w:val="none" w:sz="0" w:space="0" w:color="auto"/>
              </w:divBdr>
            </w:div>
            <w:div w:id="1236621916">
              <w:marLeft w:val="0"/>
              <w:marRight w:val="0"/>
              <w:marTop w:val="0"/>
              <w:marBottom w:val="0"/>
              <w:divBdr>
                <w:top w:val="none" w:sz="0" w:space="0" w:color="auto"/>
                <w:left w:val="none" w:sz="0" w:space="0" w:color="auto"/>
                <w:bottom w:val="none" w:sz="0" w:space="0" w:color="auto"/>
                <w:right w:val="none" w:sz="0" w:space="0" w:color="auto"/>
              </w:divBdr>
            </w:div>
            <w:div w:id="681929363">
              <w:marLeft w:val="0"/>
              <w:marRight w:val="0"/>
              <w:marTop w:val="0"/>
              <w:marBottom w:val="0"/>
              <w:divBdr>
                <w:top w:val="none" w:sz="0" w:space="0" w:color="auto"/>
                <w:left w:val="none" w:sz="0" w:space="0" w:color="auto"/>
                <w:bottom w:val="none" w:sz="0" w:space="0" w:color="auto"/>
                <w:right w:val="none" w:sz="0" w:space="0" w:color="auto"/>
              </w:divBdr>
            </w:div>
            <w:div w:id="1043748633">
              <w:marLeft w:val="0"/>
              <w:marRight w:val="0"/>
              <w:marTop w:val="0"/>
              <w:marBottom w:val="0"/>
              <w:divBdr>
                <w:top w:val="none" w:sz="0" w:space="0" w:color="auto"/>
                <w:left w:val="none" w:sz="0" w:space="0" w:color="auto"/>
                <w:bottom w:val="none" w:sz="0" w:space="0" w:color="auto"/>
                <w:right w:val="none" w:sz="0" w:space="0" w:color="auto"/>
              </w:divBdr>
            </w:div>
            <w:div w:id="1824000767">
              <w:marLeft w:val="0"/>
              <w:marRight w:val="0"/>
              <w:marTop w:val="0"/>
              <w:marBottom w:val="0"/>
              <w:divBdr>
                <w:top w:val="none" w:sz="0" w:space="0" w:color="auto"/>
                <w:left w:val="none" w:sz="0" w:space="0" w:color="auto"/>
                <w:bottom w:val="none" w:sz="0" w:space="0" w:color="auto"/>
                <w:right w:val="none" w:sz="0" w:space="0" w:color="auto"/>
              </w:divBdr>
            </w:div>
            <w:div w:id="1565994315">
              <w:marLeft w:val="0"/>
              <w:marRight w:val="0"/>
              <w:marTop w:val="0"/>
              <w:marBottom w:val="0"/>
              <w:divBdr>
                <w:top w:val="none" w:sz="0" w:space="0" w:color="auto"/>
                <w:left w:val="none" w:sz="0" w:space="0" w:color="auto"/>
                <w:bottom w:val="none" w:sz="0" w:space="0" w:color="auto"/>
                <w:right w:val="none" w:sz="0" w:space="0" w:color="auto"/>
              </w:divBdr>
            </w:div>
            <w:div w:id="453208238">
              <w:marLeft w:val="0"/>
              <w:marRight w:val="0"/>
              <w:marTop w:val="0"/>
              <w:marBottom w:val="0"/>
              <w:divBdr>
                <w:top w:val="none" w:sz="0" w:space="0" w:color="auto"/>
                <w:left w:val="none" w:sz="0" w:space="0" w:color="auto"/>
                <w:bottom w:val="none" w:sz="0" w:space="0" w:color="auto"/>
                <w:right w:val="none" w:sz="0" w:space="0" w:color="auto"/>
              </w:divBdr>
            </w:div>
            <w:div w:id="1917746026">
              <w:marLeft w:val="0"/>
              <w:marRight w:val="0"/>
              <w:marTop w:val="0"/>
              <w:marBottom w:val="0"/>
              <w:divBdr>
                <w:top w:val="none" w:sz="0" w:space="0" w:color="auto"/>
                <w:left w:val="none" w:sz="0" w:space="0" w:color="auto"/>
                <w:bottom w:val="none" w:sz="0" w:space="0" w:color="auto"/>
                <w:right w:val="none" w:sz="0" w:space="0" w:color="auto"/>
              </w:divBdr>
            </w:div>
            <w:div w:id="1162966053">
              <w:marLeft w:val="0"/>
              <w:marRight w:val="0"/>
              <w:marTop w:val="0"/>
              <w:marBottom w:val="0"/>
              <w:divBdr>
                <w:top w:val="none" w:sz="0" w:space="0" w:color="auto"/>
                <w:left w:val="none" w:sz="0" w:space="0" w:color="auto"/>
                <w:bottom w:val="none" w:sz="0" w:space="0" w:color="auto"/>
                <w:right w:val="none" w:sz="0" w:space="0" w:color="auto"/>
              </w:divBdr>
            </w:div>
            <w:div w:id="1317345645">
              <w:marLeft w:val="0"/>
              <w:marRight w:val="0"/>
              <w:marTop w:val="0"/>
              <w:marBottom w:val="0"/>
              <w:divBdr>
                <w:top w:val="none" w:sz="0" w:space="0" w:color="auto"/>
                <w:left w:val="none" w:sz="0" w:space="0" w:color="auto"/>
                <w:bottom w:val="none" w:sz="0" w:space="0" w:color="auto"/>
                <w:right w:val="none" w:sz="0" w:space="0" w:color="auto"/>
              </w:divBdr>
            </w:div>
            <w:div w:id="174927031">
              <w:marLeft w:val="0"/>
              <w:marRight w:val="0"/>
              <w:marTop w:val="0"/>
              <w:marBottom w:val="0"/>
              <w:divBdr>
                <w:top w:val="none" w:sz="0" w:space="0" w:color="auto"/>
                <w:left w:val="none" w:sz="0" w:space="0" w:color="auto"/>
                <w:bottom w:val="none" w:sz="0" w:space="0" w:color="auto"/>
                <w:right w:val="none" w:sz="0" w:space="0" w:color="auto"/>
              </w:divBdr>
            </w:div>
            <w:div w:id="9573926">
              <w:marLeft w:val="0"/>
              <w:marRight w:val="0"/>
              <w:marTop w:val="0"/>
              <w:marBottom w:val="0"/>
              <w:divBdr>
                <w:top w:val="none" w:sz="0" w:space="0" w:color="auto"/>
                <w:left w:val="none" w:sz="0" w:space="0" w:color="auto"/>
                <w:bottom w:val="none" w:sz="0" w:space="0" w:color="auto"/>
                <w:right w:val="none" w:sz="0" w:space="0" w:color="auto"/>
              </w:divBdr>
            </w:div>
            <w:div w:id="1172139941">
              <w:marLeft w:val="0"/>
              <w:marRight w:val="0"/>
              <w:marTop w:val="0"/>
              <w:marBottom w:val="0"/>
              <w:divBdr>
                <w:top w:val="none" w:sz="0" w:space="0" w:color="auto"/>
                <w:left w:val="none" w:sz="0" w:space="0" w:color="auto"/>
                <w:bottom w:val="none" w:sz="0" w:space="0" w:color="auto"/>
                <w:right w:val="none" w:sz="0" w:space="0" w:color="auto"/>
              </w:divBdr>
            </w:div>
            <w:div w:id="1106116692">
              <w:marLeft w:val="0"/>
              <w:marRight w:val="0"/>
              <w:marTop w:val="0"/>
              <w:marBottom w:val="0"/>
              <w:divBdr>
                <w:top w:val="none" w:sz="0" w:space="0" w:color="auto"/>
                <w:left w:val="none" w:sz="0" w:space="0" w:color="auto"/>
                <w:bottom w:val="none" w:sz="0" w:space="0" w:color="auto"/>
                <w:right w:val="none" w:sz="0" w:space="0" w:color="auto"/>
              </w:divBdr>
            </w:div>
            <w:div w:id="694844849">
              <w:marLeft w:val="0"/>
              <w:marRight w:val="0"/>
              <w:marTop w:val="0"/>
              <w:marBottom w:val="0"/>
              <w:divBdr>
                <w:top w:val="none" w:sz="0" w:space="0" w:color="auto"/>
                <w:left w:val="none" w:sz="0" w:space="0" w:color="auto"/>
                <w:bottom w:val="none" w:sz="0" w:space="0" w:color="auto"/>
                <w:right w:val="none" w:sz="0" w:space="0" w:color="auto"/>
              </w:divBdr>
            </w:div>
            <w:div w:id="443505847">
              <w:marLeft w:val="0"/>
              <w:marRight w:val="0"/>
              <w:marTop w:val="0"/>
              <w:marBottom w:val="0"/>
              <w:divBdr>
                <w:top w:val="none" w:sz="0" w:space="0" w:color="auto"/>
                <w:left w:val="none" w:sz="0" w:space="0" w:color="auto"/>
                <w:bottom w:val="none" w:sz="0" w:space="0" w:color="auto"/>
                <w:right w:val="none" w:sz="0" w:space="0" w:color="auto"/>
              </w:divBdr>
            </w:div>
            <w:div w:id="2115394915">
              <w:marLeft w:val="0"/>
              <w:marRight w:val="0"/>
              <w:marTop w:val="0"/>
              <w:marBottom w:val="0"/>
              <w:divBdr>
                <w:top w:val="none" w:sz="0" w:space="0" w:color="auto"/>
                <w:left w:val="none" w:sz="0" w:space="0" w:color="auto"/>
                <w:bottom w:val="none" w:sz="0" w:space="0" w:color="auto"/>
                <w:right w:val="none" w:sz="0" w:space="0" w:color="auto"/>
              </w:divBdr>
            </w:div>
            <w:div w:id="1084956041">
              <w:marLeft w:val="0"/>
              <w:marRight w:val="0"/>
              <w:marTop w:val="0"/>
              <w:marBottom w:val="0"/>
              <w:divBdr>
                <w:top w:val="none" w:sz="0" w:space="0" w:color="auto"/>
                <w:left w:val="none" w:sz="0" w:space="0" w:color="auto"/>
                <w:bottom w:val="none" w:sz="0" w:space="0" w:color="auto"/>
                <w:right w:val="none" w:sz="0" w:space="0" w:color="auto"/>
              </w:divBdr>
            </w:div>
            <w:div w:id="540023237">
              <w:marLeft w:val="0"/>
              <w:marRight w:val="0"/>
              <w:marTop w:val="0"/>
              <w:marBottom w:val="0"/>
              <w:divBdr>
                <w:top w:val="none" w:sz="0" w:space="0" w:color="auto"/>
                <w:left w:val="none" w:sz="0" w:space="0" w:color="auto"/>
                <w:bottom w:val="none" w:sz="0" w:space="0" w:color="auto"/>
                <w:right w:val="none" w:sz="0" w:space="0" w:color="auto"/>
              </w:divBdr>
            </w:div>
            <w:div w:id="474639585">
              <w:marLeft w:val="0"/>
              <w:marRight w:val="0"/>
              <w:marTop w:val="0"/>
              <w:marBottom w:val="0"/>
              <w:divBdr>
                <w:top w:val="none" w:sz="0" w:space="0" w:color="auto"/>
                <w:left w:val="none" w:sz="0" w:space="0" w:color="auto"/>
                <w:bottom w:val="none" w:sz="0" w:space="0" w:color="auto"/>
                <w:right w:val="none" w:sz="0" w:space="0" w:color="auto"/>
              </w:divBdr>
            </w:div>
            <w:div w:id="759103528">
              <w:marLeft w:val="0"/>
              <w:marRight w:val="0"/>
              <w:marTop w:val="0"/>
              <w:marBottom w:val="0"/>
              <w:divBdr>
                <w:top w:val="none" w:sz="0" w:space="0" w:color="auto"/>
                <w:left w:val="none" w:sz="0" w:space="0" w:color="auto"/>
                <w:bottom w:val="none" w:sz="0" w:space="0" w:color="auto"/>
                <w:right w:val="none" w:sz="0" w:space="0" w:color="auto"/>
              </w:divBdr>
            </w:div>
            <w:div w:id="1967272045">
              <w:marLeft w:val="0"/>
              <w:marRight w:val="0"/>
              <w:marTop w:val="0"/>
              <w:marBottom w:val="0"/>
              <w:divBdr>
                <w:top w:val="none" w:sz="0" w:space="0" w:color="auto"/>
                <w:left w:val="none" w:sz="0" w:space="0" w:color="auto"/>
                <w:bottom w:val="none" w:sz="0" w:space="0" w:color="auto"/>
                <w:right w:val="none" w:sz="0" w:space="0" w:color="auto"/>
              </w:divBdr>
            </w:div>
            <w:div w:id="1519005546">
              <w:marLeft w:val="0"/>
              <w:marRight w:val="0"/>
              <w:marTop w:val="0"/>
              <w:marBottom w:val="0"/>
              <w:divBdr>
                <w:top w:val="none" w:sz="0" w:space="0" w:color="auto"/>
                <w:left w:val="none" w:sz="0" w:space="0" w:color="auto"/>
                <w:bottom w:val="none" w:sz="0" w:space="0" w:color="auto"/>
                <w:right w:val="none" w:sz="0" w:space="0" w:color="auto"/>
              </w:divBdr>
            </w:div>
            <w:div w:id="258292377">
              <w:marLeft w:val="0"/>
              <w:marRight w:val="0"/>
              <w:marTop w:val="0"/>
              <w:marBottom w:val="0"/>
              <w:divBdr>
                <w:top w:val="none" w:sz="0" w:space="0" w:color="auto"/>
                <w:left w:val="none" w:sz="0" w:space="0" w:color="auto"/>
                <w:bottom w:val="none" w:sz="0" w:space="0" w:color="auto"/>
                <w:right w:val="none" w:sz="0" w:space="0" w:color="auto"/>
              </w:divBdr>
            </w:div>
            <w:div w:id="135414894">
              <w:marLeft w:val="0"/>
              <w:marRight w:val="0"/>
              <w:marTop w:val="0"/>
              <w:marBottom w:val="0"/>
              <w:divBdr>
                <w:top w:val="none" w:sz="0" w:space="0" w:color="auto"/>
                <w:left w:val="none" w:sz="0" w:space="0" w:color="auto"/>
                <w:bottom w:val="none" w:sz="0" w:space="0" w:color="auto"/>
                <w:right w:val="none" w:sz="0" w:space="0" w:color="auto"/>
              </w:divBdr>
            </w:div>
            <w:div w:id="1017149282">
              <w:marLeft w:val="0"/>
              <w:marRight w:val="0"/>
              <w:marTop w:val="0"/>
              <w:marBottom w:val="0"/>
              <w:divBdr>
                <w:top w:val="none" w:sz="0" w:space="0" w:color="auto"/>
                <w:left w:val="none" w:sz="0" w:space="0" w:color="auto"/>
                <w:bottom w:val="none" w:sz="0" w:space="0" w:color="auto"/>
                <w:right w:val="none" w:sz="0" w:space="0" w:color="auto"/>
              </w:divBdr>
            </w:div>
            <w:div w:id="65538760">
              <w:marLeft w:val="0"/>
              <w:marRight w:val="0"/>
              <w:marTop w:val="0"/>
              <w:marBottom w:val="0"/>
              <w:divBdr>
                <w:top w:val="none" w:sz="0" w:space="0" w:color="auto"/>
                <w:left w:val="none" w:sz="0" w:space="0" w:color="auto"/>
                <w:bottom w:val="none" w:sz="0" w:space="0" w:color="auto"/>
                <w:right w:val="none" w:sz="0" w:space="0" w:color="auto"/>
              </w:divBdr>
            </w:div>
            <w:div w:id="555509051">
              <w:marLeft w:val="0"/>
              <w:marRight w:val="0"/>
              <w:marTop w:val="0"/>
              <w:marBottom w:val="0"/>
              <w:divBdr>
                <w:top w:val="none" w:sz="0" w:space="0" w:color="auto"/>
                <w:left w:val="none" w:sz="0" w:space="0" w:color="auto"/>
                <w:bottom w:val="none" w:sz="0" w:space="0" w:color="auto"/>
                <w:right w:val="none" w:sz="0" w:space="0" w:color="auto"/>
              </w:divBdr>
            </w:div>
            <w:div w:id="560600174">
              <w:marLeft w:val="0"/>
              <w:marRight w:val="0"/>
              <w:marTop w:val="0"/>
              <w:marBottom w:val="0"/>
              <w:divBdr>
                <w:top w:val="none" w:sz="0" w:space="0" w:color="auto"/>
                <w:left w:val="none" w:sz="0" w:space="0" w:color="auto"/>
                <w:bottom w:val="none" w:sz="0" w:space="0" w:color="auto"/>
                <w:right w:val="none" w:sz="0" w:space="0" w:color="auto"/>
              </w:divBdr>
            </w:div>
            <w:div w:id="1109543126">
              <w:marLeft w:val="0"/>
              <w:marRight w:val="0"/>
              <w:marTop w:val="0"/>
              <w:marBottom w:val="0"/>
              <w:divBdr>
                <w:top w:val="none" w:sz="0" w:space="0" w:color="auto"/>
                <w:left w:val="none" w:sz="0" w:space="0" w:color="auto"/>
                <w:bottom w:val="none" w:sz="0" w:space="0" w:color="auto"/>
                <w:right w:val="none" w:sz="0" w:space="0" w:color="auto"/>
              </w:divBdr>
            </w:div>
            <w:div w:id="1498374991">
              <w:marLeft w:val="0"/>
              <w:marRight w:val="0"/>
              <w:marTop w:val="0"/>
              <w:marBottom w:val="0"/>
              <w:divBdr>
                <w:top w:val="none" w:sz="0" w:space="0" w:color="auto"/>
                <w:left w:val="none" w:sz="0" w:space="0" w:color="auto"/>
                <w:bottom w:val="none" w:sz="0" w:space="0" w:color="auto"/>
                <w:right w:val="none" w:sz="0" w:space="0" w:color="auto"/>
              </w:divBdr>
            </w:div>
            <w:div w:id="619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1078">
      <w:bodyDiv w:val="1"/>
      <w:marLeft w:val="0"/>
      <w:marRight w:val="0"/>
      <w:marTop w:val="0"/>
      <w:marBottom w:val="0"/>
      <w:divBdr>
        <w:top w:val="none" w:sz="0" w:space="0" w:color="auto"/>
        <w:left w:val="none" w:sz="0" w:space="0" w:color="auto"/>
        <w:bottom w:val="none" w:sz="0" w:space="0" w:color="auto"/>
        <w:right w:val="none" w:sz="0" w:space="0" w:color="auto"/>
      </w:divBdr>
      <w:divsChild>
        <w:div w:id="1509901501">
          <w:marLeft w:val="0"/>
          <w:marRight w:val="0"/>
          <w:marTop w:val="0"/>
          <w:marBottom w:val="0"/>
          <w:divBdr>
            <w:top w:val="none" w:sz="0" w:space="0" w:color="auto"/>
            <w:left w:val="none" w:sz="0" w:space="0" w:color="auto"/>
            <w:bottom w:val="none" w:sz="0" w:space="0" w:color="auto"/>
            <w:right w:val="none" w:sz="0" w:space="0" w:color="auto"/>
          </w:divBdr>
        </w:div>
        <w:div w:id="876969778">
          <w:marLeft w:val="0"/>
          <w:marRight w:val="0"/>
          <w:marTop w:val="0"/>
          <w:marBottom w:val="0"/>
          <w:divBdr>
            <w:top w:val="none" w:sz="0" w:space="0" w:color="auto"/>
            <w:left w:val="none" w:sz="0" w:space="0" w:color="auto"/>
            <w:bottom w:val="none" w:sz="0" w:space="0" w:color="auto"/>
            <w:right w:val="none" w:sz="0" w:space="0" w:color="auto"/>
          </w:divBdr>
        </w:div>
        <w:div w:id="1049455402">
          <w:marLeft w:val="0"/>
          <w:marRight w:val="0"/>
          <w:marTop w:val="0"/>
          <w:marBottom w:val="0"/>
          <w:divBdr>
            <w:top w:val="none" w:sz="0" w:space="0" w:color="auto"/>
            <w:left w:val="none" w:sz="0" w:space="0" w:color="auto"/>
            <w:bottom w:val="none" w:sz="0" w:space="0" w:color="auto"/>
            <w:right w:val="none" w:sz="0" w:space="0" w:color="auto"/>
          </w:divBdr>
        </w:div>
      </w:divsChild>
    </w:div>
    <w:div w:id="1290015421">
      <w:bodyDiv w:val="1"/>
      <w:marLeft w:val="0"/>
      <w:marRight w:val="0"/>
      <w:marTop w:val="0"/>
      <w:marBottom w:val="0"/>
      <w:divBdr>
        <w:top w:val="none" w:sz="0" w:space="0" w:color="auto"/>
        <w:left w:val="none" w:sz="0" w:space="0" w:color="auto"/>
        <w:bottom w:val="none" w:sz="0" w:space="0" w:color="auto"/>
        <w:right w:val="none" w:sz="0" w:space="0" w:color="auto"/>
      </w:divBdr>
      <w:divsChild>
        <w:div w:id="1764959667">
          <w:marLeft w:val="0"/>
          <w:marRight w:val="0"/>
          <w:marTop w:val="0"/>
          <w:marBottom w:val="0"/>
          <w:divBdr>
            <w:top w:val="none" w:sz="0" w:space="0" w:color="auto"/>
            <w:left w:val="none" w:sz="0" w:space="0" w:color="auto"/>
            <w:bottom w:val="none" w:sz="0" w:space="0" w:color="auto"/>
            <w:right w:val="none" w:sz="0" w:space="0" w:color="auto"/>
          </w:divBdr>
        </w:div>
        <w:div w:id="1694191741">
          <w:marLeft w:val="0"/>
          <w:marRight w:val="0"/>
          <w:marTop w:val="0"/>
          <w:marBottom w:val="0"/>
          <w:divBdr>
            <w:top w:val="none" w:sz="0" w:space="0" w:color="auto"/>
            <w:left w:val="none" w:sz="0" w:space="0" w:color="auto"/>
            <w:bottom w:val="none" w:sz="0" w:space="0" w:color="auto"/>
            <w:right w:val="none" w:sz="0" w:space="0" w:color="auto"/>
          </w:divBdr>
        </w:div>
        <w:div w:id="1518304974">
          <w:marLeft w:val="0"/>
          <w:marRight w:val="0"/>
          <w:marTop w:val="0"/>
          <w:marBottom w:val="0"/>
          <w:divBdr>
            <w:top w:val="none" w:sz="0" w:space="0" w:color="auto"/>
            <w:left w:val="none" w:sz="0" w:space="0" w:color="auto"/>
            <w:bottom w:val="none" w:sz="0" w:space="0" w:color="auto"/>
            <w:right w:val="none" w:sz="0" w:space="0" w:color="auto"/>
          </w:divBdr>
        </w:div>
      </w:divsChild>
    </w:div>
    <w:div w:id="1365444143">
      <w:bodyDiv w:val="1"/>
      <w:marLeft w:val="0"/>
      <w:marRight w:val="0"/>
      <w:marTop w:val="0"/>
      <w:marBottom w:val="0"/>
      <w:divBdr>
        <w:top w:val="none" w:sz="0" w:space="0" w:color="auto"/>
        <w:left w:val="none" w:sz="0" w:space="0" w:color="auto"/>
        <w:bottom w:val="none" w:sz="0" w:space="0" w:color="auto"/>
        <w:right w:val="none" w:sz="0" w:space="0" w:color="auto"/>
      </w:divBdr>
      <w:divsChild>
        <w:div w:id="223371186">
          <w:marLeft w:val="0"/>
          <w:marRight w:val="0"/>
          <w:marTop w:val="0"/>
          <w:marBottom w:val="0"/>
          <w:divBdr>
            <w:top w:val="none" w:sz="0" w:space="0" w:color="auto"/>
            <w:left w:val="none" w:sz="0" w:space="0" w:color="auto"/>
            <w:bottom w:val="none" w:sz="0" w:space="0" w:color="auto"/>
            <w:right w:val="none" w:sz="0" w:space="0" w:color="auto"/>
          </w:divBdr>
        </w:div>
      </w:divsChild>
    </w:div>
    <w:div w:id="1506936186">
      <w:bodyDiv w:val="1"/>
      <w:marLeft w:val="0"/>
      <w:marRight w:val="0"/>
      <w:marTop w:val="0"/>
      <w:marBottom w:val="0"/>
      <w:divBdr>
        <w:top w:val="none" w:sz="0" w:space="0" w:color="auto"/>
        <w:left w:val="none" w:sz="0" w:space="0" w:color="auto"/>
        <w:bottom w:val="none" w:sz="0" w:space="0" w:color="auto"/>
        <w:right w:val="none" w:sz="0" w:space="0" w:color="auto"/>
      </w:divBdr>
      <w:divsChild>
        <w:div w:id="2109613942">
          <w:marLeft w:val="0"/>
          <w:marRight w:val="0"/>
          <w:marTop w:val="0"/>
          <w:marBottom w:val="0"/>
          <w:divBdr>
            <w:top w:val="none" w:sz="0" w:space="0" w:color="auto"/>
            <w:left w:val="none" w:sz="0" w:space="0" w:color="auto"/>
            <w:bottom w:val="none" w:sz="0" w:space="0" w:color="auto"/>
            <w:right w:val="none" w:sz="0" w:space="0" w:color="auto"/>
          </w:divBdr>
          <w:divsChild>
            <w:div w:id="254635846">
              <w:marLeft w:val="0"/>
              <w:marRight w:val="0"/>
              <w:marTop w:val="0"/>
              <w:marBottom w:val="0"/>
              <w:divBdr>
                <w:top w:val="none" w:sz="0" w:space="0" w:color="auto"/>
                <w:left w:val="none" w:sz="0" w:space="0" w:color="auto"/>
                <w:bottom w:val="none" w:sz="0" w:space="0" w:color="auto"/>
                <w:right w:val="none" w:sz="0" w:space="0" w:color="auto"/>
              </w:divBdr>
            </w:div>
          </w:divsChild>
        </w:div>
        <w:div w:id="775445739">
          <w:marLeft w:val="0"/>
          <w:marRight w:val="0"/>
          <w:marTop w:val="0"/>
          <w:marBottom w:val="0"/>
          <w:divBdr>
            <w:top w:val="none" w:sz="0" w:space="0" w:color="auto"/>
            <w:left w:val="none" w:sz="0" w:space="0" w:color="auto"/>
            <w:bottom w:val="none" w:sz="0" w:space="0" w:color="auto"/>
            <w:right w:val="none" w:sz="0" w:space="0" w:color="auto"/>
          </w:divBdr>
          <w:divsChild>
            <w:div w:id="533036352">
              <w:marLeft w:val="0"/>
              <w:marRight w:val="0"/>
              <w:marTop w:val="0"/>
              <w:marBottom w:val="0"/>
              <w:divBdr>
                <w:top w:val="none" w:sz="0" w:space="0" w:color="auto"/>
                <w:left w:val="none" w:sz="0" w:space="0" w:color="auto"/>
                <w:bottom w:val="none" w:sz="0" w:space="0" w:color="auto"/>
                <w:right w:val="none" w:sz="0" w:space="0" w:color="auto"/>
              </w:divBdr>
              <w:divsChild>
                <w:div w:id="92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1290">
      <w:bodyDiv w:val="1"/>
      <w:marLeft w:val="0"/>
      <w:marRight w:val="0"/>
      <w:marTop w:val="0"/>
      <w:marBottom w:val="0"/>
      <w:divBdr>
        <w:top w:val="none" w:sz="0" w:space="0" w:color="auto"/>
        <w:left w:val="none" w:sz="0" w:space="0" w:color="auto"/>
        <w:bottom w:val="none" w:sz="0" w:space="0" w:color="auto"/>
        <w:right w:val="none" w:sz="0" w:space="0" w:color="auto"/>
      </w:divBdr>
    </w:div>
    <w:div w:id="1536577380">
      <w:bodyDiv w:val="1"/>
      <w:marLeft w:val="0"/>
      <w:marRight w:val="0"/>
      <w:marTop w:val="0"/>
      <w:marBottom w:val="0"/>
      <w:divBdr>
        <w:top w:val="none" w:sz="0" w:space="0" w:color="auto"/>
        <w:left w:val="none" w:sz="0" w:space="0" w:color="auto"/>
        <w:bottom w:val="none" w:sz="0" w:space="0" w:color="auto"/>
        <w:right w:val="none" w:sz="0" w:space="0" w:color="auto"/>
      </w:divBdr>
    </w:div>
    <w:div w:id="1575436130">
      <w:bodyDiv w:val="1"/>
      <w:marLeft w:val="0"/>
      <w:marRight w:val="0"/>
      <w:marTop w:val="0"/>
      <w:marBottom w:val="0"/>
      <w:divBdr>
        <w:top w:val="none" w:sz="0" w:space="0" w:color="auto"/>
        <w:left w:val="none" w:sz="0" w:space="0" w:color="auto"/>
        <w:bottom w:val="none" w:sz="0" w:space="0" w:color="auto"/>
        <w:right w:val="none" w:sz="0" w:space="0" w:color="auto"/>
      </w:divBdr>
      <w:divsChild>
        <w:div w:id="183330855">
          <w:marLeft w:val="0"/>
          <w:marRight w:val="0"/>
          <w:marTop w:val="0"/>
          <w:marBottom w:val="0"/>
          <w:divBdr>
            <w:top w:val="none" w:sz="0" w:space="0" w:color="auto"/>
            <w:left w:val="none" w:sz="0" w:space="0" w:color="auto"/>
            <w:bottom w:val="none" w:sz="0" w:space="0" w:color="auto"/>
            <w:right w:val="none" w:sz="0" w:space="0" w:color="auto"/>
          </w:divBdr>
        </w:div>
        <w:div w:id="1306395224">
          <w:marLeft w:val="0"/>
          <w:marRight w:val="0"/>
          <w:marTop w:val="0"/>
          <w:marBottom w:val="0"/>
          <w:divBdr>
            <w:top w:val="none" w:sz="0" w:space="0" w:color="auto"/>
            <w:left w:val="none" w:sz="0" w:space="0" w:color="auto"/>
            <w:bottom w:val="none" w:sz="0" w:space="0" w:color="auto"/>
            <w:right w:val="none" w:sz="0" w:space="0" w:color="auto"/>
          </w:divBdr>
        </w:div>
        <w:div w:id="1805386447">
          <w:marLeft w:val="0"/>
          <w:marRight w:val="0"/>
          <w:marTop w:val="0"/>
          <w:marBottom w:val="0"/>
          <w:divBdr>
            <w:top w:val="none" w:sz="0" w:space="0" w:color="auto"/>
            <w:left w:val="none" w:sz="0" w:space="0" w:color="auto"/>
            <w:bottom w:val="none" w:sz="0" w:space="0" w:color="auto"/>
            <w:right w:val="none" w:sz="0" w:space="0" w:color="auto"/>
          </w:divBdr>
        </w:div>
        <w:div w:id="1294599617">
          <w:marLeft w:val="0"/>
          <w:marRight w:val="0"/>
          <w:marTop w:val="0"/>
          <w:marBottom w:val="0"/>
          <w:divBdr>
            <w:top w:val="none" w:sz="0" w:space="0" w:color="auto"/>
            <w:left w:val="none" w:sz="0" w:space="0" w:color="auto"/>
            <w:bottom w:val="none" w:sz="0" w:space="0" w:color="auto"/>
            <w:right w:val="none" w:sz="0" w:space="0" w:color="auto"/>
          </w:divBdr>
        </w:div>
        <w:div w:id="1297299153">
          <w:marLeft w:val="0"/>
          <w:marRight w:val="0"/>
          <w:marTop w:val="0"/>
          <w:marBottom w:val="0"/>
          <w:divBdr>
            <w:top w:val="none" w:sz="0" w:space="0" w:color="auto"/>
            <w:left w:val="none" w:sz="0" w:space="0" w:color="auto"/>
            <w:bottom w:val="none" w:sz="0" w:space="0" w:color="auto"/>
            <w:right w:val="none" w:sz="0" w:space="0" w:color="auto"/>
          </w:divBdr>
        </w:div>
        <w:div w:id="247009173">
          <w:marLeft w:val="0"/>
          <w:marRight w:val="0"/>
          <w:marTop w:val="0"/>
          <w:marBottom w:val="0"/>
          <w:divBdr>
            <w:top w:val="none" w:sz="0" w:space="0" w:color="auto"/>
            <w:left w:val="none" w:sz="0" w:space="0" w:color="auto"/>
            <w:bottom w:val="none" w:sz="0" w:space="0" w:color="auto"/>
            <w:right w:val="none" w:sz="0" w:space="0" w:color="auto"/>
          </w:divBdr>
        </w:div>
        <w:div w:id="1376276412">
          <w:marLeft w:val="0"/>
          <w:marRight w:val="0"/>
          <w:marTop w:val="0"/>
          <w:marBottom w:val="0"/>
          <w:divBdr>
            <w:top w:val="none" w:sz="0" w:space="0" w:color="auto"/>
            <w:left w:val="none" w:sz="0" w:space="0" w:color="auto"/>
            <w:bottom w:val="none" w:sz="0" w:space="0" w:color="auto"/>
            <w:right w:val="none" w:sz="0" w:space="0" w:color="auto"/>
          </w:divBdr>
        </w:div>
        <w:div w:id="2048069216">
          <w:marLeft w:val="0"/>
          <w:marRight w:val="0"/>
          <w:marTop w:val="0"/>
          <w:marBottom w:val="0"/>
          <w:divBdr>
            <w:top w:val="none" w:sz="0" w:space="0" w:color="auto"/>
            <w:left w:val="none" w:sz="0" w:space="0" w:color="auto"/>
            <w:bottom w:val="none" w:sz="0" w:space="0" w:color="auto"/>
            <w:right w:val="none" w:sz="0" w:space="0" w:color="auto"/>
          </w:divBdr>
        </w:div>
        <w:div w:id="44187618">
          <w:marLeft w:val="0"/>
          <w:marRight w:val="0"/>
          <w:marTop w:val="0"/>
          <w:marBottom w:val="0"/>
          <w:divBdr>
            <w:top w:val="none" w:sz="0" w:space="0" w:color="auto"/>
            <w:left w:val="none" w:sz="0" w:space="0" w:color="auto"/>
            <w:bottom w:val="none" w:sz="0" w:space="0" w:color="auto"/>
            <w:right w:val="none" w:sz="0" w:space="0" w:color="auto"/>
          </w:divBdr>
        </w:div>
        <w:div w:id="1530142869">
          <w:marLeft w:val="0"/>
          <w:marRight w:val="0"/>
          <w:marTop w:val="0"/>
          <w:marBottom w:val="0"/>
          <w:divBdr>
            <w:top w:val="none" w:sz="0" w:space="0" w:color="auto"/>
            <w:left w:val="none" w:sz="0" w:space="0" w:color="auto"/>
            <w:bottom w:val="none" w:sz="0" w:space="0" w:color="auto"/>
            <w:right w:val="none" w:sz="0" w:space="0" w:color="auto"/>
          </w:divBdr>
        </w:div>
        <w:div w:id="194276469">
          <w:marLeft w:val="0"/>
          <w:marRight w:val="0"/>
          <w:marTop w:val="0"/>
          <w:marBottom w:val="0"/>
          <w:divBdr>
            <w:top w:val="none" w:sz="0" w:space="0" w:color="auto"/>
            <w:left w:val="none" w:sz="0" w:space="0" w:color="auto"/>
            <w:bottom w:val="none" w:sz="0" w:space="0" w:color="auto"/>
            <w:right w:val="none" w:sz="0" w:space="0" w:color="auto"/>
          </w:divBdr>
        </w:div>
      </w:divsChild>
    </w:div>
    <w:div w:id="1761177208">
      <w:bodyDiv w:val="1"/>
      <w:marLeft w:val="0"/>
      <w:marRight w:val="0"/>
      <w:marTop w:val="0"/>
      <w:marBottom w:val="0"/>
      <w:divBdr>
        <w:top w:val="none" w:sz="0" w:space="0" w:color="auto"/>
        <w:left w:val="none" w:sz="0" w:space="0" w:color="auto"/>
        <w:bottom w:val="none" w:sz="0" w:space="0" w:color="auto"/>
        <w:right w:val="none" w:sz="0" w:space="0" w:color="auto"/>
      </w:divBdr>
      <w:divsChild>
        <w:div w:id="712731926">
          <w:marLeft w:val="0"/>
          <w:marRight w:val="0"/>
          <w:marTop w:val="0"/>
          <w:marBottom w:val="0"/>
          <w:divBdr>
            <w:top w:val="none" w:sz="0" w:space="0" w:color="auto"/>
            <w:left w:val="none" w:sz="0" w:space="0" w:color="auto"/>
            <w:bottom w:val="none" w:sz="0" w:space="0" w:color="auto"/>
            <w:right w:val="none" w:sz="0" w:space="0" w:color="auto"/>
          </w:divBdr>
        </w:div>
        <w:div w:id="245576377">
          <w:marLeft w:val="0"/>
          <w:marRight w:val="0"/>
          <w:marTop w:val="0"/>
          <w:marBottom w:val="0"/>
          <w:divBdr>
            <w:top w:val="none" w:sz="0" w:space="0" w:color="auto"/>
            <w:left w:val="none" w:sz="0" w:space="0" w:color="auto"/>
            <w:bottom w:val="none" w:sz="0" w:space="0" w:color="auto"/>
            <w:right w:val="none" w:sz="0" w:space="0" w:color="auto"/>
          </w:divBdr>
        </w:div>
        <w:div w:id="1876455904">
          <w:marLeft w:val="0"/>
          <w:marRight w:val="0"/>
          <w:marTop w:val="0"/>
          <w:marBottom w:val="0"/>
          <w:divBdr>
            <w:top w:val="none" w:sz="0" w:space="0" w:color="auto"/>
            <w:left w:val="none" w:sz="0" w:space="0" w:color="auto"/>
            <w:bottom w:val="none" w:sz="0" w:space="0" w:color="auto"/>
            <w:right w:val="none" w:sz="0" w:space="0" w:color="auto"/>
          </w:divBdr>
        </w:div>
        <w:div w:id="1111361236">
          <w:marLeft w:val="0"/>
          <w:marRight w:val="0"/>
          <w:marTop w:val="0"/>
          <w:marBottom w:val="0"/>
          <w:divBdr>
            <w:top w:val="none" w:sz="0" w:space="0" w:color="auto"/>
            <w:left w:val="none" w:sz="0" w:space="0" w:color="auto"/>
            <w:bottom w:val="none" w:sz="0" w:space="0" w:color="auto"/>
            <w:right w:val="none" w:sz="0" w:space="0" w:color="auto"/>
          </w:divBdr>
        </w:div>
        <w:div w:id="1917284166">
          <w:marLeft w:val="0"/>
          <w:marRight w:val="0"/>
          <w:marTop w:val="0"/>
          <w:marBottom w:val="0"/>
          <w:divBdr>
            <w:top w:val="none" w:sz="0" w:space="0" w:color="auto"/>
            <w:left w:val="none" w:sz="0" w:space="0" w:color="auto"/>
            <w:bottom w:val="none" w:sz="0" w:space="0" w:color="auto"/>
            <w:right w:val="none" w:sz="0" w:space="0" w:color="auto"/>
          </w:divBdr>
        </w:div>
        <w:div w:id="1996107565">
          <w:marLeft w:val="0"/>
          <w:marRight w:val="0"/>
          <w:marTop w:val="0"/>
          <w:marBottom w:val="0"/>
          <w:divBdr>
            <w:top w:val="none" w:sz="0" w:space="0" w:color="auto"/>
            <w:left w:val="none" w:sz="0" w:space="0" w:color="auto"/>
            <w:bottom w:val="none" w:sz="0" w:space="0" w:color="auto"/>
            <w:right w:val="none" w:sz="0" w:space="0" w:color="auto"/>
          </w:divBdr>
        </w:div>
      </w:divsChild>
    </w:div>
    <w:div w:id="1764763035">
      <w:bodyDiv w:val="1"/>
      <w:marLeft w:val="0"/>
      <w:marRight w:val="0"/>
      <w:marTop w:val="0"/>
      <w:marBottom w:val="0"/>
      <w:divBdr>
        <w:top w:val="none" w:sz="0" w:space="0" w:color="auto"/>
        <w:left w:val="none" w:sz="0" w:space="0" w:color="auto"/>
        <w:bottom w:val="none" w:sz="0" w:space="0" w:color="auto"/>
        <w:right w:val="none" w:sz="0" w:space="0" w:color="auto"/>
      </w:divBdr>
      <w:divsChild>
        <w:div w:id="1307513081">
          <w:marLeft w:val="0"/>
          <w:marRight w:val="0"/>
          <w:marTop w:val="0"/>
          <w:marBottom w:val="0"/>
          <w:divBdr>
            <w:top w:val="none" w:sz="0" w:space="0" w:color="auto"/>
            <w:left w:val="none" w:sz="0" w:space="0" w:color="auto"/>
            <w:bottom w:val="none" w:sz="0" w:space="0" w:color="auto"/>
            <w:right w:val="none" w:sz="0" w:space="0" w:color="auto"/>
          </w:divBdr>
        </w:div>
        <w:div w:id="539129897">
          <w:marLeft w:val="0"/>
          <w:marRight w:val="0"/>
          <w:marTop w:val="0"/>
          <w:marBottom w:val="0"/>
          <w:divBdr>
            <w:top w:val="none" w:sz="0" w:space="0" w:color="auto"/>
            <w:left w:val="none" w:sz="0" w:space="0" w:color="auto"/>
            <w:bottom w:val="none" w:sz="0" w:space="0" w:color="auto"/>
            <w:right w:val="none" w:sz="0" w:space="0" w:color="auto"/>
          </w:divBdr>
        </w:div>
        <w:div w:id="1947958997">
          <w:marLeft w:val="0"/>
          <w:marRight w:val="0"/>
          <w:marTop w:val="0"/>
          <w:marBottom w:val="0"/>
          <w:divBdr>
            <w:top w:val="none" w:sz="0" w:space="0" w:color="auto"/>
            <w:left w:val="none" w:sz="0" w:space="0" w:color="auto"/>
            <w:bottom w:val="none" w:sz="0" w:space="0" w:color="auto"/>
            <w:right w:val="none" w:sz="0" w:space="0" w:color="auto"/>
          </w:divBdr>
        </w:div>
        <w:div w:id="1491168939">
          <w:marLeft w:val="0"/>
          <w:marRight w:val="0"/>
          <w:marTop w:val="0"/>
          <w:marBottom w:val="0"/>
          <w:divBdr>
            <w:top w:val="none" w:sz="0" w:space="0" w:color="auto"/>
            <w:left w:val="none" w:sz="0" w:space="0" w:color="auto"/>
            <w:bottom w:val="none" w:sz="0" w:space="0" w:color="auto"/>
            <w:right w:val="none" w:sz="0" w:space="0" w:color="auto"/>
          </w:divBdr>
        </w:div>
        <w:div w:id="826165583">
          <w:marLeft w:val="0"/>
          <w:marRight w:val="0"/>
          <w:marTop w:val="0"/>
          <w:marBottom w:val="0"/>
          <w:divBdr>
            <w:top w:val="none" w:sz="0" w:space="0" w:color="auto"/>
            <w:left w:val="none" w:sz="0" w:space="0" w:color="auto"/>
            <w:bottom w:val="none" w:sz="0" w:space="0" w:color="auto"/>
            <w:right w:val="none" w:sz="0" w:space="0" w:color="auto"/>
          </w:divBdr>
        </w:div>
        <w:div w:id="100344215">
          <w:marLeft w:val="0"/>
          <w:marRight w:val="0"/>
          <w:marTop w:val="0"/>
          <w:marBottom w:val="0"/>
          <w:divBdr>
            <w:top w:val="none" w:sz="0" w:space="0" w:color="auto"/>
            <w:left w:val="none" w:sz="0" w:space="0" w:color="auto"/>
            <w:bottom w:val="none" w:sz="0" w:space="0" w:color="auto"/>
            <w:right w:val="none" w:sz="0" w:space="0" w:color="auto"/>
          </w:divBdr>
        </w:div>
        <w:div w:id="624193685">
          <w:marLeft w:val="0"/>
          <w:marRight w:val="0"/>
          <w:marTop w:val="0"/>
          <w:marBottom w:val="0"/>
          <w:divBdr>
            <w:top w:val="none" w:sz="0" w:space="0" w:color="auto"/>
            <w:left w:val="none" w:sz="0" w:space="0" w:color="auto"/>
            <w:bottom w:val="none" w:sz="0" w:space="0" w:color="auto"/>
            <w:right w:val="none" w:sz="0" w:space="0" w:color="auto"/>
          </w:divBdr>
        </w:div>
        <w:div w:id="1008681254">
          <w:marLeft w:val="0"/>
          <w:marRight w:val="0"/>
          <w:marTop w:val="0"/>
          <w:marBottom w:val="0"/>
          <w:divBdr>
            <w:top w:val="none" w:sz="0" w:space="0" w:color="auto"/>
            <w:left w:val="none" w:sz="0" w:space="0" w:color="auto"/>
            <w:bottom w:val="none" w:sz="0" w:space="0" w:color="auto"/>
            <w:right w:val="none" w:sz="0" w:space="0" w:color="auto"/>
          </w:divBdr>
        </w:div>
        <w:div w:id="2073262061">
          <w:marLeft w:val="0"/>
          <w:marRight w:val="0"/>
          <w:marTop w:val="0"/>
          <w:marBottom w:val="0"/>
          <w:divBdr>
            <w:top w:val="none" w:sz="0" w:space="0" w:color="auto"/>
            <w:left w:val="none" w:sz="0" w:space="0" w:color="auto"/>
            <w:bottom w:val="none" w:sz="0" w:space="0" w:color="auto"/>
            <w:right w:val="none" w:sz="0" w:space="0" w:color="auto"/>
          </w:divBdr>
        </w:div>
      </w:divsChild>
    </w:div>
    <w:div w:id="1939486957">
      <w:bodyDiv w:val="1"/>
      <w:marLeft w:val="0"/>
      <w:marRight w:val="0"/>
      <w:marTop w:val="0"/>
      <w:marBottom w:val="0"/>
      <w:divBdr>
        <w:top w:val="none" w:sz="0" w:space="0" w:color="auto"/>
        <w:left w:val="none" w:sz="0" w:space="0" w:color="auto"/>
        <w:bottom w:val="none" w:sz="0" w:space="0" w:color="auto"/>
        <w:right w:val="none" w:sz="0" w:space="0" w:color="auto"/>
      </w:divBdr>
    </w:div>
    <w:div w:id="2066487624">
      <w:bodyDiv w:val="1"/>
      <w:marLeft w:val="0"/>
      <w:marRight w:val="0"/>
      <w:marTop w:val="0"/>
      <w:marBottom w:val="0"/>
      <w:divBdr>
        <w:top w:val="none" w:sz="0" w:space="0" w:color="auto"/>
        <w:left w:val="none" w:sz="0" w:space="0" w:color="auto"/>
        <w:bottom w:val="none" w:sz="0" w:space="0" w:color="auto"/>
        <w:right w:val="none" w:sz="0" w:space="0" w:color="auto"/>
      </w:divBdr>
      <w:divsChild>
        <w:div w:id="285091060">
          <w:marLeft w:val="0"/>
          <w:marRight w:val="0"/>
          <w:marTop w:val="0"/>
          <w:marBottom w:val="0"/>
          <w:divBdr>
            <w:top w:val="none" w:sz="0" w:space="0" w:color="auto"/>
            <w:left w:val="none" w:sz="0" w:space="0" w:color="auto"/>
            <w:bottom w:val="none" w:sz="0" w:space="0" w:color="auto"/>
            <w:right w:val="none" w:sz="0" w:space="0" w:color="auto"/>
          </w:divBdr>
        </w:div>
        <w:div w:id="1168132410">
          <w:marLeft w:val="0"/>
          <w:marRight w:val="0"/>
          <w:marTop w:val="0"/>
          <w:marBottom w:val="0"/>
          <w:divBdr>
            <w:top w:val="none" w:sz="0" w:space="0" w:color="auto"/>
            <w:left w:val="none" w:sz="0" w:space="0" w:color="auto"/>
            <w:bottom w:val="none" w:sz="0" w:space="0" w:color="auto"/>
            <w:right w:val="none" w:sz="0" w:space="0" w:color="auto"/>
          </w:divBdr>
        </w:div>
        <w:div w:id="1601639508">
          <w:marLeft w:val="0"/>
          <w:marRight w:val="0"/>
          <w:marTop w:val="0"/>
          <w:marBottom w:val="0"/>
          <w:divBdr>
            <w:top w:val="none" w:sz="0" w:space="0" w:color="auto"/>
            <w:left w:val="none" w:sz="0" w:space="0" w:color="auto"/>
            <w:bottom w:val="none" w:sz="0" w:space="0" w:color="auto"/>
            <w:right w:val="none" w:sz="0" w:space="0" w:color="auto"/>
          </w:divBdr>
        </w:div>
      </w:divsChild>
    </w:div>
    <w:div w:id="2142188860">
      <w:bodyDiv w:val="1"/>
      <w:marLeft w:val="0"/>
      <w:marRight w:val="0"/>
      <w:marTop w:val="0"/>
      <w:marBottom w:val="0"/>
      <w:divBdr>
        <w:top w:val="none" w:sz="0" w:space="0" w:color="auto"/>
        <w:left w:val="none" w:sz="0" w:space="0" w:color="auto"/>
        <w:bottom w:val="none" w:sz="0" w:space="0" w:color="auto"/>
        <w:right w:val="none" w:sz="0" w:space="0" w:color="auto"/>
      </w:divBdr>
      <w:divsChild>
        <w:div w:id="141177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B46EB-EA21-496A-942E-8AD8FC99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57254</TotalTime>
  <Pages>147</Pages>
  <Words>70576</Words>
  <Characters>402284</Characters>
  <Application>Microsoft Office Word</Application>
  <DocSecurity>0</DocSecurity>
  <Lines>3352</Lines>
  <Paragraphs>943</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471917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 Goldingay</cp:lastModifiedBy>
  <cp:revision>257</cp:revision>
  <dcterms:created xsi:type="dcterms:W3CDTF">2017-07-29T19:45:00Z</dcterms:created>
  <dcterms:modified xsi:type="dcterms:W3CDTF">2018-07-27T19:33:00Z</dcterms:modified>
</cp:coreProperties>
</file>