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31" w:rsidRDefault="00444C31" w:rsidP="00444C31">
      <w:pPr>
        <w:pStyle w:val="Heading1"/>
        <w:rPr>
          <w:lang w:bidi="he-IL"/>
        </w:rPr>
      </w:pPr>
      <w:r>
        <w:rPr>
          <w:lang w:bidi="he-IL"/>
        </w:rPr>
        <w:t>Genesis 49: Translation</w:t>
      </w:r>
    </w:p>
    <w:p w:rsidR="00444C31" w:rsidRPr="00F67DD1" w:rsidRDefault="00444C31" w:rsidP="00444C31">
      <w:pPr>
        <w:pStyle w:val="Heading2"/>
        <w:numPr>
          <w:ilvl w:val="0"/>
          <w:numId w:val="0"/>
        </w:numPr>
        <w:ind w:left="720"/>
        <w:rPr>
          <w:sz w:val="22"/>
          <w:szCs w:val="22"/>
          <w:lang w:bidi="he-IL"/>
        </w:rPr>
      </w:pPr>
    </w:p>
    <w:p w:rsidR="00444C31" w:rsidRPr="00F67DD1" w:rsidRDefault="00444C31" w:rsidP="00444C31">
      <w:r w:rsidRPr="00F67DD1">
        <w:rPr>
          <w:vertAlign w:val="superscript"/>
        </w:rPr>
        <w:t>1</w:t>
      </w:r>
      <w:r>
        <w:t>Jac</w:t>
      </w:r>
      <w:r w:rsidRPr="00F67DD1">
        <w:t>ob</w:t>
      </w:r>
      <w:r>
        <w:t xml:space="preserve"> called his sons; he</w:t>
      </w:r>
      <w:r w:rsidRPr="00F67DD1">
        <w:t xml:space="preserve"> said, “Gather together so I may tell you</w:t>
      </w:r>
      <w:r w:rsidRPr="00F67DD1">
        <w:rPr>
          <w:rStyle w:val="FootnoteReference"/>
        </w:rPr>
        <w:footnoteReference w:id="1"/>
      </w:r>
      <w:r w:rsidRPr="00F67DD1">
        <w:t xml:space="preserve"> what is to befall</w:t>
      </w:r>
      <w:r w:rsidRPr="00F67DD1">
        <w:rPr>
          <w:rStyle w:val="FootnoteReference"/>
        </w:rPr>
        <w:footnoteReference w:id="2"/>
      </w:r>
      <w:r w:rsidRPr="00F67DD1">
        <w:t xml:space="preserve"> you in days to come.</w:t>
      </w:r>
      <w:r w:rsidRPr="00F67DD1">
        <w:rPr>
          <w:rStyle w:val="FootnoteReference"/>
        </w:rPr>
        <w:footnoteReference w:id="3"/>
      </w:r>
      <w:r w:rsidRPr="00F67DD1">
        <w:t xml:space="preserve"> </w:t>
      </w:r>
    </w:p>
    <w:p w:rsidR="00444C31" w:rsidRPr="00F67DD1" w:rsidRDefault="00444C31" w:rsidP="00444C31">
      <w:pPr>
        <w:pStyle w:val="PlainText"/>
        <w:rPr>
          <w:szCs w:val="22"/>
        </w:rPr>
      </w:pPr>
    </w:p>
    <w:p w:rsidR="00444C31" w:rsidRPr="00F67DD1" w:rsidRDefault="00444C31" w:rsidP="00444C31">
      <w:pPr>
        <w:pStyle w:val="PlainText"/>
        <w:tabs>
          <w:tab w:val="left" w:pos="6750"/>
        </w:tabs>
        <w:rPr>
          <w:szCs w:val="22"/>
        </w:rPr>
      </w:pPr>
      <w:r w:rsidRPr="00F67DD1">
        <w:rPr>
          <w:szCs w:val="22"/>
          <w:vertAlign w:val="superscript"/>
        </w:rPr>
        <w:t>2</w:t>
      </w:r>
      <w:r w:rsidRPr="00F67DD1">
        <w:rPr>
          <w:szCs w:val="22"/>
        </w:rPr>
        <w:t>As</w:t>
      </w:r>
      <w:r>
        <w:rPr>
          <w:szCs w:val="22"/>
        </w:rPr>
        <w:t>semble and listen, sons of Jac</w:t>
      </w:r>
      <w:r w:rsidRPr="00F67DD1">
        <w:rPr>
          <w:szCs w:val="22"/>
        </w:rPr>
        <w:t>ob,</w:t>
      </w:r>
      <w:r>
        <w:rPr>
          <w:szCs w:val="22"/>
        </w:rPr>
        <w:tab/>
      </w:r>
    </w:p>
    <w:p w:rsidR="00444C31" w:rsidRPr="00F67DD1" w:rsidRDefault="00444C31" w:rsidP="00444C31">
      <w:pPr>
        <w:pStyle w:val="PlainText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  <w:t>listen to Isra</w:t>
      </w:r>
      <w:r w:rsidRPr="00F67DD1">
        <w:rPr>
          <w:szCs w:val="22"/>
        </w:rPr>
        <w:t xml:space="preserve">el your father. </w:t>
      </w:r>
    </w:p>
    <w:p w:rsidR="00444C31" w:rsidRPr="00F67DD1" w:rsidRDefault="00444C31" w:rsidP="00444C31">
      <w:pPr>
        <w:pStyle w:val="PlainText"/>
        <w:tabs>
          <w:tab w:val="clear" w:pos="3420"/>
          <w:tab w:val="left" w:pos="4905"/>
        </w:tabs>
        <w:rPr>
          <w:szCs w:val="22"/>
        </w:rPr>
      </w:pPr>
      <w:r w:rsidRPr="00F67DD1">
        <w:rPr>
          <w:szCs w:val="22"/>
        </w:rPr>
        <w:tab/>
      </w:r>
      <w:r w:rsidRPr="00F67DD1">
        <w:rPr>
          <w:szCs w:val="22"/>
        </w:rPr>
        <w:tab/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  <w:vertAlign w:val="superscript"/>
        </w:rPr>
        <w:t>3</w:t>
      </w:r>
      <w:r>
        <w:rPr>
          <w:rFonts w:ascii="Calibri" w:hAnsi="Calibri"/>
          <w:szCs w:val="22"/>
        </w:rPr>
        <w:t>Re</w:t>
      </w:r>
      <w:r w:rsidRPr="00F67DD1">
        <w:rPr>
          <w:rFonts w:ascii="Calibri" w:hAnsi="Calibri"/>
          <w:szCs w:val="22"/>
        </w:rPr>
        <w:t xml:space="preserve">uben: you, my firstborn,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  <w:t>my strength and the initiation of my vigor,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 xml:space="preserve">Excellence in high position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  <w:t>and excellence in strength.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  <w:vertAlign w:val="superscript"/>
        </w:rPr>
        <w:t>4</w:t>
      </w:r>
      <w:r w:rsidRPr="00F67DD1">
        <w:rPr>
          <w:rFonts w:ascii="Calibri" w:hAnsi="Calibri"/>
          <w:szCs w:val="22"/>
        </w:rPr>
        <w:t>Turbulence</w:t>
      </w:r>
      <w:r w:rsidRPr="00F67DD1">
        <w:rPr>
          <w:rStyle w:val="FootnoteReference"/>
          <w:rFonts w:ascii="Calibri" w:hAnsi="Calibri"/>
          <w:szCs w:val="22"/>
        </w:rPr>
        <w:footnoteReference w:id="4"/>
      </w:r>
      <w:r w:rsidRPr="00F67DD1">
        <w:rPr>
          <w:rFonts w:ascii="Calibri" w:hAnsi="Calibri"/>
          <w:szCs w:val="22"/>
        </w:rPr>
        <w:t xml:space="preserve"> like water: you are not to excel,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  <w:t xml:space="preserve"> because you climbed your father’s big bed.</w:t>
      </w:r>
      <w:r w:rsidRPr="00F67DD1">
        <w:rPr>
          <w:rStyle w:val="FootnoteReference"/>
          <w:rFonts w:ascii="Calibri" w:hAnsi="Calibri"/>
          <w:szCs w:val="22"/>
        </w:rPr>
        <w:footnoteReference w:id="5"/>
      </w:r>
      <w:r w:rsidRPr="00F67DD1">
        <w:rPr>
          <w:rFonts w:ascii="Calibri" w:hAnsi="Calibri"/>
          <w:szCs w:val="22"/>
        </w:rPr>
        <w:t xml:space="preserve">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>Thereby</w:t>
      </w:r>
      <w:r w:rsidRPr="00F67DD1">
        <w:rPr>
          <w:rStyle w:val="FootnoteReference"/>
          <w:rFonts w:ascii="Calibri" w:hAnsi="Calibri"/>
          <w:szCs w:val="22"/>
        </w:rPr>
        <w:footnoteReference w:id="6"/>
      </w:r>
      <w:r w:rsidRPr="00F67DD1">
        <w:rPr>
          <w:rFonts w:ascii="Calibri" w:hAnsi="Calibri"/>
          <w:szCs w:val="22"/>
        </w:rPr>
        <w:t xml:space="preserve"> you polluted—</w:t>
      </w:r>
      <w:r w:rsidRPr="00F67DD1">
        <w:rPr>
          <w:rFonts w:ascii="Calibri" w:hAnsi="Calibri"/>
          <w:szCs w:val="22"/>
          <w:vertAlign w:val="superscript"/>
          <w:lang w:val="en-GB"/>
        </w:rPr>
        <w:footnoteReference w:id="7"/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  <w:t>one who climbed my couch!</w:t>
      </w:r>
      <w:r w:rsidRPr="00F67DD1">
        <w:rPr>
          <w:rStyle w:val="FootnoteReference"/>
          <w:rFonts w:ascii="Calibri" w:hAnsi="Calibri"/>
          <w:szCs w:val="22"/>
        </w:rPr>
        <w:footnoteReference w:id="8"/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  <w:vertAlign w:val="superscript"/>
        </w:rPr>
        <w:t>5</w:t>
      </w:r>
      <w:r>
        <w:rPr>
          <w:rFonts w:ascii="Calibri" w:hAnsi="Calibri"/>
          <w:szCs w:val="22"/>
        </w:rPr>
        <w:t>Simeon and Lev</w:t>
      </w:r>
      <w:r w:rsidRPr="00F67DD1">
        <w:rPr>
          <w:rFonts w:ascii="Calibri" w:hAnsi="Calibri"/>
          <w:szCs w:val="22"/>
        </w:rPr>
        <w:t>i, brothers,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  <w:t>their blades</w:t>
      </w:r>
      <w:r w:rsidRPr="00F67DD1">
        <w:rPr>
          <w:rStyle w:val="FootnoteReference"/>
          <w:rFonts w:ascii="Calibri" w:hAnsi="Calibri"/>
          <w:szCs w:val="22"/>
        </w:rPr>
        <w:footnoteReference w:id="9"/>
      </w:r>
      <w:r w:rsidRPr="00F67DD1">
        <w:rPr>
          <w:rFonts w:ascii="Calibri" w:hAnsi="Calibri"/>
          <w:szCs w:val="22"/>
        </w:rPr>
        <w:t xml:space="preserve"> tools of violence: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  <w:vertAlign w:val="superscript"/>
        </w:rPr>
        <w:t>6</w:t>
      </w:r>
      <w:r>
        <w:rPr>
          <w:rFonts w:ascii="Calibri" w:hAnsi="Calibri"/>
          <w:szCs w:val="22"/>
        </w:rPr>
        <w:t>In</w:t>
      </w:r>
      <w:r w:rsidRPr="00F67DD1">
        <w:rPr>
          <w:rFonts w:ascii="Calibri" w:hAnsi="Calibri"/>
          <w:szCs w:val="22"/>
        </w:rPr>
        <w:t xml:space="preserve"> their council </w:t>
      </w:r>
      <w:r>
        <w:rPr>
          <w:rFonts w:ascii="Calibri" w:hAnsi="Calibri"/>
          <w:szCs w:val="22"/>
        </w:rPr>
        <w:t>m</w:t>
      </w:r>
      <w:r w:rsidRPr="00F67DD1">
        <w:rPr>
          <w:rFonts w:ascii="Calibri" w:hAnsi="Calibri"/>
          <w:szCs w:val="22"/>
        </w:rPr>
        <w:t xml:space="preserve">y person is not to come,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in</w:t>
      </w:r>
      <w:r w:rsidRPr="00F67DD1">
        <w:rPr>
          <w:rFonts w:ascii="Calibri" w:hAnsi="Calibri"/>
          <w:szCs w:val="22"/>
        </w:rPr>
        <w:t xml:space="preserve"> their congregation my soul</w:t>
      </w:r>
      <w:r w:rsidRPr="00F67DD1">
        <w:rPr>
          <w:rStyle w:val="FootnoteReference"/>
          <w:rFonts w:ascii="Calibri" w:hAnsi="Calibri"/>
          <w:szCs w:val="22"/>
        </w:rPr>
        <w:footnoteReference w:id="10"/>
      </w:r>
      <w:r w:rsidRPr="00F67DD1">
        <w:rPr>
          <w:rFonts w:ascii="Calibri" w:hAnsi="Calibri"/>
          <w:szCs w:val="22"/>
        </w:rPr>
        <w:t xml:space="preserve"> is not to </w:t>
      </w:r>
      <w:r>
        <w:rPr>
          <w:rFonts w:ascii="Calibri" w:hAnsi="Calibri"/>
          <w:szCs w:val="22"/>
        </w:rPr>
        <w:t>join</w:t>
      </w:r>
      <w:r w:rsidRPr="00F67DD1">
        <w:rPr>
          <w:rFonts w:ascii="Calibri" w:hAnsi="Calibri"/>
          <w:szCs w:val="22"/>
        </w:rPr>
        <w:t xml:space="preserve">.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 xml:space="preserve">Because in their anger they killed someone,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  <w:t>in their pleasure they hamstrung</w:t>
      </w:r>
      <w:r w:rsidRPr="00F67DD1">
        <w:rPr>
          <w:rStyle w:val="FootnoteReference"/>
          <w:rFonts w:ascii="Calibri" w:hAnsi="Calibri"/>
          <w:szCs w:val="22"/>
        </w:rPr>
        <w:footnoteReference w:id="11"/>
      </w:r>
      <w:r w:rsidRPr="00F67DD1">
        <w:rPr>
          <w:rFonts w:ascii="Calibri" w:hAnsi="Calibri"/>
          <w:szCs w:val="22"/>
        </w:rPr>
        <w:t xml:space="preserve"> an ox.</w:t>
      </w:r>
      <w:r w:rsidRPr="00F67DD1">
        <w:rPr>
          <w:rStyle w:val="FootnoteReference"/>
          <w:rFonts w:ascii="Calibri" w:hAnsi="Calibri"/>
          <w:szCs w:val="22"/>
        </w:rPr>
        <w:footnoteReference w:id="12"/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  <w:vertAlign w:val="superscript"/>
        </w:rPr>
        <w:lastRenderedPageBreak/>
        <w:t>7</w:t>
      </w:r>
      <w:r w:rsidRPr="00F67DD1">
        <w:rPr>
          <w:rFonts w:ascii="Calibri" w:hAnsi="Calibri"/>
          <w:szCs w:val="22"/>
        </w:rPr>
        <w:t xml:space="preserve">Cursed their anger because it was strong,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  <w:t>their outburst because it was tough!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I will divide them in Jac</w:t>
      </w:r>
      <w:r w:rsidRPr="00F67DD1">
        <w:rPr>
          <w:rFonts w:ascii="Calibri" w:hAnsi="Calibri"/>
          <w:szCs w:val="22"/>
        </w:rPr>
        <w:t>ob,</w:t>
      </w:r>
    </w:p>
    <w:p w:rsidR="00444C31" w:rsidRPr="00F67DD1" w:rsidRDefault="00444C31" w:rsidP="00444C31">
      <w:pPr>
        <w:pStyle w:val="List"/>
        <w:tabs>
          <w:tab w:val="left" w:pos="720"/>
          <w:tab w:val="left" w:pos="1440"/>
          <w:tab w:val="left" w:pos="2160"/>
          <w:tab w:val="left" w:pos="2880"/>
          <w:tab w:val="left" w:pos="3495"/>
        </w:tabs>
        <w:ind w:hanging="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 disperse them in Isra</w:t>
      </w:r>
      <w:r w:rsidRPr="00F67DD1">
        <w:rPr>
          <w:rFonts w:ascii="Calibri" w:hAnsi="Calibri"/>
          <w:szCs w:val="22"/>
        </w:rPr>
        <w:t xml:space="preserve">el. </w:t>
      </w:r>
      <w:r w:rsidRPr="00F67DD1">
        <w:rPr>
          <w:rFonts w:ascii="Calibri" w:hAnsi="Calibri"/>
          <w:szCs w:val="22"/>
        </w:rPr>
        <w:tab/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  <w:vertAlign w:val="superscript"/>
        </w:rPr>
        <w:t>8</w:t>
      </w:r>
      <w:r>
        <w:rPr>
          <w:rFonts w:ascii="Calibri" w:hAnsi="Calibri"/>
          <w:szCs w:val="22"/>
        </w:rPr>
        <w:t>J</w:t>
      </w:r>
      <w:r w:rsidRPr="00F67DD1">
        <w:rPr>
          <w:rFonts w:ascii="Calibri" w:hAnsi="Calibri"/>
          <w:szCs w:val="22"/>
        </w:rPr>
        <w:t>udah: you,</w:t>
      </w:r>
      <w:r w:rsidRPr="00F67DD1">
        <w:rPr>
          <w:rStyle w:val="FootnoteReference"/>
          <w:rFonts w:ascii="Calibri" w:hAnsi="Calibri"/>
          <w:szCs w:val="22"/>
        </w:rPr>
        <w:footnoteReference w:id="13"/>
      </w:r>
      <w:r w:rsidRPr="00F67DD1">
        <w:rPr>
          <w:rFonts w:ascii="Calibri" w:hAnsi="Calibri"/>
          <w:szCs w:val="22"/>
        </w:rPr>
        <w:t xml:space="preserve"> </w:t>
      </w:r>
    </w:p>
    <w:p w:rsidR="00444C31" w:rsidRPr="00F67DD1" w:rsidRDefault="00444C31" w:rsidP="00444C31">
      <w:pPr>
        <w:pStyle w:val="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</w:tabs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  <w:t xml:space="preserve">your brothers will confess you. </w:t>
      </w:r>
      <w:r w:rsidRPr="00F67DD1">
        <w:rPr>
          <w:rFonts w:ascii="Calibri" w:hAnsi="Calibri"/>
          <w:szCs w:val="22"/>
        </w:rPr>
        <w:tab/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 xml:space="preserve">Your hand on your enemies’ neck,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  <w:t xml:space="preserve">your father’s sons will bow down to you.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  <w:vertAlign w:val="superscript"/>
        </w:rPr>
        <w:t>9</w:t>
      </w:r>
      <w:r>
        <w:rPr>
          <w:rFonts w:ascii="Calibri" w:hAnsi="Calibri"/>
          <w:szCs w:val="22"/>
        </w:rPr>
        <w:t>A lion cub, Judah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(from prey, son, you’ve gone</w:t>
      </w:r>
      <w:r w:rsidRPr="00F67DD1">
        <w:rPr>
          <w:rFonts w:ascii="Calibri" w:hAnsi="Calibri"/>
          <w:szCs w:val="22"/>
        </w:rPr>
        <w:t xml:space="preserve"> up</w:t>
      </w:r>
      <w:r>
        <w:rPr>
          <w:rFonts w:ascii="Calibri" w:hAnsi="Calibri"/>
          <w:szCs w:val="22"/>
        </w:rPr>
        <w:t>):</w:t>
      </w:r>
      <w:r w:rsidRPr="00F67DD1">
        <w:rPr>
          <w:rFonts w:ascii="Calibri" w:hAnsi="Calibri"/>
          <w:szCs w:val="22"/>
        </w:rPr>
        <w:t xml:space="preserve">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He has</w:t>
      </w:r>
      <w:r w:rsidRPr="00F67DD1">
        <w:rPr>
          <w:rFonts w:ascii="Calibri" w:hAnsi="Calibri"/>
          <w:szCs w:val="22"/>
        </w:rPr>
        <w:t xml:space="preserve"> bent down, lain</w:t>
      </w:r>
      <w:r>
        <w:rPr>
          <w:rFonts w:ascii="Calibri" w:hAnsi="Calibri"/>
          <w:szCs w:val="22"/>
        </w:rPr>
        <w:t>,</w:t>
      </w:r>
      <w:r w:rsidRPr="00F67DD1">
        <w:rPr>
          <w:rFonts w:ascii="Calibri" w:hAnsi="Calibri"/>
          <w:szCs w:val="22"/>
        </w:rPr>
        <w:t xml:space="preserve"> like a lion,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like a cougar</w:t>
      </w:r>
      <w:r w:rsidRPr="00F67DD1">
        <w:rPr>
          <w:rStyle w:val="FootnoteReference"/>
          <w:rFonts w:ascii="Calibri" w:hAnsi="Calibri"/>
          <w:szCs w:val="22"/>
        </w:rPr>
        <w:footnoteReference w:id="14"/>
      </w:r>
      <w:r w:rsidRPr="00F67DD1">
        <w:rPr>
          <w:rFonts w:ascii="Calibri" w:hAnsi="Calibri"/>
          <w:szCs w:val="22"/>
        </w:rPr>
        <w:t xml:space="preserve"> – who would rouse him?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  <w:vertAlign w:val="superscript"/>
        </w:rPr>
        <w:t>10</w:t>
      </w:r>
      <w:r w:rsidRPr="00F67DD1">
        <w:rPr>
          <w:rFonts w:ascii="Calibri" w:hAnsi="Calibri"/>
          <w:szCs w:val="22"/>
        </w:rPr>
        <w:t>T</w:t>
      </w:r>
      <w:r>
        <w:rPr>
          <w:rFonts w:ascii="Calibri" w:hAnsi="Calibri"/>
          <w:szCs w:val="22"/>
        </w:rPr>
        <w:t>he staff will not leave from J</w:t>
      </w:r>
      <w:r w:rsidRPr="00F67DD1">
        <w:rPr>
          <w:rFonts w:ascii="Calibri" w:hAnsi="Calibri"/>
          <w:szCs w:val="22"/>
        </w:rPr>
        <w:t>udah,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  <w:t xml:space="preserve"> the scepter from between his feet,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>Until</w:t>
      </w:r>
      <w:r w:rsidRPr="00F67DD1">
        <w:rPr>
          <w:rStyle w:val="FootnoteReference"/>
          <w:rFonts w:ascii="Calibri" w:hAnsi="Calibri"/>
          <w:szCs w:val="22"/>
        </w:rPr>
        <w:footnoteReference w:id="15"/>
      </w:r>
      <w:r w:rsidRPr="00F67DD1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there comes tribute</w:t>
      </w:r>
      <w:r w:rsidRPr="00F67DD1">
        <w:rPr>
          <w:rFonts w:ascii="Calibri" w:hAnsi="Calibri"/>
          <w:szCs w:val="22"/>
        </w:rPr>
        <w:t xml:space="preserve"> to him</w:t>
      </w:r>
      <w:r w:rsidRPr="00F67DD1">
        <w:rPr>
          <w:rStyle w:val="FootnoteReference"/>
          <w:rFonts w:ascii="Calibri" w:hAnsi="Calibri"/>
          <w:szCs w:val="22"/>
        </w:rPr>
        <w:footnoteReference w:id="16"/>
      </w:r>
      <w:r w:rsidRPr="00F67DD1">
        <w:rPr>
          <w:rFonts w:ascii="Calibri" w:hAnsi="Calibri"/>
          <w:szCs w:val="22"/>
        </w:rPr>
        <w:t xml:space="preserve">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  <w:t>and the obedience</w:t>
      </w:r>
      <w:r>
        <w:rPr>
          <w:rFonts w:ascii="Calibri" w:hAnsi="Calibri"/>
          <w:szCs w:val="22"/>
        </w:rPr>
        <w:t xml:space="preserve"> of the peoples to him</w:t>
      </w:r>
      <w:r w:rsidRPr="00F67DD1">
        <w:rPr>
          <w:rFonts w:ascii="Calibri" w:hAnsi="Calibri"/>
          <w:szCs w:val="22"/>
        </w:rPr>
        <w:t xml:space="preserve">.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  <w:vertAlign w:val="superscript"/>
        </w:rPr>
        <w:t>11</w:t>
      </w:r>
      <w:r w:rsidRPr="00F67DD1">
        <w:rPr>
          <w:rFonts w:ascii="Calibri" w:hAnsi="Calibri"/>
          <w:szCs w:val="22"/>
        </w:rPr>
        <w:t>Tying</w:t>
      </w:r>
      <w:r w:rsidRPr="00F67DD1">
        <w:rPr>
          <w:rStyle w:val="FootnoteReference"/>
          <w:rFonts w:ascii="Calibri" w:hAnsi="Calibri"/>
          <w:szCs w:val="22"/>
        </w:rPr>
        <w:footnoteReference w:id="17"/>
      </w:r>
      <w:r w:rsidRPr="00F67DD1">
        <w:rPr>
          <w:rFonts w:ascii="Calibri" w:hAnsi="Calibri"/>
          <w:szCs w:val="22"/>
        </w:rPr>
        <w:t xml:space="preserve"> his donkey to a vine,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  <w:t>the offspring of his she-donkey to a choice vine,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 xml:space="preserve">He has washed his clothing in wine,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  <w:t>his garment</w:t>
      </w:r>
      <w:r>
        <w:rPr>
          <w:rFonts w:ascii="Calibri" w:hAnsi="Calibri"/>
          <w:szCs w:val="22"/>
        </w:rPr>
        <w:t xml:space="preserve"> in grape-blood: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  <w:vertAlign w:val="superscript"/>
        </w:rPr>
        <w:t>12</w:t>
      </w:r>
      <w:r w:rsidRPr="00F67DD1">
        <w:rPr>
          <w:rFonts w:ascii="Calibri" w:hAnsi="Calibri"/>
          <w:szCs w:val="22"/>
        </w:rPr>
        <w:t xml:space="preserve">Darker of eyes than wine,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  <w:t>whiter of teeth than milk.</w:t>
      </w:r>
      <w:r w:rsidRPr="00F67DD1">
        <w:rPr>
          <w:rStyle w:val="FootnoteReference"/>
          <w:rFonts w:ascii="Calibri" w:hAnsi="Calibri"/>
          <w:szCs w:val="22"/>
        </w:rPr>
        <w:footnoteReference w:id="18"/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  <w:vertAlign w:val="superscript"/>
        </w:rPr>
        <w:lastRenderedPageBreak/>
        <w:t>13</w:t>
      </w:r>
      <w:r w:rsidRPr="00F67DD1">
        <w:rPr>
          <w:rFonts w:ascii="Calibri" w:hAnsi="Calibri"/>
          <w:szCs w:val="22"/>
        </w:rPr>
        <w:t>Zebulun: toward</w:t>
      </w:r>
      <w:r>
        <w:rPr>
          <w:rFonts w:ascii="Calibri" w:hAnsi="Calibri"/>
          <w:szCs w:val="22"/>
        </w:rPr>
        <w:t>s</w:t>
      </w:r>
      <w:r w:rsidRPr="00F67DD1">
        <w:rPr>
          <w:rFonts w:ascii="Calibri" w:hAnsi="Calibri"/>
          <w:szCs w:val="22"/>
        </w:rPr>
        <w:t xml:space="preserve"> the shore of the seas he will dwell,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  <w:t>toward</w:t>
      </w:r>
      <w:r>
        <w:rPr>
          <w:rFonts w:ascii="Calibri" w:hAnsi="Calibri"/>
          <w:szCs w:val="22"/>
        </w:rPr>
        <w:t>s</w:t>
      </w:r>
      <w:r w:rsidRPr="00F67DD1">
        <w:rPr>
          <w:rFonts w:ascii="Calibri" w:hAnsi="Calibri"/>
          <w:szCs w:val="22"/>
        </w:rPr>
        <w:t xml:space="preserve"> the shore for ships, him,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  <w:t xml:space="preserve">his flank at Sidon.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b/>
          <w:szCs w:val="22"/>
        </w:rPr>
      </w:pP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  <w:vertAlign w:val="superscript"/>
        </w:rPr>
        <w:t>14</w:t>
      </w:r>
      <w:r>
        <w:rPr>
          <w:rFonts w:ascii="Calibri" w:hAnsi="Calibri"/>
          <w:szCs w:val="22"/>
        </w:rPr>
        <w:t>Issach</w:t>
      </w:r>
      <w:r w:rsidRPr="00F67DD1">
        <w:rPr>
          <w:rFonts w:ascii="Calibri" w:hAnsi="Calibri"/>
          <w:szCs w:val="22"/>
        </w:rPr>
        <w:t>ar:</w:t>
      </w:r>
      <w:r>
        <w:rPr>
          <w:rFonts w:ascii="Calibri" w:hAnsi="Calibri"/>
          <w:szCs w:val="22"/>
        </w:rPr>
        <w:t xml:space="preserve"> a </w:t>
      </w:r>
      <w:r w:rsidRPr="00F67DD1">
        <w:rPr>
          <w:rFonts w:ascii="Calibri" w:hAnsi="Calibri"/>
          <w:szCs w:val="22"/>
        </w:rPr>
        <w:t>donkey</w:t>
      </w:r>
      <w:r>
        <w:rPr>
          <w:rFonts w:ascii="Calibri" w:hAnsi="Calibri"/>
          <w:szCs w:val="22"/>
        </w:rPr>
        <w:t>, sturdy,</w:t>
      </w:r>
      <w:r w:rsidRPr="00F67DD1">
        <w:rPr>
          <w:rFonts w:ascii="Calibri" w:hAnsi="Calibri"/>
          <w:szCs w:val="22"/>
        </w:rPr>
        <w:t xml:space="preserve">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  <w:t>lying among the sheepfolds.</w:t>
      </w:r>
      <w:r w:rsidRPr="00F67DD1">
        <w:rPr>
          <w:rStyle w:val="FootnoteReference"/>
          <w:rFonts w:ascii="Calibri" w:hAnsi="Calibri"/>
          <w:szCs w:val="22"/>
        </w:rPr>
        <w:footnoteReference w:id="19"/>
      </w:r>
      <w:r w:rsidRPr="00F67DD1">
        <w:rPr>
          <w:rFonts w:ascii="Calibri" w:hAnsi="Calibri"/>
          <w:szCs w:val="22"/>
        </w:rPr>
        <w:t xml:space="preserve">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  <w:vertAlign w:val="superscript"/>
        </w:rPr>
        <w:t>15</w:t>
      </w:r>
      <w:r w:rsidRPr="00F67DD1">
        <w:rPr>
          <w:rFonts w:ascii="Calibri" w:hAnsi="Calibri"/>
          <w:szCs w:val="22"/>
        </w:rPr>
        <w:t xml:space="preserve">He has seen a resting place, how good it was, </w:t>
      </w:r>
    </w:p>
    <w:p w:rsidR="00444C31" w:rsidRPr="00F67DD1" w:rsidRDefault="00444C31" w:rsidP="00444C31">
      <w:pPr>
        <w:pStyle w:val="Lis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and the region</w:t>
      </w:r>
      <w:r w:rsidRPr="00F67DD1">
        <w:rPr>
          <w:rFonts w:ascii="Calibri" w:hAnsi="Calibri"/>
          <w:szCs w:val="22"/>
        </w:rPr>
        <w:t xml:space="preserve">, how beautiful.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 xml:space="preserve">But he has bent his shoulder to the burden,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  <w:t>become a conscript servant.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  <w:vertAlign w:val="superscript"/>
        </w:rPr>
        <w:t>16</w:t>
      </w:r>
      <w:r w:rsidRPr="00F67DD1">
        <w:rPr>
          <w:rFonts w:ascii="Calibri" w:hAnsi="Calibri"/>
          <w:szCs w:val="22"/>
        </w:rPr>
        <w:t>Dan: his people will govern</w:t>
      </w:r>
      <w:r w:rsidRPr="00F67DD1">
        <w:rPr>
          <w:rStyle w:val="FootnoteReference"/>
          <w:rFonts w:ascii="Calibri" w:hAnsi="Calibri"/>
          <w:szCs w:val="22"/>
        </w:rPr>
        <w:footnoteReference w:id="20"/>
      </w:r>
      <w:r w:rsidRPr="00F67DD1">
        <w:rPr>
          <w:rFonts w:ascii="Calibri" w:hAnsi="Calibri"/>
          <w:szCs w:val="22"/>
        </w:rPr>
        <w:t xml:space="preserve">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>as one of the clans of Isra</w:t>
      </w:r>
      <w:r w:rsidRPr="00F67DD1">
        <w:rPr>
          <w:rFonts w:ascii="Calibri" w:hAnsi="Calibri"/>
          <w:szCs w:val="22"/>
        </w:rPr>
        <w:t xml:space="preserve">el.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  <w:vertAlign w:val="superscript"/>
        </w:rPr>
        <w:t>17</w:t>
      </w:r>
      <w:r w:rsidRPr="00F67DD1">
        <w:rPr>
          <w:rFonts w:ascii="Calibri" w:hAnsi="Calibri"/>
          <w:szCs w:val="22"/>
        </w:rPr>
        <w:t>May Dan be</w:t>
      </w:r>
      <w:r w:rsidRPr="00F67DD1">
        <w:rPr>
          <w:rStyle w:val="FootnoteReference"/>
          <w:rFonts w:ascii="Calibri" w:hAnsi="Calibri"/>
          <w:szCs w:val="22"/>
        </w:rPr>
        <w:footnoteReference w:id="21"/>
      </w:r>
      <w:r w:rsidRPr="00F67DD1">
        <w:rPr>
          <w:rFonts w:ascii="Calibri" w:hAnsi="Calibri"/>
          <w:szCs w:val="22"/>
        </w:rPr>
        <w:t xml:space="preserve"> a snake by the road,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  <w:t xml:space="preserve">a viper by the path,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 xml:space="preserve">One that bites the horse’s heels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  <w:t>so its rider falls backwards:</w:t>
      </w:r>
    </w:p>
    <w:p w:rsidR="00444C31" w:rsidRPr="00F67DD1" w:rsidRDefault="00444C31" w:rsidP="00444C31">
      <w:pPr>
        <w:pStyle w:val="List"/>
        <w:tabs>
          <w:tab w:val="left" w:pos="1080"/>
        </w:tabs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  <w:vertAlign w:val="superscript"/>
        </w:rPr>
        <w:tab/>
        <w:t>18</w:t>
      </w:r>
      <w:r w:rsidRPr="00F67DD1">
        <w:rPr>
          <w:rFonts w:ascii="Calibri" w:hAnsi="Calibri"/>
          <w:szCs w:val="22"/>
        </w:rPr>
        <w:t>for your deliverance I have waited,</w:t>
      </w:r>
      <w:r w:rsidRPr="00F67DD1">
        <w:rPr>
          <w:rStyle w:val="FootnoteReference"/>
          <w:rFonts w:ascii="Calibri" w:hAnsi="Calibri"/>
          <w:szCs w:val="22"/>
        </w:rPr>
        <w:footnoteReference w:id="22"/>
      </w:r>
      <w:r w:rsidRPr="00F67DD1">
        <w:rPr>
          <w:rFonts w:ascii="Calibri" w:hAnsi="Calibri"/>
          <w:szCs w:val="22"/>
        </w:rPr>
        <w:t xml:space="preserve"> Yahweh.</w:t>
      </w:r>
    </w:p>
    <w:p w:rsidR="00444C31" w:rsidRPr="00F67DD1" w:rsidRDefault="00444C31" w:rsidP="00444C31">
      <w:pPr>
        <w:pStyle w:val="List"/>
        <w:tabs>
          <w:tab w:val="left" w:pos="1080"/>
        </w:tabs>
        <w:ind w:hanging="360"/>
        <w:rPr>
          <w:rFonts w:ascii="Calibri" w:hAnsi="Calibri"/>
          <w:szCs w:val="22"/>
        </w:rPr>
      </w:pPr>
    </w:p>
    <w:p w:rsidR="00444C31" w:rsidRPr="00F67DD1" w:rsidRDefault="00444C31" w:rsidP="00444C31">
      <w:pPr>
        <w:pStyle w:val="List"/>
        <w:tabs>
          <w:tab w:val="left" w:pos="1080"/>
        </w:tabs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  <w:vertAlign w:val="superscript"/>
        </w:rPr>
        <w:t>19</w:t>
      </w:r>
      <w:r w:rsidRPr="00F67DD1">
        <w:rPr>
          <w:rFonts w:ascii="Calibri" w:hAnsi="Calibri"/>
          <w:szCs w:val="22"/>
        </w:rPr>
        <w:t>Gad: an attacker</w:t>
      </w:r>
      <w:r w:rsidRPr="00F67DD1">
        <w:rPr>
          <w:rStyle w:val="FootnoteReference"/>
          <w:rFonts w:ascii="Calibri" w:hAnsi="Calibri"/>
          <w:szCs w:val="22"/>
        </w:rPr>
        <w:footnoteReference w:id="23"/>
      </w:r>
      <w:r w:rsidRPr="00F67DD1">
        <w:rPr>
          <w:rFonts w:ascii="Calibri" w:hAnsi="Calibri"/>
          <w:szCs w:val="22"/>
        </w:rPr>
        <w:t xml:space="preserve"> will attack him, </w:t>
      </w:r>
    </w:p>
    <w:p w:rsidR="00444C31" w:rsidRPr="00F67DD1" w:rsidRDefault="00444C31" w:rsidP="00444C31">
      <w:pPr>
        <w:pStyle w:val="List"/>
        <w:tabs>
          <w:tab w:val="left" w:pos="1080"/>
        </w:tabs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  <w:t>but he himself will attack their heel.</w:t>
      </w:r>
    </w:p>
    <w:p w:rsidR="00444C31" w:rsidRPr="00F67DD1" w:rsidRDefault="00444C31" w:rsidP="00444C31">
      <w:pPr>
        <w:pStyle w:val="List"/>
        <w:tabs>
          <w:tab w:val="left" w:pos="1080"/>
        </w:tabs>
        <w:ind w:hanging="360"/>
        <w:rPr>
          <w:rFonts w:ascii="Calibri" w:hAnsi="Calibri"/>
          <w:szCs w:val="22"/>
        </w:rPr>
      </w:pPr>
    </w:p>
    <w:p w:rsidR="00444C31" w:rsidRPr="00F67DD1" w:rsidRDefault="00444C31" w:rsidP="00444C31">
      <w:pPr>
        <w:pStyle w:val="List"/>
        <w:tabs>
          <w:tab w:val="left" w:pos="1080"/>
        </w:tabs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  <w:vertAlign w:val="superscript"/>
        </w:rPr>
        <w:t>20</w:t>
      </w:r>
      <w:r w:rsidRPr="00F67DD1">
        <w:rPr>
          <w:rFonts w:ascii="Calibri" w:hAnsi="Calibri"/>
          <w:szCs w:val="22"/>
        </w:rPr>
        <w:t>From</w:t>
      </w:r>
      <w:r w:rsidRPr="00F67DD1">
        <w:rPr>
          <w:rStyle w:val="FootnoteReference"/>
          <w:rFonts w:ascii="Calibri" w:hAnsi="Calibri"/>
          <w:szCs w:val="22"/>
        </w:rPr>
        <w:footnoteReference w:id="24"/>
      </w:r>
      <w:r>
        <w:rPr>
          <w:rFonts w:ascii="Calibri" w:hAnsi="Calibri"/>
          <w:szCs w:val="22"/>
        </w:rPr>
        <w:t xml:space="preserve"> Ash</w:t>
      </w:r>
      <w:r w:rsidRPr="00F67DD1">
        <w:rPr>
          <w:rFonts w:ascii="Calibri" w:hAnsi="Calibri"/>
          <w:szCs w:val="22"/>
        </w:rPr>
        <w:t>er: rich his bread,</w:t>
      </w:r>
    </w:p>
    <w:p w:rsidR="00444C31" w:rsidRPr="00F67DD1" w:rsidRDefault="00444C31" w:rsidP="00444C31">
      <w:pPr>
        <w:pStyle w:val="Lis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245"/>
        </w:tabs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  <w:t>and he, one who will give a king’s delicacies.</w:t>
      </w:r>
      <w:r w:rsidRPr="00F67DD1">
        <w:rPr>
          <w:rFonts w:ascii="Calibri" w:hAnsi="Calibri"/>
          <w:szCs w:val="22"/>
        </w:rPr>
        <w:tab/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  <w:vertAlign w:val="superscript"/>
        </w:rPr>
        <w:t>21</w:t>
      </w:r>
      <w:r w:rsidRPr="00F67DD1">
        <w:rPr>
          <w:rFonts w:ascii="Calibri" w:hAnsi="Calibri"/>
          <w:szCs w:val="22"/>
        </w:rPr>
        <w:t>Nap</w:t>
      </w:r>
      <w:r>
        <w:rPr>
          <w:rFonts w:ascii="Calibri" w:hAnsi="Calibri"/>
          <w:szCs w:val="22"/>
        </w:rPr>
        <w:t>h</w:t>
      </w:r>
      <w:r w:rsidRPr="00F67DD1">
        <w:rPr>
          <w:rFonts w:ascii="Calibri" w:hAnsi="Calibri"/>
          <w:szCs w:val="22"/>
        </w:rPr>
        <w:t>tali: a hind</w:t>
      </w:r>
      <w:r w:rsidRPr="00F67DD1">
        <w:rPr>
          <w:rStyle w:val="FootnoteReference"/>
          <w:rFonts w:ascii="Calibri" w:hAnsi="Calibri"/>
          <w:szCs w:val="22"/>
        </w:rPr>
        <w:footnoteReference w:id="25"/>
      </w:r>
      <w:r w:rsidRPr="00F67DD1">
        <w:rPr>
          <w:rFonts w:ascii="Calibri" w:hAnsi="Calibri"/>
          <w:szCs w:val="22"/>
        </w:rPr>
        <w:t xml:space="preserve"> set free;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lastRenderedPageBreak/>
        <w:tab/>
        <w:t>it gives</w:t>
      </w:r>
      <w:r w:rsidRPr="00F67DD1">
        <w:rPr>
          <w:rStyle w:val="FootnoteReference"/>
          <w:rFonts w:ascii="Calibri" w:hAnsi="Calibri"/>
          <w:szCs w:val="22"/>
        </w:rPr>
        <w:footnoteReference w:id="26"/>
      </w:r>
      <w:r w:rsidRPr="00F67DD1">
        <w:rPr>
          <w:rFonts w:ascii="Calibri" w:hAnsi="Calibri"/>
          <w:szCs w:val="22"/>
        </w:rPr>
        <w:t xml:space="preserve"> fawns</w:t>
      </w:r>
      <w:r w:rsidRPr="00F67DD1">
        <w:rPr>
          <w:rStyle w:val="FootnoteReference"/>
          <w:rFonts w:ascii="Calibri" w:hAnsi="Calibri"/>
          <w:szCs w:val="22"/>
        </w:rPr>
        <w:footnoteReference w:id="27"/>
      </w:r>
      <w:r w:rsidRPr="00F67DD1">
        <w:rPr>
          <w:rFonts w:ascii="Calibri" w:hAnsi="Calibri"/>
          <w:szCs w:val="22"/>
        </w:rPr>
        <w:t xml:space="preserve"> of the fold.</w:t>
      </w:r>
      <w:r w:rsidRPr="00F67DD1">
        <w:rPr>
          <w:rStyle w:val="FootnoteReference"/>
          <w:rFonts w:ascii="Calibri" w:hAnsi="Calibri"/>
          <w:szCs w:val="22"/>
        </w:rPr>
        <w:footnoteReference w:id="28"/>
      </w:r>
      <w:r w:rsidRPr="00F67DD1">
        <w:rPr>
          <w:rFonts w:ascii="Calibri" w:hAnsi="Calibri"/>
          <w:szCs w:val="22"/>
        </w:rPr>
        <w:t xml:space="preserve">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  <w:vertAlign w:val="superscript"/>
        </w:rPr>
        <w:t>22</w:t>
      </w:r>
      <w:r w:rsidRPr="00F67DD1">
        <w:rPr>
          <w:rFonts w:ascii="Calibri" w:hAnsi="Calibri"/>
          <w:szCs w:val="22"/>
        </w:rPr>
        <w:t>A son,</w:t>
      </w:r>
      <w:r w:rsidRPr="00F67DD1">
        <w:rPr>
          <w:rStyle w:val="FootnoteReference"/>
          <w:rFonts w:ascii="Calibri" w:hAnsi="Calibri"/>
          <w:szCs w:val="22"/>
        </w:rPr>
        <w:footnoteReference w:id="29"/>
      </w:r>
      <w:r w:rsidRPr="00F67DD1">
        <w:rPr>
          <w:rFonts w:ascii="Calibri" w:hAnsi="Calibri"/>
          <w:szCs w:val="22"/>
        </w:rPr>
        <w:t xml:space="preserve"> a wild donkey,</w:t>
      </w:r>
      <w:r w:rsidRPr="00F67DD1">
        <w:rPr>
          <w:rFonts w:ascii="Calibri" w:hAnsi="Calibri"/>
          <w:szCs w:val="22"/>
          <w:vertAlign w:val="superscript"/>
        </w:rPr>
        <w:footnoteReference w:id="30"/>
      </w:r>
      <w:r>
        <w:rPr>
          <w:rFonts w:ascii="Calibri" w:hAnsi="Calibri"/>
          <w:szCs w:val="22"/>
        </w:rPr>
        <w:t xml:space="preserve"> J</w:t>
      </w:r>
      <w:r w:rsidRPr="00F67DD1">
        <w:rPr>
          <w:rFonts w:ascii="Calibri" w:hAnsi="Calibri"/>
          <w:szCs w:val="22"/>
        </w:rPr>
        <w:t>osep</w:t>
      </w:r>
      <w:r>
        <w:rPr>
          <w:rFonts w:ascii="Calibri" w:hAnsi="Calibri"/>
          <w:szCs w:val="22"/>
        </w:rPr>
        <w:t>h</w:t>
      </w:r>
      <w:r w:rsidRPr="00F67DD1">
        <w:rPr>
          <w:rFonts w:ascii="Calibri" w:hAnsi="Calibri"/>
          <w:szCs w:val="22"/>
        </w:rPr>
        <w:t>,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  <w:t>a son, a wild donkey: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>Its daughters by a spring,</w:t>
      </w:r>
      <w:r w:rsidRPr="00F67DD1">
        <w:rPr>
          <w:rStyle w:val="FootnoteReference"/>
          <w:rFonts w:ascii="Calibri" w:hAnsi="Calibri"/>
          <w:szCs w:val="22"/>
        </w:rPr>
        <w:footnoteReference w:id="31"/>
      </w:r>
    </w:p>
    <w:p w:rsidR="00444C31" w:rsidRPr="00F67DD1" w:rsidRDefault="00444C31" w:rsidP="00444C31">
      <w:pPr>
        <w:pStyle w:val="List"/>
        <w:tabs>
          <w:tab w:val="left" w:pos="6330"/>
        </w:tabs>
        <w:ind w:firstLine="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>it has stridden</w:t>
      </w:r>
      <w:r w:rsidRPr="00F67DD1">
        <w:rPr>
          <w:rStyle w:val="FootnoteReference"/>
          <w:rFonts w:ascii="Calibri" w:hAnsi="Calibri"/>
          <w:szCs w:val="22"/>
        </w:rPr>
        <w:footnoteReference w:id="32"/>
      </w:r>
      <w:r w:rsidRPr="00F67DD1">
        <w:rPr>
          <w:rFonts w:ascii="Calibri" w:hAnsi="Calibri"/>
          <w:szCs w:val="22"/>
        </w:rPr>
        <w:t xml:space="preserve"> by a terrace.</w:t>
      </w:r>
      <w:r w:rsidRPr="00F67DD1">
        <w:rPr>
          <w:rStyle w:val="FootnoteReference"/>
          <w:rFonts w:ascii="Calibri" w:hAnsi="Calibri"/>
          <w:szCs w:val="22"/>
        </w:rPr>
        <w:footnoteReference w:id="33"/>
      </w:r>
      <w:r w:rsidRPr="00F67DD1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ab/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  <w:vertAlign w:val="superscript"/>
        </w:rPr>
        <w:t>23</w:t>
      </w:r>
      <w:r w:rsidRPr="00F67DD1">
        <w:rPr>
          <w:rFonts w:ascii="Calibri" w:hAnsi="Calibri"/>
          <w:szCs w:val="22"/>
        </w:rPr>
        <w:t>People made things bitter for him</w:t>
      </w:r>
      <w:r w:rsidRPr="00F67DD1">
        <w:rPr>
          <w:rStyle w:val="FootnoteReference"/>
          <w:rFonts w:ascii="Calibri" w:hAnsi="Calibri"/>
          <w:szCs w:val="22"/>
        </w:rPr>
        <w:footnoteReference w:id="34"/>
      </w:r>
      <w:r w:rsidRPr="00F67DD1">
        <w:rPr>
          <w:rFonts w:ascii="Calibri" w:hAnsi="Calibri"/>
          <w:szCs w:val="22"/>
        </w:rPr>
        <w:t xml:space="preserve"> and fought,</w:t>
      </w:r>
      <w:r w:rsidRPr="00F67DD1">
        <w:rPr>
          <w:rStyle w:val="FootnoteReference"/>
          <w:rFonts w:ascii="Calibri" w:hAnsi="Calibri"/>
          <w:szCs w:val="22"/>
        </w:rPr>
        <w:footnoteReference w:id="35"/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  <w:t xml:space="preserve">archers were hostile towards him.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  <w:vertAlign w:val="superscript"/>
        </w:rPr>
        <w:t>24</w:t>
      </w:r>
      <w:r w:rsidRPr="00F67DD1">
        <w:rPr>
          <w:rFonts w:ascii="Calibri" w:hAnsi="Calibri"/>
          <w:szCs w:val="22"/>
        </w:rPr>
        <w:t xml:space="preserve">But his bow stayed firm,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  <w:t>his arms and hands</w:t>
      </w:r>
      <w:r w:rsidRPr="00F67DD1">
        <w:rPr>
          <w:rStyle w:val="FootnoteReference"/>
          <w:rFonts w:ascii="Calibri" w:hAnsi="Calibri"/>
          <w:szCs w:val="22"/>
        </w:rPr>
        <w:footnoteReference w:id="36"/>
      </w:r>
      <w:r w:rsidRPr="00F67DD1">
        <w:rPr>
          <w:rFonts w:ascii="Calibri" w:hAnsi="Calibri"/>
          <w:szCs w:val="22"/>
        </w:rPr>
        <w:t xml:space="preserve"> were agile,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 xml:space="preserve">From the </w:t>
      </w:r>
      <w:r>
        <w:rPr>
          <w:rFonts w:ascii="Calibri" w:hAnsi="Calibri"/>
          <w:szCs w:val="22"/>
        </w:rPr>
        <w:t>hands of the Strong Man of Jac</w:t>
      </w:r>
      <w:r w:rsidRPr="00F67DD1">
        <w:rPr>
          <w:rFonts w:ascii="Calibri" w:hAnsi="Calibri"/>
          <w:szCs w:val="22"/>
        </w:rPr>
        <w:t xml:space="preserve">ob,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  <w:t>from there</w:t>
      </w:r>
      <w:r>
        <w:rPr>
          <w:rFonts w:ascii="Calibri" w:hAnsi="Calibri"/>
          <w:szCs w:val="22"/>
        </w:rPr>
        <w:t>, the Shepherd, the Stone of Isra</w:t>
      </w:r>
      <w:r w:rsidRPr="00F67DD1">
        <w:rPr>
          <w:rFonts w:ascii="Calibri" w:hAnsi="Calibri"/>
          <w:szCs w:val="22"/>
        </w:rPr>
        <w:t xml:space="preserve">el,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  <w:vertAlign w:val="superscript"/>
        </w:rPr>
        <w:t>25</w:t>
      </w:r>
      <w:r w:rsidRPr="00F67DD1">
        <w:rPr>
          <w:rFonts w:ascii="Calibri" w:hAnsi="Calibri"/>
          <w:szCs w:val="22"/>
        </w:rPr>
        <w:t>From God, your Father,</w:t>
      </w:r>
      <w:r w:rsidRPr="00F67DD1">
        <w:rPr>
          <w:rStyle w:val="FootnoteReference"/>
          <w:rFonts w:ascii="Calibri" w:hAnsi="Calibri"/>
          <w:szCs w:val="22"/>
        </w:rPr>
        <w:footnoteReference w:id="37"/>
      </w:r>
      <w:r w:rsidRPr="00F67DD1">
        <w:rPr>
          <w:rFonts w:ascii="Calibri" w:hAnsi="Calibri"/>
          <w:szCs w:val="22"/>
        </w:rPr>
        <w:t xml:space="preserve"> so he will help you,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and </w:t>
      </w:r>
      <w:proofErr w:type="spellStart"/>
      <w:r>
        <w:rPr>
          <w:rFonts w:ascii="Calibri" w:hAnsi="Calibri"/>
          <w:szCs w:val="22"/>
        </w:rPr>
        <w:t>Sh</w:t>
      </w:r>
      <w:r w:rsidRPr="00F67DD1">
        <w:rPr>
          <w:rFonts w:ascii="Calibri" w:hAnsi="Calibri"/>
          <w:szCs w:val="22"/>
        </w:rPr>
        <w:t>adday</w:t>
      </w:r>
      <w:proofErr w:type="spellEnd"/>
      <w:r w:rsidRPr="00F67DD1">
        <w:rPr>
          <w:rFonts w:ascii="Calibri" w:hAnsi="Calibri"/>
          <w:szCs w:val="22"/>
        </w:rPr>
        <w:t>,</w:t>
      </w:r>
      <w:r w:rsidRPr="00F67DD1">
        <w:rPr>
          <w:rStyle w:val="FootnoteReference"/>
          <w:rFonts w:ascii="Calibri" w:hAnsi="Calibri"/>
          <w:szCs w:val="22"/>
        </w:rPr>
        <w:footnoteReference w:id="38"/>
      </w:r>
      <w:r w:rsidRPr="00F67DD1">
        <w:rPr>
          <w:rFonts w:ascii="Calibri" w:hAnsi="Calibri"/>
          <w:szCs w:val="22"/>
        </w:rPr>
        <w:t xml:space="preserve"> so he will bless you,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 xml:space="preserve">With blessings of the heavens above,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  <w:t>blessings of the deep lying below.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>Blessings of the breasts and the womb,</w:t>
      </w:r>
    </w:p>
    <w:p w:rsidR="00444C31" w:rsidRPr="00F67DD1" w:rsidRDefault="00444C31" w:rsidP="00444C31">
      <w:pPr>
        <w:pStyle w:val="List"/>
        <w:ind w:firstLine="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  <w:vertAlign w:val="superscript"/>
        </w:rPr>
        <w:lastRenderedPageBreak/>
        <w:t>26</w:t>
      </w:r>
      <w:r w:rsidRPr="00F67DD1">
        <w:rPr>
          <w:rFonts w:ascii="Calibri" w:hAnsi="Calibri"/>
          <w:szCs w:val="22"/>
        </w:rPr>
        <w:t>your father’s blessings—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>They have been stronger than the blessings of those who conceived me,</w:t>
      </w:r>
      <w:r w:rsidRPr="00F67DD1">
        <w:rPr>
          <w:rStyle w:val="FootnoteReference"/>
          <w:rFonts w:ascii="Calibri" w:hAnsi="Calibri"/>
          <w:szCs w:val="22"/>
        </w:rPr>
        <w:footnoteReference w:id="39"/>
      </w:r>
      <w:r w:rsidRPr="00F67DD1">
        <w:rPr>
          <w:rFonts w:ascii="Calibri" w:hAnsi="Calibri"/>
          <w:szCs w:val="22"/>
        </w:rPr>
        <w:t xml:space="preserve">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  <w:t>beyond the desirable things on the age-long hills.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They will come on J</w:t>
      </w:r>
      <w:r w:rsidRPr="00F67DD1">
        <w:rPr>
          <w:rFonts w:ascii="Calibri" w:hAnsi="Calibri"/>
          <w:szCs w:val="22"/>
        </w:rPr>
        <w:t>osep</w:t>
      </w:r>
      <w:r>
        <w:rPr>
          <w:rFonts w:ascii="Calibri" w:hAnsi="Calibri"/>
          <w:szCs w:val="22"/>
        </w:rPr>
        <w:t>h</w:t>
      </w:r>
      <w:r w:rsidRPr="00F67DD1">
        <w:rPr>
          <w:rFonts w:ascii="Calibri" w:hAnsi="Calibri"/>
          <w:szCs w:val="22"/>
        </w:rPr>
        <w:t xml:space="preserve">’s head,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  <w:t>on the brow of one set apart</w:t>
      </w:r>
      <w:r w:rsidRPr="00F67DD1">
        <w:rPr>
          <w:rStyle w:val="FootnoteReference"/>
          <w:szCs w:val="22"/>
        </w:rPr>
        <w:footnoteReference w:id="40"/>
      </w:r>
      <w:r w:rsidRPr="00F67DD1">
        <w:rPr>
          <w:rFonts w:ascii="Calibri" w:hAnsi="Calibri"/>
          <w:szCs w:val="22"/>
        </w:rPr>
        <w:t xml:space="preserve"> among his brothers. </w:t>
      </w: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</w:p>
    <w:p w:rsidR="00444C31" w:rsidRPr="00F67DD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  <w:vertAlign w:val="superscript"/>
        </w:rPr>
        <w:t>27</w:t>
      </w:r>
      <w:r>
        <w:rPr>
          <w:rFonts w:ascii="Calibri" w:hAnsi="Calibri"/>
          <w:szCs w:val="22"/>
        </w:rPr>
        <w:t>Benj</w:t>
      </w:r>
      <w:r w:rsidRPr="00F67DD1">
        <w:rPr>
          <w:rFonts w:ascii="Calibri" w:hAnsi="Calibri"/>
          <w:szCs w:val="22"/>
        </w:rPr>
        <w:t xml:space="preserve">amin: a wolf who will maul, </w:t>
      </w:r>
    </w:p>
    <w:p w:rsidR="00444C31" w:rsidRPr="00F67DD1" w:rsidRDefault="00444C31" w:rsidP="00444C31">
      <w:pPr>
        <w:pStyle w:val="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025"/>
        </w:tabs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  <w:t>in the morning will eat prey,</w:t>
      </w:r>
      <w:r w:rsidRPr="00F67DD1">
        <w:rPr>
          <w:rStyle w:val="FootnoteReference"/>
          <w:rFonts w:ascii="Calibri" w:hAnsi="Calibri"/>
          <w:szCs w:val="22"/>
        </w:rPr>
        <w:footnoteReference w:id="41"/>
      </w:r>
      <w:r w:rsidRPr="00F67DD1">
        <w:rPr>
          <w:rFonts w:ascii="Calibri" w:hAnsi="Calibri"/>
          <w:szCs w:val="22"/>
        </w:rPr>
        <w:t xml:space="preserve"> </w:t>
      </w:r>
      <w:r w:rsidRPr="00F67DD1">
        <w:rPr>
          <w:rFonts w:ascii="Calibri" w:hAnsi="Calibri"/>
          <w:szCs w:val="22"/>
        </w:rPr>
        <w:tab/>
      </w:r>
    </w:p>
    <w:p w:rsidR="00444C31" w:rsidRDefault="00444C31" w:rsidP="00444C31">
      <w:pPr>
        <w:pStyle w:val="List"/>
        <w:ind w:hanging="360"/>
        <w:rPr>
          <w:rFonts w:ascii="Calibri" w:hAnsi="Calibri"/>
          <w:szCs w:val="22"/>
        </w:rPr>
      </w:pPr>
      <w:r w:rsidRPr="00F67DD1">
        <w:rPr>
          <w:rFonts w:ascii="Calibri" w:hAnsi="Calibri"/>
          <w:szCs w:val="22"/>
        </w:rPr>
        <w:tab/>
        <w:t>and towards the evening will divide spoil.”</w:t>
      </w:r>
    </w:p>
    <w:p w:rsidR="00444C31" w:rsidRDefault="00444C31" w:rsidP="00444C31">
      <w:pPr>
        <w:pStyle w:val="List"/>
        <w:ind w:hanging="360"/>
        <w:rPr>
          <w:rFonts w:ascii="Calibri" w:hAnsi="Calibri"/>
          <w:szCs w:val="22"/>
        </w:rPr>
      </w:pPr>
    </w:p>
    <w:p w:rsidR="00444C31" w:rsidRDefault="00444C31" w:rsidP="00444C31">
      <w:pPr>
        <w:pStyle w:val="List"/>
        <w:ind w:hanging="360"/>
        <w:rPr>
          <w:rFonts w:ascii="Calibri" w:hAnsi="Calibri"/>
          <w:szCs w:val="22"/>
        </w:rPr>
      </w:pPr>
    </w:p>
    <w:p w:rsidR="00444C31" w:rsidRDefault="00444C31" w:rsidP="00444C31">
      <w:pPr>
        <w:pStyle w:val="List"/>
        <w:ind w:hanging="360"/>
        <w:rPr>
          <w:rFonts w:ascii="Calibri" w:hAnsi="Calibri"/>
          <w:szCs w:val="22"/>
        </w:rPr>
      </w:pPr>
    </w:p>
    <w:p w:rsidR="00444C31" w:rsidRDefault="00444C31" w:rsidP="00444C31">
      <w:pPr>
        <w:pStyle w:val="List"/>
        <w:ind w:hanging="360"/>
        <w:rPr>
          <w:rFonts w:ascii="Calibri" w:hAnsi="Calibri"/>
          <w:szCs w:val="22"/>
        </w:rPr>
      </w:pPr>
    </w:p>
    <w:p w:rsidR="00444C31" w:rsidRDefault="00444C31" w:rsidP="00444C31">
      <w:pPr>
        <w:pStyle w:val="List"/>
        <w:ind w:hanging="360"/>
        <w:rPr>
          <w:rFonts w:ascii="Calibri" w:hAnsi="Calibri"/>
          <w:szCs w:val="22"/>
        </w:rPr>
      </w:pPr>
    </w:p>
    <w:p w:rsidR="00444C31" w:rsidRDefault="00444C31" w:rsidP="00444C31">
      <w:pPr>
        <w:pStyle w:val="List"/>
        <w:ind w:hanging="360"/>
        <w:rPr>
          <w:rFonts w:ascii="Calibri" w:hAnsi="Calibri"/>
          <w:szCs w:val="22"/>
        </w:rPr>
      </w:pPr>
    </w:p>
    <w:p w:rsidR="00444C31" w:rsidRDefault="00444C31" w:rsidP="00444C31">
      <w:pPr>
        <w:pStyle w:val="List"/>
        <w:ind w:hanging="360"/>
        <w:rPr>
          <w:rFonts w:ascii="Calibri" w:hAnsi="Calibri"/>
          <w:szCs w:val="22"/>
        </w:rPr>
      </w:pPr>
    </w:p>
    <w:p w:rsidR="00444C31" w:rsidRDefault="00444C31" w:rsidP="00444C31">
      <w:pPr>
        <w:pStyle w:val="List"/>
        <w:ind w:hanging="360"/>
        <w:rPr>
          <w:rFonts w:ascii="Calibri" w:hAnsi="Calibri"/>
          <w:szCs w:val="22"/>
        </w:rPr>
      </w:pPr>
    </w:p>
    <w:p w:rsidR="00444C31" w:rsidRDefault="00444C31" w:rsidP="00444C31">
      <w:pPr>
        <w:pStyle w:val="List"/>
        <w:ind w:hanging="360"/>
        <w:rPr>
          <w:rFonts w:ascii="Calibri" w:hAnsi="Calibri"/>
          <w:szCs w:val="22"/>
        </w:rPr>
      </w:pPr>
    </w:p>
    <w:p w:rsidR="00444C31" w:rsidRDefault="00444C31" w:rsidP="00444C31">
      <w:pPr>
        <w:pStyle w:val="List"/>
        <w:ind w:hanging="360"/>
        <w:rPr>
          <w:rFonts w:ascii="Calibri" w:hAnsi="Calibri"/>
          <w:szCs w:val="22"/>
        </w:rPr>
      </w:pPr>
    </w:p>
    <w:p w:rsidR="00444C31" w:rsidRDefault="00444C31" w:rsidP="00444C31">
      <w:pPr>
        <w:pStyle w:val="List"/>
        <w:ind w:hanging="360"/>
        <w:rPr>
          <w:rFonts w:ascii="Calibri" w:hAnsi="Calibri"/>
          <w:szCs w:val="22"/>
        </w:rPr>
      </w:pPr>
    </w:p>
    <w:p w:rsidR="00444C31" w:rsidRDefault="00444C31" w:rsidP="00444C31">
      <w:pPr>
        <w:pStyle w:val="List"/>
        <w:ind w:hanging="360"/>
        <w:rPr>
          <w:rFonts w:ascii="Calibri" w:hAnsi="Calibri"/>
          <w:szCs w:val="22"/>
        </w:rPr>
      </w:pPr>
    </w:p>
    <w:p w:rsidR="004E1A18" w:rsidRDefault="004E1A18"/>
    <w:sectPr w:rsidR="004E1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75" w:rsidRDefault="00436475" w:rsidP="00444C31">
      <w:r>
        <w:separator/>
      </w:r>
    </w:p>
  </w:endnote>
  <w:endnote w:type="continuationSeparator" w:id="0">
    <w:p w:rsidR="00436475" w:rsidRDefault="00436475" w:rsidP="0044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75" w:rsidRDefault="00436475" w:rsidP="00444C31">
      <w:r>
        <w:separator/>
      </w:r>
    </w:p>
  </w:footnote>
  <w:footnote w:type="continuationSeparator" w:id="0">
    <w:p w:rsidR="00436475" w:rsidRDefault="00436475" w:rsidP="00444C31">
      <w:r>
        <w:continuationSeparator/>
      </w:r>
    </w:p>
  </w:footnote>
  <w:footnote w:id="1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The </w:t>
      </w:r>
      <w:proofErr w:type="spellStart"/>
      <w:r w:rsidRPr="00F67DD1">
        <w:t>cohortative</w:t>
      </w:r>
      <w:proofErr w:type="spellEnd"/>
      <w:r w:rsidRPr="00F67DD1">
        <w:t xml:space="preserve"> makes explicit that a final clause follows the imperative.</w:t>
      </w:r>
    </w:p>
  </w:footnote>
  <w:footnote w:id="2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While the form </w:t>
      </w:r>
      <w:proofErr w:type="spellStart"/>
      <w:r w:rsidRPr="00F67DD1">
        <w:rPr>
          <w:i/>
        </w:rPr>
        <w:t>yiqrā</w:t>
      </w:r>
      <w:proofErr w:type="spellEnd"/>
      <w:r w:rsidRPr="00F67DD1">
        <w:rPr>
          <w:i/>
        </w:rPr>
        <w:t>’</w:t>
      </w:r>
      <w:r w:rsidRPr="00F67DD1">
        <w:t xml:space="preserve"> is the same as that of “and he called” earlier in the verse, one should presumably derive this word from BDB’s </w:t>
      </w:r>
      <w:proofErr w:type="spellStart"/>
      <w:r w:rsidRPr="00F67DD1">
        <w:rPr>
          <w:i/>
        </w:rPr>
        <w:t>qāra</w:t>
      </w:r>
      <w:proofErr w:type="spellEnd"/>
      <w:r w:rsidRPr="00F67DD1">
        <w:rPr>
          <w:i/>
        </w:rPr>
        <w:t>’</w:t>
      </w:r>
      <w:r w:rsidRPr="00F67DD1">
        <w:t xml:space="preserve"> II, a </w:t>
      </w:r>
      <w:proofErr w:type="spellStart"/>
      <w:r w:rsidRPr="00F67DD1">
        <w:t>byform</w:t>
      </w:r>
      <w:proofErr w:type="spellEnd"/>
      <w:r w:rsidRPr="00F67DD1">
        <w:t xml:space="preserve"> of </w:t>
      </w:r>
      <w:proofErr w:type="spellStart"/>
      <w:r w:rsidRPr="00F67DD1">
        <w:rPr>
          <w:i/>
        </w:rPr>
        <w:t>qārāh</w:t>
      </w:r>
      <w:proofErr w:type="spellEnd"/>
      <w:r w:rsidRPr="00F67DD1">
        <w:t>, though perhaps the expression invites the brothers to think in terms of their destiny “summoning” them.</w:t>
      </w:r>
    </w:p>
  </w:footnote>
  <w:footnote w:id="3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Literally, “in the latter part of the days.” LXX has “the last of the days,” Vg “the last/newest days.”</w:t>
      </w:r>
    </w:p>
  </w:footnote>
  <w:footnote w:id="4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LXX takes the hapax </w:t>
      </w:r>
      <w:proofErr w:type="spellStart"/>
      <w:r w:rsidRPr="00F67DD1">
        <w:rPr>
          <w:i/>
        </w:rPr>
        <w:t>p</w:t>
      </w:r>
      <w:r w:rsidRPr="00F67DD1">
        <w:rPr>
          <w:rFonts w:cs="Calibri"/>
          <w:i/>
        </w:rPr>
        <w:t>aḥaz</w:t>
      </w:r>
      <w:proofErr w:type="spellEnd"/>
      <w:r w:rsidRPr="00F67DD1">
        <w:rPr>
          <w:rFonts w:cs="Calibri"/>
          <w:i/>
        </w:rPr>
        <w:t xml:space="preserve"> </w:t>
      </w:r>
      <w:r w:rsidRPr="00F67DD1">
        <w:rPr>
          <w:rFonts w:cs="Calibri"/>
        </w:rPr>
        <w:t xml:space="preserve">to denote Reuben’s willful turbulence, but v. 4 is making a transition to talk of his fate (Vg, </w:t>
      </w:r>
      <w:proofErr w:type="spellStart"/>
      <w:r w:rsidRPr="00F67DD1">
        <w:rPr>
          <w:rFonts w:cs="Calibri"/>
        </w:rPr>
        <w:t>Tg</w:t>
      </w:r>
      <w:proofErr w:type="spellEnd"/>
      <w:r w:rsidRPr="00F67DD1">
        <w:rPr>
          <w:rFonts w:cs="Calibri"/>
        </w:rPr>
        <w:t xml:space="preserve">). </w:t>
      </w:r>
    </w:p>
  </w:footnote>
  <w:footnote w:id="5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“Bed” is plural, perhaps pejorative (cf. Lev 18:22; 20:13) (cf. </w:t>
      </w:r>
      <w:proofErr w:type="spellStart"/>
      <w:r w:rsidRPr="00F67DD1">
        <w:t>Sarna</w:t>
      </w:r>
      <w:proofErr w:type="spellEnd"/>
      <w:r w:rsidRPr="00F67DD1">
        <w:t xml:space="preserve">, </w:t>
      </w:r>
      <w:r w:rsidRPr="00F67DD1">
        <w:rPr>
          <w:i/>
        </w:rPr>
        <w:t>Genesis</w:t>
      </w:r>
      <w:r w:rsidRPr="00F67DD1">
        <w:t>, 331).</w:t>
      </w:r>
    </w:p>
  </w:footnote>
  <w:footnote w:id="6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For this meaning of </w:t>
      </w:r>
      <w:r w:rsidRPr="00F67DD1">
        <w:rPr>
          <w:i/>
        </w:rPr>
        <w:t>’</w:t>
      </w:r>
      <w:proofErr w:type="spellStart"/>
      <w:r w:rsidRPr="00F67DD1">
        <w:rPr>
          <w:i/>
        </w:rPr>
        <w:t>āz</w:t>
      </w:r>
      <w:proofErr w:type="spellEnd"/>
      <w:r w:rsidRPr="00F67DD1">
        <w:rPr>
          <w:i/>
        </w:rPr>
        <w:t xml:space="preserve"> </w:t>
      </w:r>
      <w:r w:rsidRPr="00F67DD1">
        <w:t>here, see BDB.</w:t>
      </w:r>
    </w:p>
  </w:footnote>
  <w:footnote w:id="7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“My couch” in the parallel colon does double duty as also the object of the first verb (cf. </w:t>
      </w:r>
      <w:proofErr w:type="spellStart"/>
      <w:r w:rsidRPr="00F67DD1">
        <w:t>Sarna</w:t>
      </w:r>
      <w:proofErr w:type="spellEnd"/>
      <w:r w:rsidRPr="00F67DD1">
        <w:t xml:space="preserve">, </w:t>
      </w:r>
      <w:r w:rsidRPr="00F67DD1">
        <w:rPr>
          <w:i/>
        </w:rPr>
        <w:t>Genesis</w:t>
      </w:r>
      <w:r w:rsidRPr="00F67DD1">
        <w:t>, 331).</w:t>
      </w:r>
    </w:p>
  </w:footnote>
  <w:footnote w:id="8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The final colon is an unmarked relative clause (Ehrlich, </w:t>
      </w:r>
      <w:proofErr w:type="spellStart"/>
      <w:r w:rsidRPr="00F67DD1">
        <w:rPr>
          <w:i/>
        </w:rPr>
        <w:t>Randglossen</w:t>
      </w:r>
      <w:proofErr w:type="spellEnd"/>
      <w:r w:rsidRPr="00F67DD1">
        <w:t xml:space="preserve"> 1:243) in which the verb can therefore be third person (see JM 158n, GK 144p), like an English sentence such as “you are one who climbs,” not “you are one who climb.”</w:t>
      </w:r>
    </w:p>
  </w:footnote>
  <w:footnote w:id="9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</w:t>
      </w:r>
      <w:proofErr w:type="spellStart"/>
      <w:r w:rsidRPr="00F67DD1">
        <w:rPr>
          <w:i/>
        </w:rPr>
        <w:t>Mᵉkērōt</w:t>
      </w:r>
      <w:proofErr w:type="spellEnd"/>
      <w:r w:rsidRPr="00F67DD1">
        <w:t xml:space="preserve"> comes only here; but a derivation from </w:t>
      </w:r>
      <w:r w:rsidRPr="00F67DD1">
        <w:rPr>
          <w:i/>
        </w:rPr>
        <w:t>karat</w:t>
      </w:r>
      <w:r w:rsidRPr="00F67DD1">
        <w:t xml:space="preserve"> seems plausible and makes a good link with 34:13-29. See </w:t>
      </w:r>
      <w:r w:rsidRPr="00F67DD1">
        <w:rPr>
          <w:i/>
        </w:rPr>
        <w:t>DCH</w:t>
      </w:r>
      <w:r w:rsidRPr="00F67DD1">
        <w:t>, which also notes the possible meanings counsel, weapon, staff, and beguilement: and if the word could be understood as having any of these meanings, they would not be inappropriate.</w:t>
      </w:r>
    </w:p>
  </w:footnote>
  <w:footnote w:id="10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While </w:t>
      </w:r>
      <w:proofErr w:type="spellStart"/>
      <w:r w:rsidRPr="00F67DD1">
        <w:rPr>
          <w:i/>
        </w:rPr>
        <w:t>kābōd</w:t>
      </w:r>
      <w:proofErr w:type="spellEnd"/>
      <w:r w:rsidRPr="00F67DD1">
        <w:rPr>
          <w:i/>
        </w:rPr>
        <w:t xml:space="preserve"> </w:t>
      </w:r>
      <w:r w:rsidRPr="00F67DD1">
        <w:t xml:space="preserve">usually means “honor,” sometimes (e.g., Ps 30:12 [13]) it seems to be an alternative form to </w:t>
      </w:r>
      <w:proofErr w:type="spellStart"/>
      <w:r w:rsidRPr="00F67DD1">
        <w:rPr>
          <w:i/>
        </w:rPr>
        <w:t>kābēd</w:t>
      </w:r>
      <w:proofErr w:type="spellEnd"/>
      <w:r w:rsidRPr="00F67DD1">
        <w:rPr>
          <w:i/>
        </w:rPr>
        <w:t xml:space="preserve"> </w:t>
      </w:r>
      <w:r w:rsidRPr="00F67DD1">
        <w:t xml:space="preserve">and to refer anatomically to the liver but metaphorically to the inner person, like words such as heart in English; </w:t>
      </w:r>
      <w:proofErr w:type="spellStart"/>
      <w:r w:rsidRPr="00F67DD1">
        <w:rPr>
          <w:i/>
        </w:rPr>
        <w:t>nepe</w:t>
      </w:r>
      <w:r w:rsidRPr="00F67DD1">
        <w:rPr>
          <w:rFonts w:cs="Calibri"/>
          <w:i/>
        </w:rPr>
        <w:t>š</w:t>
      </w:r>
      <w:proofErr w:type="spellEnd"/>
      <w:r w:rsidRPr="00F67DD1">
        <w:t xml:space="preserve"> in the parallel colon helps clarify the meaning of </w:t>
      </w:r>
      <w:proofErr w:type="spellStart"/>
      <w:r w:rsidRPr="00F67DD1">
        <w:rPr>
          <w:i/>
        </w:rPr>
        <w:t>kābōd</w:t>
      </w:r>
      <w:proofErr w:type="spellEnd"/>
      <w:r w:rsidRPr="00F67DD1">
        <w:t xml:space="preserve">. The masculine noun is preceded by a feminine verb from </w:t>
      </w:r>
      <w:proofErr w:type="spellStart"/>
      <w:r w:rsidRPr="00F67DD1">
        <w:rPr>
          <w:i/>
        </w:rPr>
        <w:t>yāḥad</w:t>
      </w:r>
      <w:proofErr w:type="spellEnd"/>
      <w:r w:rsidRPr="00F67DD1">
        <w:t xml:space="preserve"> whose gender may be assimilated to that of the verb in the previous colon.</w:t>
      </w:r>
    </w:p>
  </w:footnote>
  <w:footnote w:id="11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</w:t>
      </w:r>
      <w:r w:rsidRPr="00F67DD1">
        <w:rPr>
          <w:i/>
        </w:rPr>
        <w:t>‘</w:t>
      </w:r>
      <w:proofErr w:type="spellStart"/>
      <w:r w:rsidRPr="00F67DD1">
        <w:rPr>
          <w:rFonts w:cs="Calibri"/>
          <w:i/>
        </w:rPr>
        <w:t>Ā</w:t>
      </w:r>
      <w:r w:rsidRPr="00F67DD1">
        <w:rPr>
          <w:i/>
        </w:rPr>
        <w:t>qar</w:t>
      </w:r>
      <w:proofErr w:type="spellEnd"/>
      <w:r w:rsidRPr="00F67DD1">
        <w:t xml:space="preserve"> (piel) recalls </w:t>
      </w:r>
      <w:r w:rsidRPr="00F67DD1">
        <w:rPr>
          <w:i/>
        </w:rPr>
        <w:t>‘</w:t>
      </w:r>
      <w:proofErr w:type="spellStart"/>
      <w:r w:rsidRPr="00F67DD1">
        <w:rPr>
          <w:rFonts w:cs="Calibri"/>
          <w:i/>
        </w:rPr>
        <w:t>Ā</w:t>
      </w:r>
      <w:r w:rsidRPr="00F67DD1">
        <w:rPr>
          <w:i/>
        </w:rPr>
        <w:t>kar</w:t>
      </w:r>
      <w:bookmarkStart w:id="0" w:name="citation"/>
      <w:proofErr w:type="spellEnd"/>
      <w:r w:rsidRPr="00F67DD1">
        <w:t xml:space="preserve"> in 34:30 (C. M. Carmichael, “Some </w:t>
      </w:r>
      <w:r w:rsidRPr="00F67DD1">
        <w:rPr>
          <w:rStyle w:val="Strong"/>
        </w:rPr>
        <w:t>Sayings</w:t>
      </w:r>
      <w:r w:rsidRPr="00F67DD1">
        <w:t xml:space="preserve"> in Genesis 49</w:t>
      </w:r>
      <w:bookmarkEnd w:id="0"/>
      <w:r w:rsidRPr="00F67DD1">
        <w:t xml:space="preserve">,” </w:t>
      </w:r>
      <w:r w:rsidRPr="00F67DD1">
        <w:rPr>
          <w:i/>
        </w:rPr>
        <w:t>JBL</w:t>
      </w:r>
      <w:r w:rsidRPr="00F67DD1">
        <w:t xml:space="preserve"> 88 [1969]: 435-44 [435-36]).</w:t>
      </w:r>
    </w:p>
  </w:footnote>
  <w:footnote w:id="12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Given that Gen 34 does not refer to hamstringing oxen, Vg, </w:t>
      </w:r>
      <w:proofErr w:type="spellStart"/>
      <w:r w:rsidRPr="00F67DD1">
        <w:t>Sym</w:t>
      </w:r>
      <w:proofErr w:type="spellEnd"/>
      <w:r w:rsidRPr="00F67DD1">
        <w:t xml:space="preserve">, </w:t>
      </w:r>
      <w:proofErr w:type="spellStart"/>
      <w:r w:rsidRPr="00F67DD1">
        <w:t>Tg</w:t>
      </w:r>
      <w:proofErr w:type="spellEnd"/>
      <w:r w:rsidRPr="00F67DD1">
        <w:t xml:space="preserve"> take </w:t>
      </w:r>
      <w:proofErr w:type="spellStart"/>
      <w:r w:rsidRPr="00F67DD1">
        <w:rPr>
          <w:rFonts w:cs="Calibri"/>
          <w:i/>
        </w:rPr>
        <w:t>šû</w:t>
      </w:r>
      <w:r w:rsidRPr="00F67DD1">
        <w:rPr>
          <w:i/>
        </w:rPr>
        <w:t>r</w:t>
      </w:r>
      <w:proofErr w:type="spellEnd"/>
      <w:r w:rsidRPr="00F67DD1">
        <w:t xml:space="preserve"> to be the other </w:t>
      </w:r>
      <w:proofErr w:type="spellStart"/>
      <w:r w:rsidRPr="00F67DD1">
        <w:rPr>
          <w:rFonts w:cs="Calibri"/>
          <w:i/>
        </w:rPr>
        <w:t>šû</w:t>
      </w:r>
      <w:r w:rsidRPr="00F67DD1">
        <w:rPr>
          <w:i/>
        </w:rPr>
        <w:t>r</w:t>
      </w:r>
      <w:proofErr w:type="spellEnd"/>
      <w:r w:rsidRPr="00F67DD1">
        <w:rPr>
          <w:i/>
        </w:rPr>
        <w:t xml:space="preserve"> </w:t>
      </w:r>
      <w:r w:rsidRPr="00F67DD1">
        <w:t>meaning “wall” which comes in v. 22.</w:t>
      </w:r>
    </w:p>
  </w:footnote>
  <w:footnote w:id="13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The </w:t>
      </w:r>
      <w:proofErr w:type="spellStart"/>
      <w:r w:rsidRPr="00F67DD1">
        <w:t>extraposed</w:t>
      </w:r>
      <w:proofErr w:type="spellEnd"/>
      <w:r w:rsidRPr="00F67DD1">
        <w:t xml:space="preserve"> pronoun anticipatorily emphasizes the subsequent verbal suffix (GK 135d) and also draws attention to a paronomasia: “You, as Judah (</w:t>
      </w:r>
      <w:proofErr w:type="spellStart"/>
      <w:r w:rsidRPr="00F67DD1">
        <w:rPr>
          <w:i/>
        </w:rPr>
        <w:t>y</w:t>
      </w:r>
      <w:r w:rsidRPr="00F67DD1">
        <w:rPr>
          <w:rFonts w:cs="Calibri"/>
          <w:i/>
        </w:rPr>
        <w:t>ᵉhûdāh</w:t>
      </w:r>
      <w:proofErr w:type="spellEnd"/>
      <w:r w:rsidRPr="00F67DD1">
        <w:rPr>
          <w:rFonts w:cs="Calibri"/>
        </w:rPr>
        <w:t>), are one whom people confess (</w:t>
      </w:r>
      <w:proofErr w:type="spellStart"/>
      <w:r w:rsidRPr="00F67DD1">
        <w:rPr>
          <w:rFonts w:cs="Calibri"/>
          <w:i/>
        </w:rPr>
        <w:t>yôdûkā</w:t>
      </w:r>
      <w:proofErr w:type="spellEnd"/>
      <w:r w:rsidRPr="00F67DD1">
        <w:rPr>
          <w:rFonts w:cs="Calibri"/>
        </w:rPr>
        <w:t>). “You are what your name means” (</w:t>
      </w:r>
      <w:proofErr w:type="spellStart"/>
      <w:r w:rsidRPr="00F67DD1">
        <w:rPr>
          <w:rFonts w:cs="Calibri"/>
        </w:rPr>
        <w:t>Westermann</w:t>
      </w:r>
      <w:proofErr w:type="spellEnd"/>
      <w:r w:rsidRPr="00F67DD1">
        <w:rPr>
          <w:rFonts w:cs="Calibri"/>
        </w:rPr>
        <w:t xml:space="preserve">, </w:t>
      </w:r>
      <w:r w:rsidRPr="00F67DD1">
        <w:rPr>
          <w:rFonts w:cs="Calibri"/>
          <w:i/>
        </w:rPr>
        <w:t>Genesis 37—50</w:t>
      </w:r>
      <w:r w:rsidRPr="00F67DD1">
        <w:rPr>
          <w:rFonts w:cs="Calibri"/>
        </w:rPr>
        <w:t xml:space="preserve">, 227). Indeed, the “Jews” are etymologically the Judahites: Judah gave them their name (cf. </w:t>
      </w:r>
      <w:proofErr w:type="spellStart"/>
      <w:r w:rsidRPr="00F67DD1">
        <w:rPr>
          <w:rFonts w:cs="Calibri"/>
        </w:rPr>
        <w:t>Tg</w:t>
      </w:r>
      <w:proofErr w:type="spellEnd"/>
      <w:r w:rsidRPr="00F67DD1">
        <w:rPr>
          <w:rFonts w:cs="Calibri"/>
        </w:rPr>
        <w:t>).</w:t>
      </w:r>
    </w:p>
  </w:footnote>
  <w:footnote w:id="14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>
        <w:t xml:space="preserve"> We do not really know how to distinguish the different Hebrew words for lion.</w:t>
      </w:r>
    </w:p>
  </w:footnote>
  <w:footnote w:id="15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Or “ever”: R. C. Steiner (“Four Inner-Biblical Interpretations of Genesis 49:10” [</w:t>
      </w:r>
      <w:r w:rsidRPr="00F67DD1">
        <w:rPr>
          <w:i/>
        </w:rPr>
        <w:t xml:space="preserve">JBL </w:t>
      </w:r>
      <w:r w:rsidRPr="00F67DD1">
        <w:t xml:space="preserve">132 [2013]: 33-60) sees this ambiguity subsequently picked up by Nathan, </w:t>
      </w:r>
      <w:proofErr w:type="spellStart"/>
      <w:r w:rsidRPr="00F67DD1">
        <w:t>Ahijah</w:t>
      </w:r>
      <w:proofErr w:type="spellEnd"/>
      <w:r w:rsidRPr="00F67DD1">
        <w:t>, Ezekiel, and Zechariah.</w:t>
      </w:r>
    </w:p>
  </w:footnote>
  <w:footnote w:id="16">
    <w:p w:rsidR="00444C31" w:rsidRPr="00F67DD1" w:rsidRDefault="00444C31" w:rsidP="00444C31">
      <w:pPr>
        <w:pStyle w:val="NoSpacing"/>
        <w:ind w:firstLine="720"/>
        <w:rPr>
          <w:sz w:val="20"/>
          <w:szCs w:val="20"/>
        </w:rPr>
      </w:pPr>
      <w:r w:rsidRPr="00F67DD1">
        <w:rPr>
          <w:rStyle w:val="FootnoteReference"/>
          <w:sz w:val="20"/>
          <w:szCs w:val="20"/>
        </w:rPr>
        <w:footnoteRef/>
      </w:r>
      <w:r w:rsidRPr="00F67DD1">
        <w:rPr>
          <w:sz w:val="20"/>
          <w:szCs w:val="20"/>
        </w:rPr>
        <w:t xml:space="preserve"> The obvious translations of this colon are “until Shiloh comes” or “until he comes to Shiloh” (cf. recently S. </w:t>
      </w:r>
      <w:proofErr w:type="spellStart"/>
      <w:r w:rsidRPr="00F67DD1">
        <w:rPr>
          <w:sz w:val="20"/>
          <w:szCs w:val="20"/>
        </w:rPr>
        <w:t>Frolov</w:t>
      </w:r>
      <w:proofErr w:type="spellEnd"/>
      <w:r w:rsidRPr="00F67DD1">
        <w:rPr>
          <w:sz w:val="20"/>
          <w:szCs w:val="20"/>
        </w:rPr>
        <w:t xml:space="preserve">, “Judah Comes to Shiloh,” </w:t>
      </w:r>
      <w:r w:rsidRPr="00F67DD1">
        <w:rPr>
          <w:i/>
          <w:sz w:val="20"/>
          <w:szCs w:val="20"/>
        </w:rPr>
        <w:t xml:space="preserve">JBL </w:t>
      </w:r>
      <w:r w:rsidRPr="00F67DD1">
        <w:rPr>
          <w:sz w:val="20"/>
          <w:szCs w:val="20"/>
        </w:rPr>
        <w:t xml:space="preserve">131 [2012]: 417-22) but it is not obvious what they might refer to. I follow what </w:t>
      </w:r>
      <w:proofErr w:type="spellStart"/>
      <w:r w:rsidRPr="00F67DD1">
        <w:rPr>
          <w:sz w:val="20"/>
          <w:szCs w:val="20"/>
        </w:rPr>
        <w:t>Rashi</w:t>
      </w:r>
      <w:proofErr w:type="spellEnd"/>
      <w:r w:rsidRPr="00F67DD1">
        <w:rPr>
          <w:sz w:val="20"/>
          <w:szCs w:val="20"/>
        </w:rPr>
        <w:t xml:space="preserve"> (</w:t>
      </w:r>
      <w:proofErr w:type="spellStart"/>
      <w:r w:rsidRPr="00F67DD1">
        <w:rPr>
          <w:i/>
          <w:sz w:val="20"/>
          <w:szCs w:val="20"/>
        </w:rPr>
        <w:t>Br’šyt</w:t>
      </w:r>
      <w:proofErr w:type="spellEnd"/>
      <w:r w:rsidRPr="00F67DD1">
        <w:rPr>
          <w:sz w:val="20"/>
          <w:szCs w:val="20"/>
        </w:rPr>
        <w:t xml:space="preserve">, 546) calls the </w:t>
      </w:r>
      <w:proofErr w:type="spellStart"/>
      <w:r w:rsidRPr="00F67DD1">
        <w:rPr>
          <w:sz w:val="20"/>
          <w:szCs w:val="20"/>
        </w:rPr>
        <w:t>midrashic</w:t>
      </w:r>
      <w:proofErr w:type="spellEnd"/>
      <w:r w:rsidRPr="00F67DD1">
        <w:rPr>
          <w:sz w:val="20"/>
          <w:szCs w:val="20"/>
        </w:rPr>
        <w:t xml:space="preserve"> interpretation that </w:t>
      </w:r>
      <w:proofErr w:type="spellStart"/>
      <w:r w:rsidRPr="00F67DD1">
        <w:rPr>
          <w:i/>
          <w:sz w:val="20"/>
          <w:szCs w:val="20"/>
        </w:rPr>
        <w:t>šîlô</w:t>
      </w:r>
      <w:proofErr w:type="spellEnd"/>
      <w:r w:rsidRPr="00F67DD1">
        <w:rPr>
          <w:sz w:val="20"/>
          <w:szCs w:val="20"/>
        </w:rPr>
        <w:t xml:space="preserve"> (K </w:t>
      </w:r>
      <w:proofErr w:type="spellStart"/>
      <w:r w:rsidRPr="00F67DD1">
        <w:rPr>
          <w:i/>
          <w:sz w:val="20"/>
          <w:szCs w:val="20"/>
        </w:rPr>
        <w:t>šhlh</w:t>
      </w:r>
      <w:proofErr w:type="spellEnd"/>
      <w:r w:rsidRPr="00F67DD1">
        <w:rPr>
          <w:sz w:val="20"/>
          <w:szCs w:val="20"/>
        </w:rPr>
        <w:t xml:space="preserve">) needs </w:t>
      </w:r>
      <w:proofErr w:type="spellStart"/>
      <w:r w:rsidRPr="00F67DD1">
        <w:rPr>
          <w:sz w:val="20"/>
          <w:szCs w:val="20"/>
        </w:rPr>
        <w:t>redividing</w:t>
      </w:r>
      <w:proofErr w:type="spellEnd"/>
      <w:r w:rsidRPr="00F67DD1">
        <w:rPr>
          <w:sz w:val="20"/>
          <w:szCs w:val="20"/>
        </w:rPr>
        <w:t xml:space="preserve"> and repointing as </w:t>
      </w:r>
      <w:proofErr w:type="spellStart"/>
      <w:r w:rsidRPr="00F67DD1">
        <w:rPr>
          <w:i/>
          <w:sz w:val="20"/>
          <w:szCs w:val="20"/>
        </w:rPr>
        <w:t>šay</w:t>
      </w:r>
      <w:proofErr w:type="spellEnd"/>
      <w:r w:rsidRPr="00F67DD1">
        <w:rPr>
          <w:i/>
          <w:sz w:val="20"/>
          <w:szCs w:val="20"/>
        </w:rPr>
        <w:t xml:space="preserve"> </w:t>
      </w:r>
      <w:proofErr w:type="spellStart"/>
      <w:r w:rsidRPr="00F67DD1">
        <w:rPr>
          <w:i/>
          <w:sz w:val="20"/>
          <w:szCs w:val="20"/>
        </w:rPr>
        <w:t>lô</w:t>
      </w:r>
      <w:proofErr w:type="spellEnd"/>
      <w:r w:rsidRPr="00F67DD1">
        <w:rPr>
          <w:sz w:val="20"/>
          <w:szCs w:val="20"/>
        </w:rPr>
        <w:t xml:space="preserve"> (“[until there comes] tribute to him”); cf. the discussion in de Hoop, </w:t>
      </w:r>
      <w:r w:rsidRPr="00F67DD1">
        <w:rPr>
          <w:i/>
          <w:sz w:val="20"/>
          <w:szCs w:val="20"/>
        </w:rPr>
        <w:t>Genesis 49</w:t>
      </w:r>
      <w:r w:rsidRPr="00F67DD1">
        <w:rPr>
          <w:sz w:val="20"/>
          <w:szCs w:val="20"/>
        </w:rPr>
        <w:t xml:space="preserve">, 122-39 (and see R. C. Steiner, “Poetic Forms in the Masoretic Vocalization and Three Difficult Phrases in Jacob’s Blessing,” </w:t>
      </w:r>
      <w:r w:rsidRPr="00F67DD1">
        <w:rPr>
          <w:i/>
          <w:sz w:val="20"/>
          <w:szCs w:val="20"/>
        </w:rPr>
        <w:t xml:space="preserve">JBL </w:t>
      </w:r>
      <w:r w:rsidRPr="00F67DD1">
        <w:rPr>
          <w:sz w:val="20"/>
          <w:szCs w:val="20"/>
        </w:rPr>
        <w:t xml:space="preserve">129 [2010]: 209-35 [219-24]): he thinks the repointing is unnecessary). It would not be surprising if the rare word </w:t>
      </w:r>
      <w:proofErr w:type="spellStart"/>
      <w:r w:rsidRPr="00F67DD1">
        <w:rPr>
          <w:i/>
          <w:sz w:val="20"/>
          <w:szCs w:val="20"/>
        </w:rPr>
        <w:t>šay</w:t>
      </w:r>
      <w:proofErr w:type="spellEnd"/>
      <w:r w:rsidRPr="00F67DD1">
        <w:rPr>
          <w:sz w:val="20"/>
          <w:szCs w:val="20"/>
        </w:rPr>
        <w:t xml:space="preserve"> had got lost from the colon, and the change generates good parallelism with the next colon. LXX implies </w:t>
      </w:r>
      <w:proofErr w:type="spellStart"/>
      <w:r w:rsidRPr="00F67DD1">
        <w:rPr>
          <w:i/>
          <w:sz w:val="20"/>
          <w:szCs w:val="20"/>
        </w:rPr>
        <w:t>šellô</w:t>
      </w:r>
      <w:proofErr w:type="spellEnd"/>
      <w:r w:rsidRPr="00F67DD1">
        <w:rPr>
          <w:sz w:val="20"/>
          <w:szCs w:val="20"/>
        </w:rPr>
        <w:t xml:space="preserve"> “[until there comes] what belongs to him,” which also provides good parallelism with the next colon, and has similar implications. </w:t>
      </w:r>
      <w:proofErr w:type="spellStart"/>
      <w:r w:rsidRPr="00F67DD1">
        <w:rPr>
          <w:sz w:val="20"/>
          <w:szCs w:val="20"/>
        </w:rPr>
        <w:t>Rashi</w:t>
      </w:r>
      <w:proofErr w:type="spellEnd"/>
      <w:r w:rsidRPr="00F67DD1">
        <w:rPr>
          <w:sz w:val="20"/>
          <w:szCs w:val="20"/>
        </w:rPr>
        <w:t xml:space="preserve"> himself follows </w:t>
      </w:r>
      <w:proofErr w:type="spellStart"/>
      <w:r w:rsidRPr="00F67DD1">
        <w:rPr>
          <w:sz w:val="20"/>
          <w:szCs w:val="20"/>
        </w:rPr>
        <w:t>Tg</w:t>
      </w:r>
      <w:proofErr w:type="spellEnd"/>
      <w:r w:rsidRPr="00F67DD1">
        <w:rPr>
          <w:sz w:val="20"/>
          <w:szCs w:val="20"/>
        </w:rPr>
        <w:t xml:space="preserve"> in assuming that the literal interpretation is “until the Messiah comes”; Ibn Ezra (</w:t>
      </w:r>
      <w:r w:rsidRPr="00F67DD1">
        <w:rPr>
          <w:i/>
          <w:sz w:val="20"/>
          <w:szCs w:val="20"/>
        </w:rPr>
        <w:t>Genesis</w:t>
      </w:r>
      <w:r w:rsidRPr="00F67DD1">
        <w:rPr>
          <w:sz w:val="20"/>
          <w:szCs w:val="20"/>
        </w:rPr>
        <w:t xml:space="preserve">, 430) assumes it refers to David himself—Judah will be in the lead until then (e.g., </w:t>
      </w:r>
      <w:proofErr w:type="spellStart"/>
      <w:r w:rsidRPr="00F67DD1">
        <w:rPr>
          <w:sz w:val="20"/>
          <w:szCs w:val="20"/>
        </w:rPr>
        <w:t>Num</w:t>
      </w:r>
      <w:proofErr w:type="spellEnd"/>
      <w:r w:rsidRPr="00F67DD1">
        <w:rPr>
          <w:sz w:val="20"/>
          <w:szCs w:val="20"/>
        </w:rPr>
        <w:t xml:space="preserve"> 10:14). The New Testament does not refer to v. 10, though v. 11 is significant in Mark 11 in connection with the story of Jesus’s Messiah-style entry to Jerusalem (see e.g., D. Krause, “The One Who Comes Unbinding the Blessing of Judah,” in J. A. Sanders and C. A. Evans [eds.], </w:t>
      </w:r>
      <w:r w:rsidRPr="00F67DD1">
        <w:rPr>
          <w:i/>
          <w:sz w:val="20"/>
          <w:szCs w:val="20"/>
        </w:rPr>
        <w:t>Early Christian interpretation of the Scriptures of Israel</w:t>
      </w:r>
      <w:r w:rsidRPr="00F67DD1">
        <w:rPr>
          <w:sz w:val="20"/>
          <w:szCs w:val="20"/>
        </w:rPr>
        <w:t xml:space="preserve"> [Sheffield: Sheffield Academic Press, 1997], 141-53; S. P. </w:t>
      </w:r>
      <w:proofErr w:type="spellStart"/>
      <w:r w:rsidRPr="00F67DD1">
        <w:rPr>
          <w:sz w:val="20"/>
          <w:szCs w:val="20"/>
        </w:rPr>
        <w:t>Ahearne</w:t>
      </w:r>
      <w:proofErr w:type="spellEnd"/>
      <w:r w:rsidRPr="00F67DD1">
        <w:rPr>
          <w:sz w:val="20"/>
          <w:szCs w:val="20"/>
        </w:rPr>
        <w:t xml:space="preserve">-Kroll, “Genesis in Mark’s Gospel,” in </w:t>
      </w:r>
      <w:proofErr w:type="spellStart"/>
      <w:r w:rsidRPr="00F67DD1">
        <w:rPr>
          <w:sz w:val="20"/>
          <w:szCs w:val="20"/>
        </w:rPr>
        <w:t>Moyise</w:t>
      </w:r>
      <w:proofErr w:type="spellEnd"/>
      <w:r w:rsidRPr="00F67DD1">
        <w:rPr>
          <w:sz w:val="20"/>
          <w:szCs w:val="20"/>
        </w:rPr>
        <w:t xml:space="preserve">/Menken [eds.], </w:t>
      </w:r>
      <w:r w:rsidRPr="00F67DD1">
        <w:rPr>
          <w:i/>
          <w:sz w:val="20"/>
          <w:szCs w:val="20"/>
        </w:rPr>
        <w:t>Genesis in the NT</w:t>
      </w:r>
      <w:r w:rsidRPr="00F67DD1">
        <w:rPr>
          <w:sz w:val="20"/>
          <w:szCs w:val="20"/>
        </w:rPr>
        <w:t>, 27-41 [34-37]).</w:t>
      </w:r>
    </w:p>
  </w:footnote>
  <w:footnote w:id="17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</w:t>
      </w:r>
      <w:r w:rsidRPr="00F67DD1">
        <w:rPr>
          <w:i/>
        </w:rPr>
        <w:t>’</w:t>
      </w:r>
      <w:proofErr w:type="spellStart"/>
      <w:r w:rsidRPr="00F67DD1">
        <w:rPr>
          <w:i/>
        </w:rPr>
        <w:t>Ōsᵉrî</w:t>
      </w:r>
      <w:proofErr w:type="spellEnd"/>
      <w:r w:rsidRPr="00F67DD1">
        <w:t xml:space="preserve"> is an anomalous but not unparalleled construct of the participle (see Hamilton, </w:t>
      </w:r>
      <w:r w:rsidRPr="00F67DD1">
        <w:rPr>
          <w:i/>
        </w:rPr>
        <w:t>Genesis 18—50</w:t>
      </w:r>
      <w:r w:rsidRPr="00F67DD1">
        <w:t>, 655-56).</w:t>
      </w:r>
    </w:p>
  </w:footnote>
  <w:footnote w:id="18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LXX “dark from… white from” makes poorer sense.</w:t>
      </w:r>
    </w:p>
  </w:footnote>
  <w:footnote w:id="19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Or among the saddlebags or campfires: </w:t>
      </w:r>
      <w:proofErr w:type="spellStart"/>
      <w:r w:rsidRPr="00F67DD1">
        <w:rPr>
          <w:i/>
        </w:rPr>
        <w:t>mišpᵉtayim</w:t>
      </w:r>
      <w:proofErr w:type="spellEnd"/>
      <w:r w:rsidRPr="00F67DD1">
        <w:t xml:space="preserve"> comes only here and in </w:t>
      </w:r>
      <w:proofErr w:type="spellStart"/>
      <w:r w:rsidRPr="00F67DD1">
        <w:t>Judg</w:t>
      </w:r>
      <w:proofErr w:type="spellEnd"/>
      <w:r w:rsidRPr="00F67DD1">
        <w:t xml:space="preserve"> 5:16. Whereas etymology supports “campfires” (see BDB), the parallelism in </w:t>
      </w:r>
      <w:proofErr w:type="spellStart"/>
      <w:r w:rsidRPr="00F67DD1">
        <w:t>Judg</w:t>
      </w:r>
      <w:proofErr w:type="spellEnd"/>
      <w:r w:rsidRPr="00F67DD1">
        <w:t xml:space="preserve"> 5:16 supports “sheepfolds”; while de Hoop (</w:t>
      </w:r>
      <w:r w:rsidRPr="00F67DD1">
        <w:rPr>
          <w:i/>
        </w:rPr>
        <w:t>Genesis 49</w:t>
      </w:r>
      <w:r w:rsidRPr="00F67DD1">
        <w:t>, 151-56) argues for “saddlebags.” As in v. 5, if the word could be understood as having any of these meanings, they would not be inappropriate.</w:t>
      </w:r>
    </w:p>
  </w:footnote>
  <w:footnote w:id="20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LXX, Vg take “his people” as object rather than the subject, but this understanding makes poor sense and eliminates the parallel with other verses that begin with an </w:t>
      </w:r>
      <w:proofErr w:type="spellStart"/>
      <w:r w:rsidRPr="00F67DD1">
        <w:t>extraposed</w:t>
      </w:r>
      <w:proofErr w:type="spellEnd"/>
      <w:r w:rsidRPr="00F67DD1">
        <w:t xml:space="preserve"> noun. Further, they take the verb </w:t>
      </w:r>
      <w:proofErr w:type="spellStart"/>
      <w:r w:rsidRPr="00F67DD1">
        <w:rPr>
          <w:i/>
        </w:rPr>
        <w:t>d</w:t>
      </w:r>
      <w:r w:rsidRPr="00F67DD1">
        <w:rPr>
          <w:rFonts w:cs="Calibri"/>
          <w:i/>
        </w:rPr>
        <w:t>î</w:t>
      </w:r>
      <w:r w:rsidRPr="00F67DD1">
        <w:rPr>
          <w:i/>
        </w:rPr>
        <w:t>n</w:t>
      </w:r>
      <w:proofErr w:type="spellEnd"/>
      <w:r w:rsidRPr="00F67DD1">
        <w:t xml:space="preserve"> with words meaning “judge,” which gives a misleadingly judiciary meaning to the verb.</w:t>
      </w:r>
    </w:p>
  </w:footnote>
  <w:footnote w:id="21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GK 109k sees this </w:t>
      </w:r>
      <w:proofErr w:type="spellStart"/>
      <w:r w:rsidRPr="00F67DD1">
        <w:rPr>
          <w:i/>
        </w:rPr>
        <w:t>y</w:t>
      </w:r>
      <w:r w:rsidRPr="00F67DD1">
        <w:rPr>
          <w:rFonts w:cs="Calibri"/>
          <w:i/>
        </w:rPr>
        <w:t>ᵉhî</w:t>
      </w:r>
      <w:proofErr w:type="spellEnd"/>
      <w:r w:rsidRPr="00F67DD1">
        <w:rPr>
          <w:rFonts w:cs="Calibri"/>
        </w:rPr>
        <w:t xml:space="preserve"> as an example of a jussive form that is really </w:t>
      </w:r>
      <w:proofErr w:type="spellStart"/>
      <w:r w:rsidRPr="00F67DD1">
        <w:rPr>
          <w:rFonts w:cs="Calibri"/>
        </w:rPr>
        <w:t>yiqtol</w:t>
      </w:r>
      <w:proofErr w:type="spellEnd"/>
      <w:r w:rsidRPr="00F67DD1">
        <w:rPr>
          <w:rFonts w:cs="Calibri"/>
        </w:rPr>
        <w:t xml:space="preserve"> in significance, but jussive meaning fits in the context of a number of wishes and prayers in the testament.</w:t>
      </w:r>
    </w:p>
  </w:footnote>
  <w:footnote w:id="22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On such quasi-</w:t>
      </w:r>
      <w:proofErr w:type="spellStart"/>
      <w:r w:rsidRPr="00F67DD1">
        <w:t>stative</w:t>
      </w:r>
      <w:proofErr w:type="spellEnd"/>
      <w:r w:rsidRPr="00F67DD1">
        <w:t xml:space="preserve"> verbs, see GK 106g.</w:t>
      </w:r>
    </w:p>
  </w:footnote>
  <w:footnote w:id="23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More precisely, a gang of attackers. </w:t>
      </w:r>
      <w:proofErr w:type="spellStart"/>
      <w:r w:rsidRPr="00F67DD1">
        <w:rPr>
          <w:i/>
        </w:rPr>
        <w:t>Gᵉdûd</w:t>
      </w:r>
      <w:proofErr w:type="spellEnd"/>
      <w:r w:rsidRPr="00F67DD1">
        <w:t xml:space="preserve"> comes from the root </w:t>
      </w:r>
      <w:proofErr w:type="spellStart"/>
      <w:r w:rsidRPr="00F67DD1">
        <w:rPr>
          <w:i/>
        </w:rPr>
        <w:t>gādad</w:t>
      </w:r>
      <w:proofErr w:type="spellEnd"/>
      <w:r w:rsidRPr="00F67DD1">
        <w:t xml:space="preserve"> whereas the two succeeding verbs come from the </w:t>
      </w:r>
      <w:proofErr w:type="spellStart"/>
      <w:r w:rsidRPr="00F67DD1">
        <w:t>byform</w:t>
      </w:r>
      <w:proofErr w:type="spellEnd"/>
      <w:r w:rsidRPr="00F67DD1">
        <w:t xml:space="preserve"> </w:t>
      </w:r>
      <w:proofErr w:type="spellStart"/>
      <w:r w:rsidRPr="00F67DD1">
        <w:rPr>
          <w:i/>
        </w:rPr>
        <w:t>gûd</w:t>
      </w:r>
      <w:proofErr w:type="spellEnd"/>
      <w:r w:rsidRPr="00F67DD1">
        <w:t xml:space="preserve">. </w:t>
      </w:r>
    </w:p>
  </w:footnote>
  <w:footnote w:id="24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LXX, Vg lack the odd “from” and LXX may attach the </w:t>
      </w:r>
      <w:r w:rsidRPr="00F67DD1">
        <w:rPr>
          <w:i/>
        </w:rPr>
        <w:t>m</w:t>
      </w:r>
      <w:r w:rsidRPr="00F67DD1">
        <w:t xml:space="preserve"> to the end of the previous line, making explicit that the heel is “their heel.”</w:t>
      </w:r>
    </w:p>
  </w:footnote>
  <w:footnote w:id="25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For </w:t>
      </w:r>
      <w:r w:rsidRPr="00F67DD1">
        <w:rPr>
          <w:i/>
        </w:rPr>
        <w:t>’</w:t>
      </w:r>
      <w:proofErr w:type="spellStart"/>
      <w:r w:rsidRPr="00F67DD1">
        <w:rPr>
          <w:rFonts w:cs="Calibri"/>
          <w:i/>
        </w:rPr>
        <w:t>êlāh</w:t>
      </w:r>
      <w:proofErr w:type="spellEnd"/>
      <w:r w:rsidRPr="00F67DD1">
        <w:rPr>
          <w:rFonts w:cs="Calibri"/>
          <w:i/>
        </w:rPr>
        <w:t xml:space="preserve"> </w:t>
      </w:r>
      <w:r w:rsidRPr="00F67DD1">
        <w:rPr>
          <w:rFonts w:cs="Calibri"/>
        </w:rPr>
        <w:t xml:space="preserve">LXX implies </w:t>
      </w:r>
      <w:r w:rsidRPr="00F67DD1">
        <w:rPr>
          <w:rFonts w:cs="Calibri"/>
          <w:i/>
        </w:rPr>
        <w:t>’</w:t>
      </w:r>
      <w:proofErr w:type="spellStart"/>
      <w:r w:rsidRPr="00F67DD1">
        <w:rPr>
          <w:rFonts w:cs="Calibri"/>
          <w:i/>
        </w:rPr>
        <w:t>ēlāh</w:t>
      </w:r>
      <w:proofErr w:type="spellEnd"/>
      <w:r w:rsidRPr="00F67DD1">
        <w:rPr>
          <w:rFonts w:cs="Calibri"/>
          <w:i/>
        </w:rPr>
        <w:t xml:space="preserve"> </w:t>
      </w:r>
      <w:r w:rsidRPr="00F67DD1">
        <w:t xml:space="preserve">“oak’ (cf. 35:4), but </w:t>
      </w:r>
      <w:proofErr w:type="spellStart"/>
      <w:r w:rsidRPr="00F67DD1">
        <w:t>Aq</w:t>
      </w:r>
      <w:proofErr w:type="spellEnd"/>
      <w:r w:rsidRPr="00F67DD1">
        <w:t xml:space="preserve"> has “deer.”</w:t>
      </w:r>
    </w:p>
  </w:footnote>
  <w:footnote w:id="26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The masculine participle takes its gender from the word for the clan rather than from the word for “hind.”</w:t>
      </w:r>
    </w:p>
  </w:footnote>
  <w:footnote w:id="27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I take </w:t>
      </w:r>
      <w:r w:rsidRPr="00F67DD1">
        <w:rPr>
          <w:i/>
        </w:rPr>
        <w:t>’</w:t>
      </w:r>
      <w:proofErr w:type="spellStart"/>
      <w:r w:rsidRPr="00F67DD1">
        <w:rPr>
          <w:i/>
        </w:rPr>
        <w:t>imr</w:t>
      </w:r>
      <w:r w:rsidRPr="00F67DD1">
        <w:rPr>
          <w:rFonts w:cs="Calibri"/>
          <w:i/>
        </w:rPr>
        <w:t>ȇ</w:t>
      </w:r>
      <w:proofErr w:type="spellEnd"/>
      <w:r w:rsidRPr="00F67DD1">
        <w:rPr>
          <w:rFonts w:cs="Calibri"/>
          <w:i/>
        </w:rPr>
        <w:t xml:space="preserve"> </w:t>
      </w:r>
      <w:r w:rsidRPr="00F67DD1">
        <w:rPr>
          <w:rFonts w:cs="Calibri"/>
        </w:rPr>
        <w:t xml:space="preserve">as not from </w:t>
      </w:r>
      <w:r w:rsidRPr="00F67DD1">
        <w:rPr>
          <w:rFonts w:cs="Calibri"/>
          <w:i/>
        </w:rPr>
        <w:t>’</w:t>
      </w:r>
      <w:proofErr w:type="spellStart"/>
      <w:r w:rsidRPr="00F67DD1">
        <w:rPr>
          <w:rFonts w:cs="Calibri"/>
          <w:i/>
        </w:rPr>
        <w:t>ōmer</w:t>
      </w:r>
      <w:proofErr w:type="spellEnd"/>
      <w:r w:rsidRPr="00F67DD1">
        <w:rPr>
          <w:rFonts w:cs="Calibri"/>
          <w:i/>
        </w:rPr>
        <w:t xml:space="preserve"> </w:t>
      </w:r>
      <w:r w:rsidRPr="00F67DD1">
        <w:rPr>
          <w:rFonts w:cs="Calibri"/>
        </w:rPr>
        <w:t xml:space="preserve">“saying” but from the </w:t>
      </w:r>
      <w:r w:rsidRPr="00F67DD1">
        <w:t xml:space="preserve">hapax </w:t>
      </w:r>
      <w:r w:rsidRPr="00F67DD1">
        <w:rPr>
          <w:i/>
        </w:rPr>
        <w:t>’</w:t>
      </w:r>
      <w:proofErr w:type="spellStart"/>
      <w:r w:rsidRPr="00F67DD1">
        <w:rPr>
          <w:i/>
        </w:rPr>
        <w:t>immēr</w:t>
      </w:r>
      <w:proofErr w:type="spellEnd"/>
      <w:r w:rsidRPr="00F67DD1">
        <w:t xml:space="preserve"> denoting a baby animal such as a lamb (</w:t>
      </w:r>
      <w:r w:rsidRPr="00F67DD1">
        <w:rPr>
          <w:i/>
        </w:rPr>
        <w:t>HALOT</w:t>
      </w:r>
      <w:r w:rsidRPr="00F67DD1">
        <w:t xml:space="preserve">, 67b), though the audience might be reminded of the “sayings” of </w:t>
      </w:r>
      <w:proofErr w:type="spellStart"/>
      <w:r w:rsidRPr="00F67DD1">
        <w:t>Baraq</w:t>
      </w:r>
      <w:proofErr w:type="spellEnd"/>
      <w:r w:rsidRPr="00F67DD1">
        <w:t xml:space="preserve"> and Deborah in </w:t>
      </w:r>
      <w:proofErr w:type="spellStart"/>
      <w:r w:rsidRPr="00F67DD1">
        <w:t>Judg</w:t>
      </w:r>
      <w:proofErr w:type="spellEnd"/>
      <w:r w:rsidRPr="00F67DD1">
        <w:t xml:space="preserve"> 4—5: </w:t>
      </w:r>
      <w:proofErr w:type="spellStart"/>
      <w:r w:rsidRPr="00F67DD1">
        <w:t>Baraq</w:t>
      </w:r>
      <w:proofErr w:type="spellEnd"/>
      <w:r w:rsidRPr="00F67DD1">
        <w:t xml:space="preserve"> was a </w:t>
      </w:r>
      <w:proofErr w:type="spellStart"/>
      <w:r w:rsidRPr="00F67DD1">
        <w:t>Naphtalite</w:t>
      </w:r>
      <w:proofErr w:type="spellEnd"/>
      <w:r w:rsidRPr="00F67DD1">
        <w:t xml:space="preserve"> and maybe Deborah was, too, even though she was working in Ephraim, and Midrash </w:t>
      </w:r>
      <w:proofErr w:type="spellStart"/>
      <w:r w:rsidRPr="00F67DD1">
        <w:t>Tehillim</w:t>
      </w:r>
      <w:proofErr w:type="spellEnd"/>
      <w:r w:rsidRPr="00F67DD1">
        <w:t xml:space="preserve"> on Ps 22 (whose introduction refers to a hind) puts two and two together and infers that she is the hind set free (see W. G. </w:t>
      </w:r>
      <w:proofErr w:type="spellStart"/>
      <w:r w:rsidRPr="00F67DD1">
        <w:t>Braude</w:t>
      </w:r>
      <w:proofErr w:type="spellEnd"/>
      <w:r w:rsidRPr="00F67DD1">
        <w:t xml:space="preserve">, </w:t>
      </w:r>
      <w:r w:rsidRPr="00F67DD1">
        <w:rPr>
          <w:i/>
        </w:rPr>
        <w:t>The Midrash on Psalms</w:t>
      </w:r>
      <w:r w:rsidRPr="00F67DD1">
        <w:t xml:space="preserve"> [New Haven: Yale University Press, 1959] 1:297).</w:t>
      </w:r>
    </w:p>
  </w:footnote>
  <w:footnote w:id="28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LXX, Vg take </w:t>
      </w:r>
      <w:proofErr w:type="spellStart"/>
      <w:r w:rsidRPr="00F67DD1">
        <w:rPr>
          <w:rFonts w:cs="Calibri"/>
          <w:i/>
        </w:rPr>
        <w:t>š</w:t>
      </w:r>
      <w:r w:rsidRPr="00F67DD1">
        <w:rPr>
          <w:i/>
        </w:rPr>
        <w:t>eper</w:t>
      </w:r>
      <w:proofErr w:type="spellEnd"/>
      <w:r w:rsidRPr="00F67DD1">
        <w:t xml:space="preserve"> as an </w:t>
      </w:r>
      <w:proofErr w:type="spellStart"/>
      <w:r w:rsidRPr="00F67DD1">
        <w:t>Aramaism</w:t>
      </w:r>
      <w:proofErr w:type="spellEnd"/>
      <w:r w:rsidRPr="00F67DD1">
        <w:t xml:space="preserve"> meaning “beauty”; I take it as an </w:t>
      </w:r>
      <w:proofErr w:type="spellStart"/>
      <w:r w:rsidRPr="00F67DD1">
        <w:t>Ugariticism</w:t>
      </w:r>
      <w:proofErr w:type="spellEnd"/>
      <w:r w:rsidRPr="00F67DD1">
        <w:t xml:space="preserve"> or </w:t>
      </w:r>
      <w:proofErr w:type="spellStart"/>
      <w:r w:rsidRPr="00F67DD1">
        <w:t>Akkadianism</w:t>
      </w:r>
      <w:proofErr w:type="spellEnd"/>
      <w:r w:rsidRPr="00F67DD1">
        <w:t xml:space="preserve"> meaning “fold” (see S. </w:t>
      </w:r>
      <w:proofErr w:type="spellStart"/>
      <w:r w:rsidRPr="00F67DD1">
        <w:t>Gevirtz</w:t>
      </w:r>
      <w:proofErr w:type="spellEnd"/>
      <w:r w:rsidRPr="00F67DD1">
        <w:t xml:space="preserve">, “Naphtali in ‘The Blessing of Jacob,’” </w:t>
      </w:r>
      <w:r w:rsidRPr="00F67DD1">
        <w:rPr>
          <w:i/>
        </w:rPr>
        <w:t>JBL</w:t>
      </w:r>
      <w:r w:rsidRPr="00F67DD1">
        <w:t xml:space="preserve"> 103 [1984]: 513-21). But the existence of the Aramaic word would add to the paronomasia possibilities suggested by the previous note.</w:t>
      </w:r>
    </w:p>
  </w:footnote>
  <w:footnote w:id="29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BDB takes </w:t>
      </w:r>
      <w:proofErr w:type="spellStart"/>
      <w:r w:rsidRPr="00F67DD1">
        <w:rPr>
          <w:i/>
        </w:rPr>
        <w:t>bēn</w:t>
      </w:r>
      <w:proofErr w:type="spellEnd"/>
      <w:r w:rsidRPr="00F67DD1">
        <w:t xml:space="preserve"> as an anomalous construct; JM 96Eb would provide a rationale, though it does not treat this word as an example, and LXX, Vg, </w:t>
      </w:r>
      <w:proofErr w:type="spellStart"/>
      <w:r w:rsidRPr="00F67DD1">
        <w:t>Tg</w:t>
      </w:r>
      <w:proofErr w:type="spellEnd"/>
      <w:r w:rsidRPr="00F67DD1">
        <w:t xml:space="preserve"> take it as absolute.</w:t>
      </w:r>
    </w:p>
  </w:footnote>
  <w:footnote w:id="30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LXX, Vg, </w:t>
      </w:r>
      <w:proofErr w:type="spellStart"/>
      <w:r w:rsidRPr="00F67DD1">
        <w:t>Tg</w:t>
      </w:r>
      <w:proofErr w:type="spellEnd"/>
      <w:r w:rsidRPr="00F67DD1">
        <w:t xml:space="preserve"> then take </w:t>
      </w:r>
      <w:proofErr w:type="spellStart"/>
      <w:r w:rsidRPr="00F67DD1">
        <w:rPr>
          <w:i/>
        </w:rPr>
        <w:t>pōrāt</w:t>
      </w:r>
      <w:proofErr w:type="spellEnd"/>
      <w:r w:rsidRPr="00F67DD1">
        <w:rPr>
          <w:i/>
        </w:rPr>
        <w:t xml:space="preserve"> </w:t>
      </w:r>
      <w:r w:rsidRPr="00F67DD1">
        <w:t xml:space="preserve">as a participle from </w:t>
      </w:r>
      <w:proofErr w:type="spellStart"/>
      <w:r w:rsidRPr="00F67DD1">
        <w:rPr>
          <w:i/>
        </w:rPr>
        <w:t>p</w:t>
      </w:r>
      <w:r w:rsidRPr="00F67DD1">
        <w:rPr>
          <w:rFonts w:cs="Calibri"/>
          <w:i/>
        </w:rPr>
        <w:t>ā</w:t>
      </w:r>
      <w:r w:rsidRPr="00F67DD1">
        <w:rPr>
          <w:i/>
        </w:rPr>
        <w:t>r</w:t>
      </w:r>
      <w:r w:rsidRPr="00F67DD1">
        <w:rPr>
          <w:rFonts w:cs="Calibri"/>
          <w:i/>
        </w:rPr>
        <w:t>ā</w:t>
      </w:r>
      <w:r w:rsidRPr="00F67DD1">
        <w:rPr>
          <w:i/>
        </w:rPr>
        <w:t>h</w:t>
      </w:r>
      <w:proofErr w:type="spellEnd"/>
      <w:r w:rsidRPr="00F67DD1">
        <w:rPr>
          <w:i/>
        </w:rPr>
        <w:t xml:space="preserve"> </w:t>
      </w:r>
      <w:r w:rsidRPr="00F67DD1">
        <w:t xml:space="preserve">qualifying </w:t>
      </w:r>
      <w:proofErr w:type="spellStart"/>
      <w:r w:rsidRPr="00F67DD1">
        <w:rPr>
          <w:i/>
        </w:rPr>
        <w:t>b</w:t>
      </w:r>
      <w:r w:rsidRPr="00F67DD1">
        <w:rPr>
          <w:rFonts w:cs="Calibri"/>
          <w:i/>
        </w:rPr>
        <w:t>ē</w:t>
      </w:r>
      <w:r w:rsidRPr="00F67DD1">
        <w:rPr>
          <w:i/>
        </w:rPr>
        <w:t>n</w:t>
      </w:r>
      <w:proofErr w:type="spellEnd"/>
      <w:r w:rsidRPr="00F67DD1">
        <w:rPr>
          <w:i/>
        </w:rPr>
        <w:t xml:space="preserve"> </w:t>
      </w:r>
      <w:r w:rsidRPr="00F67DD1">
        <w:t xml:space="preserve">and meaning fruitful, but the form is anomalous and the feminine is odd. More likely </w:t>
      </w:r>
      <w:proofErr w:type="spellStart"/>
      <w:r w:rsidRPr="00F67DD1">
        <w:rPr>
          <w:i/>
        </w:rPr>
        <w:t>pōrāt</w:t>
      </w:r>
      <w:proofErr w:type="spellEnd"/>
      <w:r w:rsidRPr="00F67DD1">
        <w:t xml:space="preserve"> is a noun. If it denotes a fruitful tree, its “daughters” would be its branches, but </w:t>
      </w:r>
      <w:proofErr w:type="spellStart"/>
      <w:r w:rsidRPr="00F67DD1">
        <w:rPr>
          <w:i/>
        </w:rPr>
        <w:t>b</w:t>
      </w:r>
      <w:r w:rsidRPr="00F67DD1">
        <w:rPr>
          <w:rFonts w:cs="Calibri"/>
          <w:i/>
        </w:rPr>
        <w:t>ānôt</w:t>
      </w:r>
      <w:proofErr w:type="spellEnd"/>
      <w:r w:rsidRPr="00F67DD1">
        <w:rPr>
          <w:rFonts w:cs="Calibri"/>
        </w:rPr>
        <w:t xml:space="preserve"> never elsewhere refers to plants, only to human beings and animals (cf. de Hoop, </w:t>
      </w:r>
      <w:r w:rsidRPr="00F67DD1">
        <w:rPr>
          <w:rFonts w:cs="Calibri"/>
          <w:i/>
        </w:rPr>
        <w:t>Genesis 49</w:t>
      </w:r>
      <w:r w:rsidRPr="00F67DD1">
        <w:rPr>
          <w:rFonts w:cs="Calibri"/>
        </w:rPr>
        <w:t>, 184)</w:t>
      </w:r>
      <w:r w:rsidRPr="00F67DD1">
        <w:t>. See further the comment.</w:t>
      </w:r>
    </w:p>
  </w:footnote>
  <w:footnote w:id="31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The translation reverses the Hebrew word order (“by a spring its daughters”: this colon and the one that follows thus work </w:t>
      </w:r>
      <w:proofErr w:type="spellStart"/>
      <w:r w:rsidRPr="00F67DD1">
        <w:t>abca</w:t>
      </w:r>
      <w:proofErr w:type="spellEnd"/>
      <w:r w:rsidRPr="00F67DD1">
        <w:t xml:space="preserve">’ rather than </w:t>
      </w:r>
      <w:proofErr w:type="spellStart"/>
      <w:r w:rsidRPr="00F67DD1">
        <w:t>abcb</w:t>
      </w:r>
      <w:proofErr w:type="spellEnd"/>
      <w:r w:rsidRPr="00F67DD1">
        <w:t xml:space="preserve">’), which in English generates an even more elliptical impression. MT’s accents associate “by its spring” with the preceding words; the line is then a neat 3-3-3 </w:t>
      </w:r>
      <w:proofErr w:type="spellStart"/>
      <w:r w:rsidRPr="00F67DD1">
        <w:t>tricolon</w:t>
      </w:r>
      <w:proofErr w:type="spellEnd"/>
      <w:r w:rsidRPr="00F67DD1">
        <w:t>, but one even harder to construe.</w:t>
      </w:r>
    </w:p>
  </w:footnote>
  <w:footnote w:id="32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Vg takes the daughters as the subject of the apparently singular verb: see the comments in GK 44m; JM 42f. But if </w:t>
      </w:r>
      <w:proofErr w:type="spellStart"/>
      <w:r w:rsidRPr="00F67DD1">
        <w:rPr>
          <w:i/>
        </w:rPr>
        <w:t>pōrāt</w:t>
      </w:r>
      <w:proofErr w:type="spellEnd"/>
      <w:r w:rsidRPr="00F67DD1">
        <w:t xml:space="preserve"> is a feminine noun (see the earlier note), it can be the subject, which fits regular grammar and makes sense in the context. SP has </w:t>
      </w:r>
      <w:proofErr w:type="spellStart"/>
      <w:r w:rsidRPr="00F67DD1">
        <w:rPr>
          <w:rFonts w:cs="Calibri"/>
          <w:i/>
        </w:rPr>
        <w:t>ṣ</w:t>
      </w:r>
      <w:r w:rsidRPr="00F67DD1">
        <w:rPr>
          <w:i/>
        </w:rPr>
        <w:t>’ry</w:t>
      </w:r>
      <w:proofErr w:type="spellEnd"/>
      <w:r w:rsidRPr="00F67DD1">
        <w:t xml:space="preserve"> (“little”) for </w:t>
      </w:r>
      <w:proofErr w:type="spellStart"/>
      <w:r w:rsidRPr="00F67DD1">
        <w:rPr>
          <w:rFonts w:cs="Calibri"/>
          <w:i/>
        </w:rPr>
        <w:t>ṣ</w:t>
      </w:r>
      <w:r w:rsidRPr="00F67DD1">
        <w:rPr>
          <w:i/>
        </w:rPr>
        <w:t>‘dh</w:t>
      </w:r>
      <w:proofErr w:type="spellEnd"/>
      <w:r w:rsidRPr="00F67DD1">
        <w:rPr>
          <w:i/>
        </w:rPr>
        <w:t xml:space="preserve"> </w:t>
      </w:r>
      <w:r w:rsidRPr="00F67DD1">
        <w:t xml:space="preserve">and LXX implies something similar (cf. Tal, </w:t>
      </w:r>
      <w:r w:rsidRPr="00F67DD1">
        <w:rPr>
          <w:i/>
        </w:rPr>
        <w:t>Genesis</w:t>
      </w:r>
      <w:r w:rsidRPr="00F67DD1">
        <w:t>, 203*).</w:t>
      </w:r>
    </w:p>
  </w:footnote>
  <w:footnote w:id="33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</w:t>
      </w:r>
      <w:proofErr w:type="spellStart"/>
      <w:r w:rsidRPr="00F67DD1">
        <w:rPr>
          <w:i/>
        </w:rPr>
        <w:t>Šûr</w:t>
      </w:r>
      <w:proofErr w:type="spellEnd"/>
      <w:r w:rsidRPr="00F67DD1">
        <w:t xml:space="preserve"> can mean a wall and </w:t>
      </w:r>
      <w:proofErr w:type="spellStart"/>
      <w:r w:rsidRPr="00F67DD1">
        <w:rPr>
          <w:i/>
        </w:rPr>
        <w:t>šûrāh</w:t>
      </w:r>
      <w:proofErr w:type="spellEnd"/>
      <w:r w:rsidRPr="00F67DD1">
        <w:t xml:space="preserve"> a row of fruit trees (see BDB, </w:t>
      </w:r>
      <w:r w:rsidRPr="00F67DD1">
        <w:rPr>
          <w:i/>
        </w:rPr>
        <w:t>DTT</w:t>
      </w:r>
      <w:r w:rsidRPr="00F67DD1">
        <w:t>), which together suggests a terrace.</w:t>
      </w:r>
    </w:p>
  </w:footnote>
  <w:footnote w:id="34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They “embittered him,” not in the sense that they made him feel bitter but that they made his life bitter: cf. </w:t>
      </w:r>
      <w:proofErr w:type="spellStart"/>
      <w:r w:rsidRPr="00F67DD1">
        <w:rPr>
          <w:i/>
        </w:rPr>
        <w:t>m</w:t>
      </w:r>
      <w:r w:rsidRPr="00F67DD1">
        <w:rPr>
          <w:rFonts w:cs="Calibri"/>
          <w:i/>
        </w:rPr>
        <w:t>ā</w:t>
      </w:r>
      <w:r w:rsidRPr="00F67DD1">
        <w:rPr>
          <w:i/>
        </w:rPr>
        <w:t>rar</w:t>
      </w:r>
      <w:proofErr w:type="spellEnd"/>
      <w:r w:rsidRPr="00F67DD1">
        <w:rPr>
          <w:i/>
        </w:rPr>
        <w:t xml:space="preserve"> </w:t>
      </w:r>
      <w:r w:rsidRPr="00F67DD1">
        <w:t xml:space="preserve">piel in </w:t>
      </w:r>
      <w:proofErr w:type="spellStart"/>
      <w:r w:rsidRPr="00F67DD1">
        <w:t>Exod</w:t>
      </w:r>
      <w:proofErr w:type="spellEnd"/>
      <w:r w:rsidRPr="00F67DD1">
        <w:t xml:space="preserve"> 1:14 (</w:t>
      </w:r>
      <w:proofErr w:type="spellStart"/>
      <w:r w:rsidRPr="00F67DD1">
        <w:t>Rashi</w:t>
      </w:r>
      <w:proofErr w:type="spellEnd"/>
      <w:r w:rsidRPr="00F67DD1">
        <w:t xml:space="preserve">, </w:t>
      </w:r>
      <w:proofErr w:type="spellStart"/>
      <w:r w:rsidRPr="00F67DD1">
        <w:rPr>
          <w:i/>
        </w:rPr>
        <w:t>Br’šyt</w:t>
      </w:r>
      <w:proofErr w:type="spellEnd"/>
      <w:r w:rsidRPr="00F67DD1">
        <w:t>, 557).</w:t>
      </w:r>
    </w:p>
  </w:footnote>
  <w:footnote w:id="35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LXX implies taking </w:t>
      </w:r>
      <w:proofErr w:type="spellStart"/>
      <w:r w:rsidRPr="00F67DD1">
        <w:rPr>
          <w:i/>
        </w:rPr>
        <w:t>wārōbû</w:t>
      </w:r>
      <w:proofErr w:type="spellEnd"/>
      <w:r w:rsidRPr="00F67DD1">
        <w:t xml:space="preserve"> as from a </w:t>
      </w:r>
      <w:proofErr w:type="spellStart"/>
      <w:r w:rsidRPr="00F67DD1">
        <w:t>byform</w:t>
      </w:r>
      <w:proofErr w:type="spellEnd"/>
      <w:r w:rsidRPr="00F67DD1">
        <w:t xml:space="preserve"> of </w:t>
      </w:r>
      <w:proofErr w:type="spellStart"/>
      <w:r w:rsidRPr="00F67DD1">
        <w:rPr>
          <w:i/>
        </w:rPr>
        <w:t>rîb</w:t>
      </w:r>
      <w:proofErr w:type="spellEnd"/>
      <w:r w:rsidRPr="00F67DD1">
        <w:t xml:space="preserve"> (SP reads a form from that verb) or as trading on the similarity between </w:t>
      </w:r>
      <w:proofErr w:type="spellStart"/>
      <w:r w:rsidRPr="00F67DD1">
        <w:rPr>
          <w:i/>
        </w:rPr>
        <w:t>rîb</w:t>
      </w:r>
      <w:proofErr w:type="spellEnd"/>
      <w:r w:rsidRPr="00F67DD1">
        <w:t xml:space="preserve"> and </w:t>
      </w:r>
      <w:proofErr w:type="spellStart"/>
      <w:r w:rsidRPr="00F67DD1">
        <w:rPr>
          <w:i/>
        </w:rPr>
        <w:t>r</w:t>
      </w:r>
      <w:r w:rsidRPr="00F67DD1">
        <w:rPr>
          <w:rFonts w:cs="Calibri"/>
          <w:i/>
        </w:rPr>
        <w:t>ā</w:t>
      </w:r>
      <w:r w:rsidRPr="00F67DD1">
        <w:rPr>
          <w:i/>
        </w:rPr>
        <w:t>bab</w:t>
      </w:r>
      <w:proofErr w:type="spellEnd"/>
      <w:r w:rsidRPr="00F67DD1">
        <w:t xml:space="preserve"> “shoot,” which is much rarer but is signaled by the parallel colon and by v. 24.</w:t>
      </w:r>
    </w:p>
  </w:footnote>
  <w:footnote w:id="36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Literally, “the arms of his hands.”</w:t>
      </w:r>
    </w:p>
  </w:footnote>
  <w:footnote w:id="37">
    <w:p w:rsidR="00444C31" w:rsidRPr="00F67DD1" w:rsidRDefault="00444C31" w:rsidP="00444C31">
      <w:pPr>
        <w:pStyle w:val="FootnoteText"/>
        <w:rPr>
          <w:rFonts w:cs="Calibri"/>
        </w:rPr>
      </w:pPr>
      <w:r w:rsidRPr="00F67DD1">
        <w:rPr>
          <w:rStyle w:val="FootnoteReference"/>
        </w:rPr>
        <w:footnoteRef/>
      </w:r>
      <w:r w:rsidRPr="00F67DD1">
        <w:t xml:space="preserve"> LXX, Vg have “God of your father,” but “God” is </w:t>
      </w:r>
      <w:r w:rsidRPr="00F67DD1">
        <w:rPr>
          <w:rFonts w:cs="Calibri"/>
          <w:i/>
        </w:rPr>
        <w:t>’</w:t>
      </w:r>
      <w:proofErr w:type="spellStart"/>
      <w:r w:rsidRPr="00F67DD1">
        <w:rPr>
          <w:rFonts w:cs="Calibri"/>
          <w:i/>
        </w:rPr>
        <w:t>ēl</w:t>
      </w:r>
      <w:proofErr w:type="spellEnd"/>
      <w:r w:rsidRPr="00F67DD1">
        <w:t xml:space="preserve"> not </w:t>
      </w:r>
      <w:r w:rsidRPr="00F67DD1">
        <w:rPr>
          <w:i/>
        </w:rPr>
        <w:t>’</w:t>
      </w:r>
      <w:proofErr w:type="spellStart"/>
      <w:r w:rsidRPr="00F67DD1">
        <w:rPr>
          <w:rFonts w:cs="Calibri"/>
          <w:i/>
        </w:rPr>
        <w:t>ĕlōhê</w:t>
      </w:r>
      <w:proofErr w:type="spellEnd"/>
      <w:r w:rsidRPr="00F67DD1">
        <w:rPr>
          <w:rFonts w:cs="Calibri"/>
          <w:i/>
        </w:rPr>
        <w:t xml:space="preserve"> </w:t>
      </w:r>
      <w:r w:rsidRPr="00F67DD1">
        <w:rPr>
          <w:rFonts w:cs="Calibri"/>
        </w:rPr>
        <w:t xml:space="preserve">and there are no parallels for </w:t>
      </w:r>
      <w:r w:rsidRPr="00F67DD1">
        <w:rPr>
          <w:rFonts w:cs="Calibri"/>
          <w:i/>
        </w:rPr>
        <w:t>’</w:t>
      </w:r>
      <w:proofErr w:type="spellStart"/>
      <w:r w:rsidRPr="00F67DD1">
        <w:rPr>
          <w:rFonts w:cs="Calibri"/>
          <w:i/>
        </w:rPr>
        <w:t>ēl</w:t>
      </w:r>
      <w:proofErr w:type="spellEnd"/>
      <w:r w:rsidRPr="00F67DD1">
        <w:t xml:space="preserve"> </w:t>
      </w:r>
      <w:r w:rsidRPr="00F67DD1">
        <w:rPr>
          <w:i/>
        </w:rPr>
        <w:t>’</w:t>
      </w:r>
      <w:proofErr w:type="spellStart"/>
      <w:r w:rsidRPr="00F67DD1">
        <w:rPr>
          <w:rFonts w:cs="Calibri"/>
          <w:i/>
        </w:rPr>
        <w:t>ābîkā</w:t>
      </w:r>
      <w:proofErr w:type="spellEnd"/>
      <w:r w:rsidRPr="00F67DD1">
        <w:rPr>
          <w:rFonts w:cs="Calibri"/>
          <w:i/>
        </w:rPr>
        <w:t xml:space="preserve"> </w:t>
      </w:r>
      <w:r w:rsidRPr="00F67DD1">
        <w:rPr>
          <w:rFonts w:cs="Calibri"/>
        </w:rPr>
        <w:t xml:space="preserve">as a construct phrase (none at all for </w:t>
      </w:r>
      <w:r w:rsidRPr="00F67DD1">
        <w:rPr>
          <w:rFonts w:cs="Calibri"/>
          <w:i/>
        </w:rPr>
        <w:t>’</w:t>
      </w:r>
      <w:proofErr w:type="spellStart"/>
      <w:r w:rsidRPr="00F67DD1">
        <w:rPr>
          <w:rFonts w:cs="Calibri"/>
          <w:i/>
        </w:rPr>
        <w:t>ēl</w:t>
      </w:r>
      <w:proofErr w:type="spellEnd"/>
      <w:r w:rsidRPr="00F67DD1">
        <w:t xml:space="preserve"> as a construct in Genesis, and </w:t>
      </w:r>
      <w:r w:rsidRPr="00F67DD1">
        <w:rPr>
          <w:rFonts w:cs="Calibri"/>
        </w:rPr>
        <w:t>not many elsewhere). See comment.</w:t>
      </w:r>
    </w:p>
  </w:footnote>
  <w:footnote w:id="38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“From” carries over from the previous colon (cf. Ibn Ezra, </w:t>
      </w:r>
      <w:r w:rsidRPr="00F67DD1">
        <w:rPr>
          <w:i/>
        </w:rPr>
        <w:t>Genesis</w:t>
      </w:r>
      <w:r w:rsidRPr="00F67DD1">
        <w:t>, on the passage)</w:t>
      </w:r>
      <w:r w:rsidRPr="00F67DD1">
        <w:rPr>
          <w:i/>
        </w:rPr>
        <w:t xml:space="preserve"> </w:t>
      </w:r>
      <w:r w:rsidRPr="00F67DD1">
        <w:t xml:space="preserve">, though the </w:t>
      </w:r>
      <w:r w:rsidRPr="00F67DD1">
        <w:rPr>
          <w:i/>
        </w:rPr>
        <w:t>’et</w:t>
      </w:r>
      <w:r w:rsidRPr="00F67DD1">
        <w:t xml:space="preserve"> is odd.</w:t>
      </w:r>
    </w:p>
  </w:footnote>
  <w:footnote w:id="39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LXX “of the steadfast mountains” suggests reading </w:t>
      </w:r>
      <w:proofErr w:type="spellStart"/>
      <w:r w:rsidRPr="00F67DD1">
        <w:rPr>
          <w:rFonts w:cs="Calibri"/>
          <w:i/>
        </w:rPr>
        <w:t>hārê</w:t>
      </w:r>
      <w:proofErr w:type="spellEnd"/>
      <w:r w:rsidRPr="00F67DD1">
        <w:rPr>
          <w:rFonts w:cs="Calibri"/>
          <w:i/>
        </w:rPr>
        <w:t xml:space="preserve"> </w:t>
      </w:r>
      <w:r w:rsidRPr="00F67DD1">
        <w:rPr>
          <w:rFonts w:cs="Calibri"/>
        </w:rPr>
        <w:t xml:space="preserve">for </w:t>
      </w:r>
      <w:proofErr w:type="spellStart"/>
      <w:r w:rsidRPr="00F67DD1">
        <w:rPr>
          <w:rFonts w:cs="Calibri"/>
          <w:i/>
        </w:rPr>
        <w:t>hôray</w:t>
      </w:r>
      <w:proofErr w:type="spellEnd"/>
      <w:r w:rsidRPr="00F67DD1">
        <w:rPr>
          <w:rFonts w:cs="Calibri"/>
        </w:rPr>
        <w:t xml:space="preserve"> </w:t>
      </w:r>
      <w:r w:rsidRPr="00F67DD1">
        <w:t xml:space="preserve">and linking it with </w:t>
      </w:r>
      <w:r w:rsidRPr="00F67DD1">
        <w:rPr>
          <w:i/>
        </w:rPr>
        <w:t xml:space="preserve">‘ad </w:t>
      </w:r>
      <w:r w:rsidRPr="00F67DD1">
        <w:t xml:space="preserve">in the next colon (cf. </w:t>
      </w:r>
      <w:proofErr w:type="spellStart"/>
      <w:r w:rsidRPr="00F67DD1">
        <w:rPr>
          <w:i/>
        </w:rPr>
        <w:t>har</w:t>
      </w:r>
      <w:r w:rsidRPr="00F67DD1">
        <w:rPr>
          <w:rFonts w:cs="Calibri"/>
          <w:i/>
        </w:rPr>
        <w:t>ă</w:t>
      </w:r>
      <w:r w:rsidRPr="00F67DD1">
        <w:rPr>
          <w:i/>
        </w:rPr>
        <w:t>rê</w:t>
      </w:r>
      <w:proofErr w:type="spellEnd"/>
      <w:r w:rsidRPr="00F67DD1">
        <w:rPr>
          <w:i/>
        </w:rPr>
        <w:t xml:space="preserve"> </w:t>
      </w:r>
      <w:r w:rsidRPr="00F67DD1">
        <w:t xml:space="preserve">in Deut 33:15); either way, it draws attention to a paronomasia between </w:t>
      </w:r>
      <w:proofErr w:type="spellStart"/>
      <w:r w:rsidRPr="00F67DD1">
        <w:rPr>
          <w:rFonts w:cs="Calibri"/>
          <w:i/>
        </w:rPr>
        <w:t>hôray</w:t>
      </w:r>
      <w:proofErr w:type="spellEnd"/>
      <w:r w:rsidRPr="00F67DD1">
        <w:rPr>
          <w:rFonts w:cs="Calibri"/>
        </w:rPr>
        <w:t xml:space="preserve"> </w:t>
      </w:r>
      <w:r w:rsidRPr="00F67DD1">
        <w:rPr>
          <w:i/>
        </w:rPr>
        <w:t xml:space="preserve">‘ad </w:t>
      </w:r>
      <w:r w:rsidRPr="00F67DD1">
        <w:t xml:space="preserve">and </w:t>
      </w:r>
      <w:proofErr w:type="spellStart"/>
      <w:r w:rsidRPr="00F67DD1">
        <w:rPr>
          <w:i/>
        </w:rPr>
        <w:t>gib‘</w:t>
      </w:r>
      <w:r w:rsidRPr="00F67DD1">
        <w:rPr>
          <w:rFonts w:cs="Calibri"/>
          <w:i/>
        </w:rPr>
        <w:t>ō</w:t>
      </w:r>
      <w:r w:rsidRPr="00F67DD1">
        <w:rPr>
          <w:i/>
        </w:rPr>
        <w:t>t‘</w:t>
      </w:r>
      <w:r w:rsidRPr="00F67DD1">
        <w:rPr>
          <w:rFonts w:cs="Calibri"/>
          <w:i/>
        </w:rPr>
        <w:t>ôlām</w:t>
      </w:r>
      <w:proofErr w:type="spellEnd"/>
      <w:r w:rsidRPr="00F67DD1">
        <w:t xml:space="preserve">. </w:t>
      </w:r>
    </w:p>
  </w:footnote>
  <w:footnote w:id="40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A </w:t>
      </w:r>
      <w:proofErr w:type="spellStart"/>
      <w:r w:rsidRPr="00F67DD1">
        <w:rPr>
          <w:i/>
        </w:rPr>
        <w:t>n</w:t>
      </w:r>
      <w:r w:rsidRPr="00F67DD1">
        <w:rPr>
          <w:rFonts w:cs="Calibri"/>
          <w:i/>
        </w:rPr>
        <w:t>āzî</w:t>
      </w:r>
      <w:r w:rsidRPr="00F67DD1">
        <w:rPr>
          <w:i/>
        </w:rPr>
        <w:t>r</w:t>
      </w:r>
      <w:proofErr w:type="spellEnd"/>
      <w:r w:rsidRPr="00F67DD1">
        <w:t>: “there is no need to invent the meaning ‘prince’” for the word</w:t>
      </w:r>
      <w:r w:rsidRPr="00F67DD1">
        <w:rPr>
          <w:i/>
        </w:rPr>
        <w:t xml:space="preserve"> </w:t>
      </w:r>
      <w:r w:rsidRPr="00F67DD1">
        <w:t>(G. Meyer, “</w:t>
      </w:r>
      <w:proofErr w:type="spellStart"/>
      <w:r w:rsidRPr="00F67DD1">
        <w:rPr>
          <w:i/>
        </w:rPr>
        <w:t>nzr</w:t>
      </w:r>
      <w:proofErr w:type="spellEnd"/>
      <w:r w:rsidRPr="00F67DD1">
        <w:t xml:space="preserve">,” in </w:t>
      </w:r>
      <w:r w:rsidRPr="00F67DD1">
        <w:rPr>
          <w:i/>
        </w:rPr>
        <w:t>TDOT</w:t>
      </w:r>
      <w:r w:rsidRPr="00F67DD1">
        <w:t xml:space="preserve"> 9:306-11 [308]).</w:t>
      </w:r>
    </w:p>
  </w:footnote>
  <w:footnote w:id="41">
    <w:p w:rsidR="00444C31" w:rsidRPr="00F67DD1" w:rsidRDefault="00444C31" w:rsidP="00444C31">
      <w:pPr>
        <w:pStyle w:val="FootnoteText"/>
      </w:pPr>
      <w:r w:rsidRPr="00F67DD1">
        <w:rPr>
          <w:rStyle w:val="FootnoteReference"/>
        </w:rPr>
        <w:footnoteRef/>
      </w:r>
      <w:r w:rsidRPr="00F67DD1">
        <w:t xml:space="preserve"> For the rare </w:t>
      </w:r>
      <w:r w:rsidRPr="00F67DD1">
        <w:rPr>
          <w:i/>
        </w:rPr>
        <w:t>‘</w:t>
      </w:r>
      <w:proofErr w:type="spellStart"/>
      <w:r w:rsidRPr="00F67DD1">
        <w:rPr>
          <w:rFonts w:cs="Calibri"/>
          <w:i/>
        </w:rPr>
        <w:t>ē</w:t>
      </w:r>
      <w:r w:rsidRPr="00F67DD1">
        <w:rPr>
          <w:i/>
        </w:rPr>
        <w:t>d</w:t>
      </w:r>
      <w:proofErr w:type="spellEnd"/>
      <w:r w:rsidRPr="00F67DD1">
        <w:t xml:space="preserve">, LXX presupposes </w:t>
      </w:r>
      <w:r w:rsidRPr="00F67DD1">
        <w:rPr>
          <w:i/>
        </w:rPr>
        <w:t>‘</w:t>
      </w:r>
      <w:proofErr w:type="spellStart"/>
      <w:r w:rsidRPr="00F67DD1">
        <w:rPr>
          <w:rFonts w:cs="Calibri"/>
          <w:i/>
        </w:rPr>
        <w:t>ô</w:t>
      </w:r>
      <w:r w:rsidRPr="00F67DD1">
        <w:rPr>
          <w:i/>
        </w:rPr>
        <w:t>d</w:t>
      </w:r>
      <w:proofErr w:type="spellEnd"/>
      <w:r w:rsidRPr="00F67DD1">
        <w:rPr>
          <w:i/>
        </w:rPr>
        <w:t xml:space="preserve"> </w:t>
      </w:r>
      <w:r w:rsidRPr="00F67DD1">
        <w:t>“still.”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948"/>
    <w:multiLevelType w:val="hybridMultilevel"/>
    <w:tmpl w:val="6C86AD08"/>
    <w:lvl w:ilvl="0" w:tplc="FC783E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B32FC"/>
    <w:multiLevelType w:val="multilevel"/>
    <w:tmpl w:val="7C5C3B64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31"/>
    <w:rsid w:val="001F2054"/>
    <w:rsid w:val="003B142A"/>
    <w:rsid w:val="003E7E5E"/>
    <w:rsid w:val="00436475"/>
    <w:rsid w:val="00444C31"/>
    <w:rsid w:val="004E1A18"/>
    <w:rsid w:val="00644F5A"/>
    <w:rsid w:val="006B6F3C"/>
    <w:rsid w:val="00867542"/>
    <w:rsid w:val="00D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75A13"/>
  <w15:chartTrackingRefBased/>
  <w15:docId w15:val="{E428BB11-6474-4ADB-83A0-3D1C950A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C31"/>
    <w:pPr>
      <w:spacing w:after="0" w:line="240" w:lineRule="auto"/>
      <w:ind w:firstLine="72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4F5A"/>
    <w:pPr>
      <w:keepNext/>
      <w:keepLines/>
      <w:spacing w:before="240"/>
      <w:ind w:firstLine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E7E5E"/>
    <w:pPr>
      <w:keepNext/>
      <w:keepLines/>
      <w:numPr>
        <w:numId w:val="2"/>
      </w:numPr>
      <w:spacing w:before="40"/>
      <w:ind w:hanging="360"/>
      <w:outlineLvl w:val="1"/>
    </w:pPr>
    <w:rPr>
      <w:rFonts w:ascii="Calibri" w:eastAsiaTheme="majorEastAsia" w:hAnsi="Calibr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44F5A"/>
    <w:pPr>
      <w:keepNext/>
      <w:keepLines/>
      <w:spacing w:before="40" w:after="12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F5A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7E5E"/>
    <w:rPr>
      <w:rFonts w:ascii="Calibri" w:eastAsiaTheme="majorEastAsia" w:hAnsi="Calibri" w:cstheme="majorBidi"/>
      <w:sz w:val="26"/>
      <w:szCs w:val="2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E68A1"/>
    <w:pPr>
      <w:spacing w:before="200"/>
      <w:ind w:left="720" w:firstLine="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DE68A1"/>
    <w:rPr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44F5A"/>
    <w:rPr>
      <w:rFonts w:ascii="Calibri" w:eastAsiaTheme="majorEastAsia" w:hAnsi="Calibri" w:cstheme="majorBidi"/>
      <w:sz w:val="24"/>
      <w:szCs w:val="24"/>
    </w:rPr>
  </w:style>
  <w:style w:type="paragraph" w:styleId="NoSpacing">
    <w:name w:val="No Spacing"/>
    <w:uiPriority w:val="1"/>
    <w:qFormat/>
    <w:rsid w:val="00444C31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autoRedefine/>
    <w:unhideWhenUsed/>
    <w:qFormat/>
    <w:rsid w:val="00444C31"/>
    <w:pPr>
      <w:tabs>
        <w:tab w:val="left" w:pos="3420"/>
      </w:tabs>
      <w:ind w:left="720" w:hanging="360"/>
    </w:pPr>
    <w:rPr>
      <w:rFonts w:cs="Times New Roman"/>
      <w:szCs w:val="20"/>
      <w:lang w:bidi="he-IL"/>
    </w:rPr>
  </w:style>
  <w:style w:type="character" w:customStyle="1" w:styleId="PlainTextChar">
    <w:name w:val="Plain Text Char"/>
    <w:basedOn w:val="DefaultParagraphFont"/>
    <w:link w:val="PlainText"/>
    <w:rsid w:val="00444C31"/>
    <w:rPr>
      <w:rFonts w:eastAsiaTheme="minorEastAsia" w:cs="Times New Roman"/>
      <w:szCs w:val="20"/>
      <w:lang w:bidi="he-IL"/>
    </w:rPr>
  </w:style>
  <w:style w:type="paragraph" w:styleId="FootnoteText">
    <w:name w:val="footnote text"/>
    <w:basedOn w:val="Normal"/>
    <w:link w:val="FootnoteTextChar"/>
    <w:uiPriority w:val="99"/>
    <w:unhideWhenUsed/>
    <w:rsid w:val="00444C31"/>
    <w:rPr>
      <w:rFonts w:ascii="Calibri" w:eastAsia="Times New Roman" w:hAnsi="Calibri" w:cs="Times New Roman"/>
      <w:sz w:val="20"/>
      <w:szCs w:val="20"/>
      <w:lang w:bidi="he-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4C31"/>
    <w:rPr>
      <w:rFonts w:ascii="Calibri" w:eastAsia="Times New Roman" w:hAnsi="Calibri" w:cs="Times New Roman"/>
      <w:sz w:val="20"/>
      <w:szCs w:val="20"/>
      <w:lang w:bidi="he-IL"/>
    </w:rPr>
  </w:style>
  <w:style w:type="character" w:styleId="FootnoteReference">
    <w:name w:val="footnote reference"/>
    <w:basedOn w:val="DefaultParagraphFont"/>
    <w:uiPriority w:val="99"/>
    <w:unhideWhenUsed/>
    <w:rsid w:val="00444C31"/>
    <w:rPr>
      <w:vertAlign w:val="superscript"/>
    </w:rPr>
  </w:style>
  <w:style w:type="paragraph" w:styleId="List">
    <w:name w:val="List"/>
    <w:basedOn w:val="Normal"/>
    <w:rsid w:val="00444C31"/>
    <w:pPr>
      <w:ind w:left="720" w:hanging="720"/>
    </w:pPr>
    <w:rPr>
      <w:rFonts w:ascii="Times New Roman" w:eastAsia="Times New Roman" w:hAnsi="Times New Roman" w:cs="Times New Roman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444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480</Words>
  <Characters>2742</Characters>
  <Application>Microsoft Office Word</Application>
  <DocSecurity>0</DocSecurity>
  <Lines>22</Lines>
  <Paragraphs>6</Paragraphs>
  <ScaleCrop>false</ScaleCrop>
  <Company>Fuller Theological Seminary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Goldingay</dc:creator>
  <cp:keywords/>
  <dc:description/>
  <cp:lastModifiedBy>John Goldingay</cp:lastModifiedBy>
  <cp:revision>1</cp:revision>
  <dcterms:created xsi:type="dcterms:W3CDTF">2019-01-05T20:26:00Z</dcterms:created>
  <dcterms:modified xsi:type="dcterms:W3CDTF">2019-01-05T20:28:00Z</dcterms:modified>
</cp:coreProperties>
</file>